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Are Transformer-Based Artificial Intelligence Models Ready for Glaucoma Screening from Retinal Imaging? A Systematic Review of Validation Rigour, Early-Disease Evidence, and Risk of Bias</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w:t>
      </w:r>
      <w:r>
        <w:t xml:space="preserve">, Ashit Kumar Dutta</w:t>
      </w:r>
      <w:r>
        <w:rPr>
          <w:vertAlign w:val="superscript"/>
        </w:rPr>
        <w:t xml:space="preserve">3,4</w:t>
      </w:r>
      <w:r>
        <w:t xml:space="preserve"> and Mujeeb Ahmed Shaikh</w:t>
      </w:r>
      <w:r>
        <w:rPr>
          <w:vertAlign w:val="superscript"/>
        </w:rPr>
        <w:t xml:space="preserve">5,6</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5B0F31" w:rsidRPr="00FD2727" w14:paraId="348AE83A" w14:textId="77777777" w:rsidTr="000D20E3">
        <w:tc>
          <w:tcPr>
            <w:tcW w:w="2410" w:type="dxa"/>
          </w:tcPr>
          <w:p w14:paraId="23C3DD3A" w14:textId="77777777" w:rsidR="005B0F31" w:rsidRPr="00FD2727" w:rsidRDefault="005B0F31" w:rsidP="000D20E3">
            <w:pPr>
              <w:pStyle w:val="MDPI15academiceditor"/>
              <w:spacing w:before="0" w:after="120"/>
            </w:pPr>
            <w:r w:rsidRPr="00FD2727">
              <w:t>Academic Editor: Firstname Lastname</w:t>
            </w:r>
          </w:p>
          <w:p w14:paraId="2C0AC3A7" w14:textId="77777777" w:rsidR="005B0F31" w:rsidRPr="00FD2727" w:rsidRDefault="005B0F31" w:rsidP="000D20E3">
            <w:pPr>
              <w:pStyle w:val="MDPI14history"/>
              <w:spacing w:before="120"/>
            </w:pPr>
            <w:r w:rsidRPr="00FD2727">
              <w:t>Received: date</w:t>
            </w:r>
          </w:p>
          <w:p w14:paraId="34009F62" w14:textId="77777777" w:rsidR="005B0F31" w:rsidRPr="00FD2727" w:rsidRDefault="005B0F31" w:rsidP="000D20E3">
            <w:pPr>
              <w:pStyle w:val="MDPI14history"/>
            </w:pPr>
            <w:r w:rsidRPr="00FD2727">
              <w:t>Revised: date</w:t>
            </w:r>
          </w:p>
          <w:p w14:paraId="16EF318B" w14:textId="77777777" w:rsidR="005B0F31" w:rsidRPr="00FD2727" w:rsidRDefault="005B0F31" w:rsidP="000D20E3">
            <w:pPr>
              <w:pStyle w:val="MDPI14history"/>
            </w:pPr>
            <w:r w:rsidRPr="00FD2727">
              <w:t>Accepted: date</w:t>
            </w:r>
          </w:p>
          <w:p w14:paraId="714C6B26" w14:textId="77777777" w:rsidR="005B0F31" w:rsidRPr="00FD2727" w:rsidRDefault="005B0F31" w:rsidP="000D20E3">
            <w:pPr>
              <w:pStyle w:val="MDPI14history"/>
              <w:spacing w:after="120"/>
            </w:pPr>
            <w:r w:rsidRPr="00FD2727">
              <w:t>Published: date</w:t>
            </w:r>
          </w:p>
          <w:p w14:paraId="1BB77FDA" w14:textId="77777777" w:rsidR="005B0F31" w:rsidRPr="00FD2727" w:rsidRDefault="005B0F31" w:rsidP="000D20E3">
            <w:pPr>
              <w:pStyle w:val="MDPI61citation"/>
              <w:rPr>
                <w:lang w:bidi="en-US"/>
              </w:rPr>
            </w:pPr>
            <w:r w:rsidRPr="00FD2727">
              <w:rPr>
                <w:b/>
                <w:lang w:bidi="en-US"/>
              </w:rPr>
              <w:t xml:space="preserve">Citation: </w:t>
            </w:r>
            <w:r w:rsidRPr="00FD2727">
              <w:rPr>
                <w:lang w:bidi="en-US"/>
              </w:rPr>
              <w:t>To be added by editorial staff during production.</w:t>
            </w:r>
          </w:p>
          <w:p w14:paraId="69B08929" w14:textId="77777777" w:rsidR="005B0F31" w:rsidRPr="00FD2727" w:rsidRDefault="005B0F31" w:rsidP="000D20E3">
            <w:pPr>
              <w:pStyle w:val="MDPI72copyright"/>
              <w:rPr>
                <w:rFonts w:eastAsia="DengXian"/>
                <w:noProof w:val="0"/>
                <w:lang w:val="en-US" w:bidi="en-US"/>
              </w:rPr>
            </w:pPr>
            <w:r w:rsidRPr="00FD2727">
              <w:rPr>
                <w:rFonts w:eastAsia="DengXian"/>
                <w:b/>
                <w:noProof w:val="0"/>
                <w:lang w:val="en-US" w:bidi="en-US"/>
              </w:rPr>
              <w:t>Copyright:</w:t>
            </w:r>
            <w:r w:rsidRPr="00FD2727">
              <w:rPr>
                <w:rFonts w:eastAsia="DengXian"/>
                <w:noProof w:val="0"/>
                <w:lang w:val="en-US" w:bidi="en-US"/>
              </w:rPr>
              <w:t xml:space="preserve"> © 2026 by the authors. Submitted for possible open access publication under the terms and conditions of the Creative Commons Attribution (CC BY) license (https://creativecommons.org/licenses/by/4.0/).</w:t>
            </w:r>
          </w:p>
        </w:tc>
      </w:tr>
    </w:tbl>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studies, only 8 separated data at the participant level, 9 tested models on a distinct data source, and 3 had both low risk of bias and low applicability concern.</w:t>
      </w:r>
    </w:p>
    <w:p w14:paraId="408E1540" w14:textId="77777777" w:rsidR="000D5685" w:rsidRPr="005B24DE" w:rsidRDefault="000D5685" w:rsidP="000D5685">
      <w:pPr>
        <w:pStyle w:val="MDPI38bullet"/>
        <w:numPr>
          <w:ilvl w:val="0"/>
          <w:numId w:val="15"/>
        </w:numPr>
        <w:spacing w:before="60"/>
      </w:pPr>
      <w:r>
        <w:t xml:space="preserve">No study reported a separately extractable result for preperimetric glaucoma,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at population prevalence, even a highly specific model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raising expectations of automated screening. Whether this evidence supports clinical or public-health use is unknown. We assessed the validation rigour, early-disease evidence, and risk of bias of transformer-based glaucoma detection studies. </w:t>
      </w:r>
      <w:r>
        <w:rPr>
          <w:b/>
        </w:rPr>
        <w:t xml:space="preserve">Methods:</w:t>
      </w:r>
      <w:r>
        <w:t xml:space="preserve"> Following a PROSPERO-registered protocol (CRD420261504931) and PRISMA 2020, we searched PubMed/MEDLINE, Embase, Scopus, Web of Science, and IEEE Xplore from January 2017 to 15 July 2026, supplemented by Google Scholar and citation searching. Peer-reviewed reports applying transformer architectures to fundus, optic nerve head, or optical coherence tomography images for glaucoma detection or staging were eligible. Risk of bias and applicability were assessed with PROBAST+AI. Heterogeneity and dataset reuse precluded meta-analysis; a structured narrative synthesis was performed.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two reported interpretable early-disease discrimination, and none reported preperimetric performance. In one comparison, internal areas under the curve of 0.94–0.96 fell to 0.56–0.63 on external data. Risk of bias was high in 51 reports (92.7%); only three combined low risk of bias with low applicability concern.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Previous systematic reviews of AI for glaucoma have pooled diverse architectures, modalities, disease stages, and reference standards, reporting high summary accuracy [23], while a recent assessment found persistent deficiencies in how glaucoma AI studies are reported [24]. No review has examined whether the transformer literature, which has expanded rapidly since 2023, provides evidence that is fit for clinical or screening decisions.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[25–29].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A model described by its authors as a screening model was not treated as screening evidence unless it had been evaluated in a population and workflow relevant to identifying previously undiagnosed disease. Retrospective discrimination in enriched case–control or public benchmark datasets was classified as technical diagnostic classification.</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both stages, two reviewers (M.S.A. and M.I.E.-K.G.) independently assessed every record and report. Disagreements, including disagreements about the principal reason for full-text exclusion, were referred to the third and fourth authors (A.K.D. and M.A.S.), who re-checked the source record or full text and resolved the disagreement with the two reviewers by consensus.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The selection process is shown in Figure 1, and exclusion reasons are summarised in Table S2; the individual excluded reports and their reasons are available from the corresponding author.</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independently by two reviewers (M.S.A. and M.I.E.-K.G.). Their extractions were compared field by field, and any discrepancy was re-checked against the source report by the third and fourth authors (A.K.D. and M.A.S.) and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[30]. The Cochrane RoB 2 tool was not applicable because no included report was a randomised trial [31]. QUADAS-3 was considered but not applied because the corpus comprised model development and evaluation studies rather than a uniform set of fixed index-test accuracy studies; applying one tool consistently preserved comparability across reports [32].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to the prespecified intended use, the detection or triage of current glaucoma from ONH or retinal imaging, was assessed across the participants and data sources, predictors, and outcome domains.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two reviewers (M.S.A. and M.I.E.-K.G.) independently rated every domain, and disagreements were re-checked by the third and fourth authors (A.K.D. and M.A.S.) and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[33]: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successive clinical-readiness criteria was summarised graphically.</w:t>
      </w:r>
    </w:p>
    <w:p w14:paraId="3232E930" w14:textId="77777777" w:rsidR="00797A92" w:rsidRPr="00FD2727" w:rsidRDefault="00797A92" w:rsidP="002F52BB">
      <w:pPr>
        <w:pStyle w:val="MDPI31text"/>
      </w:pPr>
      <w:r>
        <w:t xml:space="preserve">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was not prespecified in the protocol,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(Table S2), and 55 were included (Figure 1) [34–88].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[34,41,42,48,62,68,73,77]. Two reports incorporated visual-field data [34,77], and two used hyperspectral-converted or pseudo-hyperspectral fundus representations [44,72]. Other inputs included clinical variables [55,62], disc/cup contours [43], and dataset metadata [52].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yielded interpretable early-disease discrimination.</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Studies closest to clinical relevance.</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[35,41,42,68,76,77],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Only two reports provided directly interpretable discrimination of early disease from non-glaucomatous eyes. A DeiT model developed in the Ocular Hypertension Treatment Study (OHTS) cohort reported an area under the receiver operating characteristic curve (AUC) of 0.87 (95% confidence interval [CI], 0.80–0.91) for early glaucoma defined by mean deviation [35]. A second study reported an AUC of 1.00 in an explicitly mild cohort, but all glaucoma images came from one clinic whereas most controls came from public datasets, creating severe site-by-outcome confounding, and values differed between the abstract and tables [76]. Two further reports used the same 300-examination GAMMA benchmark for three-level grading [41,42], and two multimodal clinical reports included staged participants without a separately extractable early-stage estimate [68,77].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[35,37,50,59,64,65,67,69,78].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[64]. In a transformer comparison using ONH crops, the best internal balanced accuracy of 97.32% fell to 78.78–88.84% across three external datasets [37].</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[69]. A multidomain foundation model reported AUCs of approximately 0.88–0.99 under leave-one-domain-out evaluation, although source labels were heterogeneous [65], and a diffusion-augmented Swin model reported an internal AUC of 0.992 and zero-shot AUCs of 0.806–0.981 across ten external public datasets [78].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[34], and a participant-level cross-validated three-dimensional OCT model an AUC of 0.942 [48]. In a participant-held-out clinical cohort, a fundus-plus-OCT foundation model achieved an AUC of 0.94, compared with 0.93 for OCT and 0.86 for photographs alone [68], and a fundus–visual-field–OCT model reported an AUC of 0.981 under participant-grouped five-fold cross-validation [77].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[35]</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[37]</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[41]</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[42]</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[41]; not an external clinical cohort.</w:t>
            </w:r>
          </w:p>
        </w:tc>
      </w:tr>
      <w:tr>
        <w:trPr>
          <w:cantSplit/>
        </w:trPr>
        <w:tc>
          <w:tcPr>
            <w:tcW w:w="1750" w:type="dxa"/>
            <w:vAlign w:val="center"/>
          </w:tcPr>
          <w:p>
            <w:pPr>
              <w:pStyle w:val="MDPI42tablebody"/>
              <w:spacing w:line="240" w:lineRule="auto"/>
              <w:jc w:val="left"/>
            </w:pPr>
            <w:r>
              <w:t xml:space="preserve">Das et al., 2025 [50]</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[59]</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[64]</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[65]</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[67]</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[68]</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[69]</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[76]</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w:t>
            </w:r>
          </w:p>
        </w:tc>
      </w:tr>
      <w:tr>
        <w:trPr>
          <w:cantSplit/>
        </w:trPr>
        <w:tc>
          <w:tcPr>
            <w:tcW w:w="1750" w:type="dxa"/>
            <w:vAlign w:val="center"/>
          </w:tcPr>
          <w:p>
            <w:pPr>
              <w:pStyle w:val="MDPI42tablebody"/>
              <w:spacing w:line="240" w:lineRule="auto"/>
              <w:jc w:val="left"/>
            </w:pPr>
            <w:r>
              <w:t xml:space="preserve">Hasan et al., 2026 [77]</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[78]</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[45,56,58,67].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[35,43,47,48,53,56,62,75,82,84–86],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[62], whereas another quantified insertion–deletion behaviour [86].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the evaluation evidence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[35,68,69].</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the intended use (detection or triage of current glaucoma from optic nerve head or retinal imaging).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Distance from Benchmark Performance to Clinical Readiness</w:t>
      </w:r>
    </w:p>
    <w:p w14:paraId="3232E930" w14:textId="77777777" w:rsidR="00797A92" w:rsidRPr="00FD2727" w:rsidRDefault="00797A92" w:rsidP="002F52BB">
      <w:pPr>
        <w:pStyle w:val="MDPI31text"/>
      </w:pPr>
      <w:r>
        <w:t xml:space="preserve">Figure 3 summarises how few reports met successive criteria for clinical readiness. Although all 55 reports claimed glaucoma detection or staging, 13 (23.6%) used a clinical or adjudicated reference standard, 9 (16.4%) tested models on a distinct data source, 8 (14.5%) confirmed participant-level separation, and 4 (7.3%) combined participant-level separation with distinct-source evaluation. Only two reports (3.6%) met all three conditions, and three (5.5%) had both low risk of bias and low applicability concern. No report provided a separately extractable preperimetric result or a prospective or implementation evaluation.</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088073"/>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088073"/>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successive criteria for clinical readiness. Lighter bars show single criteria and darker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[24]. They also mirror patterns observed across medical imaging AI, where most studies are retrospective, few are externally validated, and claims frequently exceed the supporting designs [19,21,89]. The most informative transformer studies illustrate both the potential and the fragility of performance. The OHTS-based model and the POAAGG study combined clinically meaningful outcomes with participant separation, and the latter maintained an AUC near 0.92 externally [35,69]. Conversely, two models with excellent internal results deteriorated substantially on new datasets [37,64].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only two provided interpretable early-disease discrimination, and none reported a separately extractable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interpretable estimates show why target definition alone is not sufficient. The OHTS-based AUC of 0.87 was tied to an explicit mean-deviation criterion [35], whereas the AUC of 1.00 reported in another mild cohort was highly vulnerable to site-by-outcome confounding and internal inconsistency [76],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[90,91].</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[92].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[93,94].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a sensitivity of 0.90 and a specificity of 0.95, performance that many included reports exceeded internally, screening 10,000 adults would detect 315 of 350 people with glaucoma but generate 483 false-positive referrals, so that only 39.5% of referred people would have the disease, compared with 94.7% in a balanced benchmark. A loss of performance on new data, of the size observed in the external evaluations reviewed here, would roughly double (scenario B) or triple (scenario C) the number of false-positive referrals and reduce the positive predictive value to 15–24%.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benchmark-level performance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moderate loss of performance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loss of performance under domain shift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[69].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[68,77],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[95].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performed screening, data extraction, and appraisal independently in duplicate, with disagreements adjudicated by two further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two provided interpretable early-disease discrimination, none reported preperimetric performance, and none validated an explanation output as a glaucoma biomarker. Only three reports combined low risk of bias with low applicability concern, and none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Principal reasons for exclusion at full-text assessment;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and M.I.E.-K.G.; data curation, M.S.A. and M.I.E.-K.G.; validation,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S1–S7). A machine-readable version of the extraction dataset and the list of individual reports excluded at full-text assessment, with the reason for each exclusion, are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Healthcare </w:t>
    </w:r>
    <w:r w:rsidR="002F52BB" w:rsidRPr="00FD2727">
      <w:rPr>
        <w:b/>
        <w:bCs/>
        <w:iCs/>
        <w:sz w:val="16"/>
        <w:szCs w:val="16"/>
      </w:rPr>
      <w:t>2026</w:t>
    </w:r>
    <w:r w:rsidR="0076191F" w:rsidRPr="00FD2727">
      <w:rPr>
        <w:bCs/>
        <w:iCs/>
        <w:sz w:val="16"/>
        <w:szCs w:val="16"/>
      </w:rPr>
      <w:t>,</w:t>
    </w:r>
    <w:r w:rsidR="002F52BB" w:rsidRPr="00FD2727">
      <w:rPr>
        <w:bCs/>
        <w:i/>
        <w:iCs/>
        <w:sz w:val="16"/>
        <w:szCs w:val="16"/>
      </w:rPr>
      <w:t xml:space="preserve"> 14</w:t>
    </w:r>
    <w:r w:rsidR="0076191F" w:rsidRPr="00FD2727">
      <w:rPr>
        <w:bCs/>
        <w:iCs/>
        <w:sz w:val="16"/>
        <w:szCs w:val="16"/>
      </w:rPr>
      <w:t xml:space="preserve">, </w:t>
    </w:r>
    <w:r w:rsidR="008E7760" w:rsidRPr="00FD2727">
      <w:rPr>
        <w:bCs/>
        <w:iCs/>
        <w:sz w:val="16"/>
        <w:szCs w:val="16"/>
      </w:rPr>
      <w:t>x</w:t>
    </w:r>
    <w:r w:rsidR="00FD1E1D" w:rsidRPr="00FD2727">
      <w:rPr>
        <w:sz w:val="16"/>
        <w:szCs w:val="16"/>
      </w:rPr>
      <w:tab/>
    </w:r>
    <w:r w:rsidR="002F52BB" w:rsidRPr="00FD2727">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 </w:t>
    </w:r>
    <w:r w:rsidR="002F52BB" w:rsidRPr="00FD2727">
      <w:rPr>
        <w:b/>
        <w:sz w:val="16"/>
      </w:rPr>
      <w:t>2026</w:t>
    </w:r>
    <w:r w:rsidR="0076191F" w:rsidRPr="00FD2727">
      <w:rPr>
        <w:sz w:val="16"/>
      </w:rPr>
      <w:t>,</w:t>
    </w:r>
    <w:r w:rsidR="002F52BB" w:rsidRPr="00FD2727">
      <w:rPr>
        <w:i/>
        <w:sz w:val="16"/>
      </w:rPr>
      <w:t xml:space="preserve"> 14</w:t>
    </w:r>
    <w:r w:rsidR="008E7760" w:rsidRPr="00FD2727">
      <w:rPr>
        <w:sz w:val="16"/>
      </w:rPr>
      <w:t xml:space="preserve">, x </w:t>
    </w:r>
    <w:r w:rsidR="002F52BB" w:rsidRPr="00FD2727">
      <w:rPr>
        <w:sz w:val="16"/>
      </w:rPr>
      <w:t>FOR PEER REVIEW</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