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pPr>
      <w:r>
        <w:rPr>
          <w:b w:val="0"/>
          <w:i w:val="0"/>
        </w:rPr>
        <w:t>29 September 2026</w:t>
      </w:r>
    </w:p>
    <w:p>
      <w:pPr>
        <w:spacing w:after="0"/>
      </w:pPr>
      <w:r>
        <w:rPr>
          <w:b w:val="0"/>
          <w:i w:val="0"/>
        </w:rPr>
        <w:t>The Editor-in-Chief</w:t>
      </w:r>
    </w:p>
    <w:p>
      <w:pPr>
        <w:spacing w:after="240"/>
      </w:pPr>
      <w:r>
        <w:rPr>
          <w:b w:val="0"/>
          <w:i w:val="0"/>
        </w:rPr>
        <w:t>Healthcare (MDPI)</w:t>
      </w:r>
    </w:p>
    <w:p>
      <w:pPr>
        <w:spacing w:after="200"/>
      </w:pPr>
      <w:r>
        <w:rPr>
          <w:b w:val="0"/>
          <w:i w:val="0"/>
        </w:rPr>
        <w:t>Dear Editor,</w:t>
      </w:r>
    </w:p>
    <w:p>
      <w:r>
        <w:t>On behalf of all authors, I submit our manuscript entitled “</w:t>
      </w:r>
      <w:r>
        <w:rPr>
          <w:i/>
        </w:rPr>
        <w:t>Are Transformer-Based Artificial Intelligence Models Ready for Glaucoma Screening from Retinal Imaging? A Systematic Review of Validation Rigour, Early-Disease Evidence, and Risk of Bias</w:t>
      </w:r>
      <w:r>
        <w:t xml:space="preserve">” for consideration as a Systematic Review in </w:t>
      </w:r>
      <w:r>
        <w:rPr>
          <w:i/>
        </w:rPr>
        <w:t>Healthcare</w:t>
      </w:r>
      <w:r>
        <w:t>.</w:t>
      </w:r>
    </w:p>
    <w:p>
      <w:r>
        <w:rPr>
          <w:b w:val="0"/>
          <w:i w:val="0"/>
        </w:rPr>
        <w:t>Artificial intelligence is increasingly proposed as a way to extend glaucoma case finding beyond specialist clinics, and transformer-based models now report near-perfect accuracy on retinal images. Health systems, regulators, and purchasers need to know whether these results can support screening or referral decisions. Our review answers this question directly, and the answer is that they cannot yet do so.</w:t>
      </w:r>
    </w:p>
    <w:p>
      <w:pPr>
        <w:spacing w:after="80"/>
      </w:pPr>
      <w:r>
        <w:rPr>
          <w:b/>
          <w:i w:val="0"/>
        </w:rPr>
        <w:t>Principal findings</w:t>
      </w:r>
    </w:p>
    <w:p>
      <w:pPr>
        <w:pStyle w:val="ListBullet"/>
        <w:spacing w:after="80"/>
      </w:pPr>
      <w:r>
        <w:rPr>
          <w:b/>
        </w:rPr>
        <w:t xml:space="preserve">Evidence base: </w:t>
      </w:r>
      <w:r>
        <w:t>we included 55 peer-reviewed reports (76% published in 2025–2026), identified through a PROSPERO-registered search of five databases with supplementary citation searching.</w:t>
      </w:r>
    </w:p>
    <w:p>
      <w:pPr>
        <w:pStyle w:val="ListBullet"/>
        <w:spacing w:after="80"/>
      </w:pPr>
      <w:r>
        <w:rPr>
          <w:b/>
        </w:rPr>
        <w:t xml:space="preserve">Validation gap: </w:t>
      </w:r>
      <w:r>
        <w:t>only 8 reports confirmed participant-level separation of training and test data, 9 tested models on a distinct data source, and 38 relied on inherited, mixed-repository, or surrogate labels. Where external testing was performed, internal areas under the curve of 0.94–0.96 could fall to 0.56–0.63.</w:t>
      </w:r>
    </w:p>
    <w:p>
      <w:pPr>
        <w:pStyle w:val="ListBullet"/>
        <w:spacing w:after="80"/>
      </w:pPr>
      <w:r>
        <w:rPr>
          <w:b/>
        </w:rPr>
        <w:t xml:space="preserve">Early-disease gap: </w:t>
      </w:r>
      <w:r>
        <w:t>only two reports provided interpretable discrimination of early glaucoma, and none reported preperimetric performance, which is the stage at which screening would add most value.</w:t>
      </w:r>
    </w:p>
    <w:p>
      <w:pPr>
        <w:pStyle w:val="ListBullet"/>
        <w:spacing w:after="80"/>
      </w:pPr>
      <w:r>
        <w:rPr>
          <w:b/>
        </w:rPr>
        <w:t xml:space="preserve">Risk of bias: </w:t>
      </w:r>
      <w:r>
        <w:t>under PROBAST+AI, 92.7% of evaluations were at high risk of bias; only three reports combined low risk of bias with low applicability concern, and none evaluated a screening pathway prospectively.</w:t>
      </w:r>
    </w:p>
    <w:p>
      <w:pPr>
        <w:spacing w:after="80"/>
      </w:pPr>
      <w:r>
        <w:rPr>
          <w:b/>
          <w:i w:val="0"/>
        </w:rPr>
        <w:t>Why the manuscript suits Healthcare</w:t>
      </w:r>
    </w:p>
    <w:p>
      <w:r>
        <w:rPr>
          <w:b w:val="0"/>
          <w:i w:val="0"/>
        </w:rPr>
        <w:t>The review is written for health-care decision makers as well as clinicians and developers. It translates methodological findings into service consequences. At population prevalence, a model with benchmark-level accuracy would generate more false-positive than true-positive referrals, and a realistic loss of performance under domain shift would roughly double or triple false-positive referrals. The review then sets out minimum evidence requirements for health-technology assessment, procurement, and regulatory decisions (Table 5). It also highlights equity concerns arising from the heavy reliance on reused public repositories.</w:t>
      </w:r>
    </w:p>
    <w:p>
      <w:pPr>
        <w:spacing w:after="80"/>
      </w:pPr>
      <w:r>
        <w:rPr>
          <w:b/>
          <w:i w:val="0"/>
        </w:rPr>
        <w:t>Novelty and rigour</w:t>
      </w:r>
    </w:p>
    <w:p>
      <w:r>
        <w:rPr>
          <w:b w:val="0"/>
          <w:i w:val="0"/>
        </w:rPr>
        <w:t>To our knowledge, this is the first systematic review dedicated to transformer-based glaucoma detection and the first to appraise this literature with PROBAST+AI. It follows PRISMA 2020 and PRISMA-S and was informed by TRIPOD-SRMA, PRISMA-DTA, and SWiM. It distinguishes early disease from suspect and surrogate states and cross-dataset testing from independent clinical validation, and it links reports that reused the same datasets so that they are not counted as independent replications. Screening, data extraction, and risk-of-bias assessment were performed independently in duplicate, with every disagreement re-checked and adjudicated by the two remaining authors. All report-level data and judgements are provided in the Supplementary Materials, making the synthesis fully auditable.</w:t>
      </w:r>
    </w:p>
    <w:p>
      <w:pPr>
        <w:spacing w:after="80"/>
      </w:pPr>
      <w:r>
        <w:rPr>
          <w:b/>
          <w:i w:val="0"/>
        </w:rPr>
        <w:t>Declarations</w:t>
      </w:r>
    </w:p>
    <w:p>
      <w:r>
        <w:rPr>
          <w:b w:val="0"/>
          <w:i w:val="0"/>
        </w:rPr>
        <w:t>This manuscript is original, has not been published previously, and is not under consideration by any other journal. All authors have approved the submitted version and agree with its submission to Healthcare. The study was funded by the King Salman Center for Disability Research (grant KSRG-2026-457), and the authors declare no conflicts of interest. The completed PRISMA 2020 checklist and the Supplementary Materials are provided with the submission.</w:t>
      </w:r>
    </w:p>
    <w:p>
      <w:pPr>
        <w:spacing w:after="320"/>
      </w:pPr>
      <w:r>
        <w:rPr>
          <w:b w:val="0"/>
          <w:i w:val="0"/>
        </w:rPr>
        <w:t>Thank you for considering our work. We look forward to your response.</w:t>
      </w:r>
    </w:p>
    <w:p>
      <w:pPr>
        <w:spacing w:after="400"/>
      </w:pPr>
      <w:r>
        <w:rPr>
          <w:b w:val="0"/>
          <w:i w:val="0"/>
        </w:rPr>
        <w:t>Sincerely,</w:t>
      </w:r>
    </w:p>
    <w:p>
      <w:pPr>
        <w:spacing w:after="0"/>
      </w:pPr>
      <w:r>
        <w:rPr>
          <w:b/>
          <w:i w:val="0"/>
        </w:rPr>
        <w:t>Moulay Ibrahim El-Khalil Ghembaza (corresponding author)</w:t>
      </w:r>
    </w:p>
    <w:p>
      <w:pPr>
        <w:spacing w:after="0"/>
      </w:pPr>
      <w:r>
        <w:rPr>
          <w:b w:val="0"/>
          <w:i w:val="0"/>
        </w:rPr>
        <w:t>Department of Computer Science, College of Engineering and Information Technology, Onaizah Colleges, Qassim 56447, Saudi Arabia; King Salman Center for Disability Research, Riyadh, Saudi Arabia</w:t>
      </w:r>
    </w:p>
    <w:p>
      <w:pPr>
        <w:spacing w:after="0"/>
      </w:pPr>
      <w:r>
        <w:rPr>
          <w:b w:val="0"/>
          <w:i w:val="0"/>
        </w:rPr>
        <w:t>Email: mghembaza@oc.edu.sa</w:t>
      </w:r>
    </w:p>
    <w:p>
      <w:r>
        <w:rPr>
          <w:b w:val="0"/>
          <w:i w:val="0"/>
        </w:rPr>
        <w:t>On behalf of Majed S. Alsanea, Ashit Kumar Dutta, and Mujeeb Ahmed Shaikh</w:t>
      </w:r>
    </w:p>
    <w:sectPr w:rsidR="00FC693F" w:rsidRPr="0006063C" w:rsidSect="00034616">
      <w:pgSz w:w="11906" w:h="16838"/>
      <w:pgMar w:top="1134" w:right="1304" w:bottom="1134"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64" w:lineRule="auto"/>
    </w:pPr>
    <w:rPr>
      <w:rFonts w:ascii="Palatino Linotype" w:hAnsi="Palatino Linotype" w:eastAsia="Palatino Linotype"/>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Cover Letter</dc:title>
  <dc:subject/>
  <dc:creator>Moulay Ibrahim El-Khalil Ghembaza</dc:creator>
  <cp:keywords/>
  <dc:description/>
  <cp:lastModifiedBy>Moulay Ibrahim El-Khalil Ghembaza</cp:lastModifiedBy>
  <cp:revision>1</cp:revision>
  <dcterms:created xsi:type="dcterms:W3CDTF">2026-09-29T12:00:00Z</dcterms:created>
  <dcterms:modified xsi:type="dcterms:W3CDTF">2026-09-29T12:00:00Z</dcterms:modified>
  <cp:category/>
</cp:coreProperties>
</file>