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32"/>
        </w:rPr>
        <w:t>Supplementary Materials</w:t>
      </w:r>
    </w:p>
    <w:p>
      <w:pPr>
        <w:spacing w:after="200"/>
      </w:pPr>
      <w:r>
        <w:rPr>
          <w:b/>
          <w:i w:val="0"/>
          <w:sz w:val="24"/>
        </w:rPr>
        <w:t>Are Transformer-Based Artificial Intelligence Models Ready for Glaucoma Screening from Retinal Imaging? A Systematic Review of Validation Rigour, Early-Disease Evidence, and Risk of Bias</w:t>
      </w:r>
    </w:p>
    <w:p>
      <w:pPr>
        <w:spacing w:after="120"/>
      </w:pPr>
      <w:r>
        <w:rPr>
          <w:b w:val="0"/>
          <w:i w:val="0"/>
          <w:sz w:val="18"/>
        </w:rPr>
        <w:t>Reference numbers in square brackets correspond to the reference list of the main manuscript. Report identifiers (S01–S55) are used consistently across all tables. NR, not reported or not separately extractable; values were not imputed. Counts describe reports, not independent cohorts.</w:t>
      </w:r>
    </w:p>
    <w:p>
      <w:pPr>
        <w:spacing w:after="40" w:before="120"/>
      </w:pPr>
      <w:r>
        <w:rPr>
          <w:b/>
          <w:i w:val="0"/>
          <w:sz w:val="22"/>
        </w:rPr>
        <w:t>Contents</w:t>
      </w:r>
    </w:p>
    <w:p>
      <w:pPr>
        <w:spacing w:after="20"/>
      </w:pPr>
      <w:r>
        <w:rPr>
          <w:b w:val="0"/>
          <w:i w:val="0"/>
          <w:sz w:val="19"/>
        </w:rPr>
        <w:t>Table S1. Electronic search strategies and supplementary search methods</w:t>
      </w:r>
    </w:p>
    <w:p>
      <w:pPr>
        <w:spacing w:after="20"/>
      </w:pPr>
      <w:r>
        <w:rPr>
          <w:b w:val="0"/>
          <w:i w:val="0"/>
          <w:sz w:val="19"/>
        </w:rPr>
        <w:t>Table S2. Principal reasons for exclusion at full-text assessment</w:t>
      </w:r>
    </w:p>
    <w:p>
      <w:pPr>
        <w:spacing w:after="20"/>
      </w:pPr>
      <w:r>
        <w:rPr>
          <w:b w:val="0"/>
          <w:i w:val="0"/>
          <w:sz w:val="19"/>
        </w:rPr>
        <w:t>Table S3. Characteristics of the 55 included reports</w:t>
      </w:r>
    </w:p>
    <w:p>
      <w:pPr>
        <w:spacing w:after="20"/>
      </w:pPr>
      <w:r>
        <w:rPr>
          <w:b w:val="0"/>
          <w:i w:val="0"/>
          <w:sz w:val="19"/>
        </w:rPr>
        <w:t>Table S4. Validation design and diagnostic performance as reported</w:t>
      </w:r>
    </w:p>
    <w:p>
      <w:pPr>
        <w:spacing w:after="20"/>
      </w:pPr>
      <w:r>
        <w:rPr>
          <w:b w:val="0"/>
          <w:i w:val="0"/>
          <w:sz w:val="19"/>
        </w:rPr>
        <w:t>Table S5. Early-disease definitions, reference standards, imaging biomarkers, and explanation methods</w:t>
      </w:r>
    </w:p>
    <w:p>
      <w:pPr>
        <w:spacing w:after="20"/>
      </w:pPr>
      <w:r>
        <w:rPr>
          <w:b w:val="0"/>
          <w:i w:val="0"/>
          <w:sz w:val="19"/>
        </w:rPr>
        <w:t>Table S6. Recurring public dataset families and linked reports</w:t>
      </w:r>
    </w:p>
    <w:p>
      <w:pPr>
        <w:spacing w:after="20"/>
      </w:pPr>
      <w:r>
        <w:rPr>
          <w:b w:val="0"/>
          <w:i w:val="0"/>
          <w:sz w:val="19"/>
        </w:rPr>
        <w:t>Table S7. PROBAST+AI judgements for model development, model evaluation, and applicability, with report-specific rationales</w:t>
      </w:r>
    </w:p>
    <w:p>
      <w:r>
        <w:br w:type="page"/>
      </w:r>
    </w:p>
    <w:p>
      <w:pPr>
        <w:keepNext/>
        <w:spacing w:after="80" w:before="200"/>
      </w:pPr>
      <w:r>
        <w:rPr>
          <w:b/>
        </w:rPr>
        <w:t xml:space="preserve">Table S1. </w:t>
      </w:r>
      <w:r>
        <w:t>Electronic search strategies and supplementary search methods.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0319"/>
        <w:gridCol w:w="907"/>
        <w:gridCol w:w="1701"/>
      </w:tblGrid>
      <w:tr>
        <w:trPr>
          <w:tblHeader/>
        </w:trPr>
        <w:tc>
          <w:tcPr>
            <w:tcW w:type="dxa" w:w="204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Database/interface</w:t>
            </w:r>
          </w:p>
        </w:tc>
        <w:tc>
          <w:tcPr>
            <w:tcW w:type="dxa" w:w="1031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Strategy as executed</w:t>
            </w:r>
          </w:p>
        </w:tc>
        <w:tc>
          <w:tcPr>
            <w:tcW w:type="dxa" w:w="907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Records</w:t>
            </w:r>
          </w:p>
        </w:tc>
        <w:tc>
          <w:tcPr>
            <w:tcW w:type="dxa" w:w="170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Last searched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PubMed/MEDLINE (NCBI)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("Glaucoma"[Mesh] OR "Glaucoma, Open-Angle"[Mesh] OR "Ocular Hypertension"[Mesh] OR glaucoma*[tiab] OR "glaucomatous optic neuropathy"[tiab] OR "optic nerve head"[tiab] OR "optic disc"[tiab]) AND ("Deep Learning"[Mesh] OR transformer*[tiab] OR "vision transformer"[tiab] OR ViT[tiab] OR DeiT[tiab] OR Swin[tiab] OR DINO[tiab] OR "self-attention"[tiab] OR "attention mechanism"[tiab]) AND ("Fundus Oculi"[Mesh] OR "Tomography, Optical Coherence"[Mesh] OR fundus[tiab] OR "optic disc photograph*"[tiab] OR "optical coherence tomography"[tiab] OR OCT[tiab] OR "retinal nerve fib*er layer"[tiab] OR "retinal imaging"[tiab]) AND ("2017/01/01"[PDAT] : "2026/07/15"[PDAT]) AND english[lang]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214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Embase (Elsevier)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('glaucoma'/exp OR 'open angle glaucoma'/exp OR 'ocular hypertension'/exp OR glaucoma*:ti,ab,kw OR 'glaucomatous optic neuropathy':ti,ab,kw OR 'optic nerve head':ti,ab,kw) AND ('deep learning'/exp OR transformer*:ti,ab,kw OR 'vision transformer':ti,ab,kw OR vit:ti,ab,kw OR swin:ti,ab,kw OR 'self attention':ti,ab,kw) AND ('fundus photography'/exp OR 'optical coherence tomography'/exp OR fundus:ti,ab,kw OR oct:ti,ab,kw OR 'retinal nerve fiber layer':ti,ab,kw) AND [english]/lim AND [2017-2026]/py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187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Scopus (Elsevier)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TITLE-ABS-KEY(glaucoma* OR "glaucomatous optic neuropathy" OR "optic nerve head" OR "ocular hypertension") AND TITLE-ABS-KEY(transformer* OR "vision transformer" OR ViT OR DeiT OR Swin OR DINO OR "self-attention" OR "deep learning") AND TITLE-ABS-KEY(fundus OR "optic disc photograph*" OR "optical coherence tomography" OR OCT OR "retinal nerve fib*er layer" OR "retinal imag*") AND PUBYEAR &gt; 2016 AND PUBYEAR &lt; 2027 AND (LIMIT-TO(LANGUAGE,"English")) AND (LIMIT-TO(DOCTYPE,"ar"))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386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Web of Science Core Collection (Clarivate)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TS=(glaucoma* OR "glaucomatous optic neuropathy" OR "optic nerve head" OR "ocular hypertension") AND TS=(transformer* OR "vision transformer" OR ViT OR DeiT OR Swin OR DINO OR "self-attention") AND TS=(fundus OR "optic disc photograph*" OR "optical coherence tomography" OR OCT OR "retinal nerve fib?re layer" OR "retinal imag*") [Refined by: publication years 2017–2026; document type Article; English]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298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IEEE Xplore (IEEE)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("All Metadata":glaucoma OR "All Metadata":"glaucomatous optic neuropathy") AND ("All Metadata":transformer OR "All Metadata":"vision transformer" OR "All Metadata":Swin OR "All Metadata":"self-attention") AND ("All Metadata":fundus OR "All Metadata":"optical coherence tomography" OR "All Metadata":"retinal nerve fiber layer") [Filters: Journals; 2017–2026]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341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Google Scholar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glaucoma ("vision transformer" OR "swin transformer" OR "self-attention") (fundus OR "optic disc" OR "optical coherence tomography"); first 200 relevance-ranked results screened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47 records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Backward citation searching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Reference lists of included reports and relevant reviews.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5"/>
              </w:rPr>
              <w:t>Forward citation searching</w:t>
            </w:r>
          </w:p>
        </w:tc>
        <w:tc>
          <w:tcPr>
            <w:tcW w:type="dxa" w:w="10318"/>
          </w:tcPr>
          <w:p>
            <w:pPr>
              <w:spacing w:after="0"/>
            </w:pPr>
            <w:r>
              <w:rPr>
                <w:b w:val="0"/>
                <w:sz w:val="15"/>
              </w:rPr>
              <w:t>Cited-by searching for included reports.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5"/>
              </w:rPr>
              <w:t>15 July 2026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Coverage was 1 January 2017 to 15 July 2026. Controlled vocabulary was used where available. For Google Scholar, the first 200 relevance-ranked results were screened and 47 records were retained for the additional-search stream. Where an interface allowed only a year filter (2017–2026), eligibility up to 15 July 2026 was enforced during screening.</w:t>
      </w:r>
    </w:p>
    <w:p>
      <w:pPr>
        <w:keepNext/>
        <w:spacing w:after="80" w:before="200"/>
      </w:pPr>
      <w:r>
        <w:rPr>
          <w:b/>
        </w:rPr>
        <w:t xml:space="preserve">Table S2. </w:t>
      </w:r>
      <w:r>
        <w:t>Principal reasons for exclusion at full-text assessment.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4"/>
        <w:gridCol w:w="1701"/>
      </w:tblGrid>
      <w:tr>
        <w:trPr>
          <w:tblHeader/>
        </w:trPr>
        <w:tc>
          <w:tcPr>
            <w:tcW w:type="dxa" w:w="6803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Principal exclusion reason (in order of the prespecified hierarchy)</w:t>
            </w:r>
          </w:p>
        </w:tc>
        <w:tc>
          <w:tcPr>
            <w:tcW w:type="dxa" w:w="170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Reports, n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Population or target condition not glaucoma-specific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No eligible transformer architecture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Ineligible task or outcome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Secondary or non-original report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Conference paper, preprint, or thesis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No glaucoma-specific result sufficient for eligibility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Duplicate or overlapping report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36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One principal reason was assigned to each of the 36 excluded full-text reports. The three reports that could not be retrieved are not included in this denominator.</w:t>
      </w:r>
    </w:p>
    <w:p>
      <w:r>
        <w:br w:type="page"/>
      </w:r>
    </w:p>
    <w:p>
      <w:pPr>
        <w:keepNext/>
        <w:spacing w:after="80" w:before="200"/>
      </w:pPr>
      <w:r>
        <w:rPr>
          <w:b/>
        </w:rPr>
        <w:t xml:space="preserve">Table S3. </w:t>
      </w:r>
      <w:r>
        <w:t>Characteristics of the 55 included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154"/>
        <w:gridCol w:w="2721"/>
        <w:gridCol w:w="2041"/>
        <w:gridCol w:w="2154"/>
        <w:gridCol w:w="1871"/>
        <w:gridCol w:w="2097"/>
      </w:tblGrid>
      <w:tr>
        <w:trPr>
          <w:tblHeader/>
        </w:trPr>
        <w:tc>
          <w:tcPr>
            <w:tcW w:type="dxa" w:w="192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Report</w:t>
            </w:r>
          </w:p>
        </w:tc>
        <w:tc>
          <w:tcPr>
            <w:tcW w:type="dxa" w:w="2154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Origin / data source</w:t>
            </w:r>
          </w:p>
        </w:tc>
        <w:tc>
          <w:tcPr>
            <w:tcW w:type="dxa" w:w="272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Modality and denominator</w:t>
            </w:r>
          </w:p>
        </w:tc>
        <w:tc>
          <w:tcPr>
            <w:tcW w:type="dxa" w:w="204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2154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Task group: task</w:t>
            </w:r>
          </w:p>
        </w:tc>
        <w:tc>
          <w:tcPr>
            <w:tcW w:type="dxa" w:w="187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Validation tier; participant separation</w:t>
            </w:r>
          </w:p>
        </w:tc>
        <w:tc>
          <w:tcPr>
            <w:tcW w:type="dxa" w:w="209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Dataset family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S01; Song et al., 2021 [34]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China / ZOC-OCT&amp;VF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Peripapillary OCT B-scans + visual-field probability plots; 1,395 OCT–VF pairs; 641 participants (unit: eye/pair)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Deep Relation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diagnosis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ZOC-OCT&amp;VF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S02; Fan et al., 2023 [35]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 / OHTS + DIGS, ACRIMA, LAG, RIM-ONE, and ORIGA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Optic-disc photographs; 66,715 photographs/1,636 OHTS participants; 16,137 external photographs (unit: participant/image)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DeiT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POAG detection under five outcome definitions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OHTS; DIGS; ACRIMA; LAG; RIM-ONE; 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S03; Wang et al., 2023 [36]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China / ODIR-5K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Paired-eye colour fundus photographs; 7,000 training images/3,500 participants; 1,000 off-site and 2,000 on-site challenge images (unit: participant/image)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MBSaNet CNN–Transformer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Multilabel fundus-disease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Development-derived/validation-only result;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ODIR-5K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S04; Alayón et al., 2023 [37]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Spain / RIM-ONE DL + private development; REFUGE, DRISHTI-GS, and PAPILA external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 fundus crops; 739 development images; external datasets 1,200, 101, and 421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ViT, DeiT, CaiT, and ConViT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RIM-ONE; REFUGE; DRISHTI-GS; PAPILA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S05; Hwang et al., 2023 [38]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 / DRISHTI-GS, sjchoi86-HRF, RIM-ONE, ORIGA, ACRIMA, REFUGE2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2,738 images across six repositories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Vision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GON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DRISHTI-GS; HRF; RIM-ONE; ORIGA; ACRIMA; REFUGE2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S06; Singh et al., 2023 [39]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India / IEEE DataPort fundus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Report states 1,750 images in the abstract and 1,450 in the body; test totals are also inconsistent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Light Vision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IEEE DataPort glaucoma dataset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S07; D’Souza et al., 2024 [40]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AIROGS/EyePACS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Balanced subset of 6,540 images from a 101,442-image source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AlterNet-K: ResNet blocks alternating with multi-head self-attention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Referable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AIROGS/EyePACS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S08; Wang et al., 2023 [41]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China / GAMMA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Fundus photograph + 3D OCT; 300 paired multimodal examinations/276 participants; 150 glaucoma and 150 normal (unit: eye)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MSTNet with 3D Transformer and multimodal fusion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Three-level glaucoma grading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GAMMA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S09; Wu et al., 2023 [42]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China/multinational / GAMMA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Fundus photograph + 3D OCT; 300 paired examinations (100 train, 100 validation, 100 test) (unit: eye)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Challenge systems; leading entry used dual Swin-based multimodal fusion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Three-level glaucoma grading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GAMMA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S10; Tohye et al., 2024 [43]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SMDG aggregate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 + optic disc/cup contours; 11,665 source images; 24,127 images after augmentation/generation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Contour-guided augmented Vision Transformer + CVGAN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Multiclass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SMDG; DRISHTI-GS; RIM-ONE; REFUGE; EyePACS; 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S11; Wang et al., 2024 [44]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Taiwan / Single retrospective clinical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Hyperspectral-converted fundus photographs; 1,291 images (638 glaucoma; 653 non-glaucoma)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Vision Transformer by spectral band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Taiwan hyperspectral-converted fundus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S12; Chincholi and Koestler, 2024 [45]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Standardized Fundus Glaucoma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2,670 images (1,961 non-glaucoma; 709 glaucoma)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Vision Transformer and Detection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classification/detection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SMDG components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S13; Almeshrky and Karacı, 2024 [46]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DRISHTI-GS and ORIGA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101 and 650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Swin Transformer classifier within a segmentation/classification pipeline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DRISHTI-GS; 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S14; Sangchocanonta et al., 2025 [47]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Thailand / GlauCUTU-DATA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9,380 images; strict 3/3 subset 5,570 and 2/3 subset 3,810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DeiT-S with polar/pie augmentation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Glaucoma, suspect, and no-glaucoma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GlauCUTU-DATA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S15; Ashtari-Majlan and Masip, 2025 [48]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Maetschke OCT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3D OCT volumes; 1,110 volumes/624 participants (847 POAG; 263 healthy) (unit: participant/volume)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RETFound ViT-Large + bidirectional GRU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POAG diagnosis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Maetschke 3D OCT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S16; Yurdakul et al., 2025 [49]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HDV1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11,500 images (3,940 normal; 2,890 early; 4,670 advanced)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MaxGlaViT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Normal/early/advanced stage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HDV1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S17; Das et al., 2025 [50]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Benchmark development set + unseen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Dual-domain Global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Multistage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Unspecified benchmark + unseen dataset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S18; Naidana et al., 2025 [51]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India/public / ACRIMA, ORIGA, DRISHTI-GS + curated validation images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Approximately 1,450 images across sources; report-specific ACRIMA count discrepant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MobileNet-derived network with multi-head transformer module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ACRIMA; ORIGA; DRISHTI-GS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S19; Guntreddi and Sivakumar, 2025 [52]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ORIGA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 + ORIGA metadata; 650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ResNet50/VGG16/Swin Transformer voting ensemble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S20; Jisy et al., 2025 [53]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India / LVPEI private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415 original images (120 glaucoma; 295 normal)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ViT-B/16, ViT-B/32, and Swin variants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LVPEI fundus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S21; Krishnamoorthy et al., 2025 [54]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Public fundus images; source incompletely specified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1,200 images claimed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Attention-gated U-Net + wavelet scattering + Vision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Unspecified public fundus set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S22; Sivakumar and Penkova, 2025 [55]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States/unclear / New-case dataset; provenance NR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Fundus photographs + clinical biomarkers; 2,874 cases; 2,857 reported correctly classified (unit: case/image)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ViT–ResNet, OWL-ViT–ResNet, and Swin–ResNet hybrids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Unspecified multimodal case set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S23; Alasmari et al., 2025 [56]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REFUGE, ORIGA, and G1020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Dataset totals 1,200, 650, and 1,020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MaskFormer with Swin-Base backbone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Disc/cup segmentation followed by vCDR-threshold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REFUGE; ORIGA; G1020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S24; Liao et al., 2025 [57]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JustRAIGS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101,442 challenge images; exact analytic subset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Vision Transformer classifier with diffusion augmentation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Referable-glaucoma classification under synthetic augmentation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JustRAIGS/AIROGS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S25; Lv et al., 2025 [58]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DRISHTI-GS development; REFUGE external segmentation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101 and 1,200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E-DCoAtUNet with convolution–attention/Transformer blocks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Disc/cup segmentation and vCDR-based binary screening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DRISHTI-GS; REFUGE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S26; Prakash and Vinoth Kumar, 2025 [59]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DRISHTI-GS1, RIM-ONE, and ORIGA-Light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101, 169, and 650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SegNet + Multi-Scale Attention Transformer and optimisation modules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Disc/cup segmentation and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DRISHTI-GS; RIM-ONE; 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S27; AlMohimeed, 2025 [60]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Kaggle Eye Diseases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4,217 images (1,007 glaucoma)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ViT/DeiT/Swin feature fusion with PCA and machine-learning stacking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eye-disease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S28; Lin, 2025 [61]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Kaggle Eye Diseases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4,217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LGSF-Net: CNN local stream + three-head Transformer global stream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eye-disease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S29; Gandhi et al., 2025 [62]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International/unclear / GRAPE and other public/clinical sources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Fundus + OCT + clinical variables; Total analytic sample and paired-modality denominators NR (unit: unclear)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CNN + ViT + quantum-inspired fusion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diagnosis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GRAPE and unspecified sources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S30; Rieck et al., 2025 [63]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Broad multiclass fundus dataset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Transformer–CNN hybrid with self-attention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Ten-class eye-disease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Broad multiclass fundus dataset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S31; Hou et al., 2026 [64]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Glaucoma_fundus development + PAPILA external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DINOv2-B/S/L versus RETFound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 within a multidisease study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Glaucoma_fundus; PAPILA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S32; Abramovich et al., 2026 [65]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International/multicentre / KULRD, HYRD/HYGD, PAPILA, DRISHTI-GS, REFUGE/2, and GAMMA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More than 119,000 source images; new HYGD subset 747 images (unit: participant/image)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DINOv2 ViT-B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GON detection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Internal–external/leave-one-domain-out;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HYGD; PAPILA; DRISHTI-GS; REFUGE; GAMMA; KULRD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S33; Geetha and Hema, 2026 [66]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EyePACS, APTOS, MESSIDOR, and DRISHTI-GS1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19,240 images claimed; 28% glaucoma, 10% healthy, and 62% diabetic retinopathy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ViT–BiFusionDRNet–HGS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Joint disease and glaucoma-stage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EyePACS; APTOS; MESSIDOR; DRISHTI-GS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S34; Bolo et al., 2026 [67]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 / LAC-DHS development + USC external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6,116 participants; 8,996 train, 3,002 validation, 1,000 internal test, and 300 external photographs (unit: participant/image)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RETFound versus supervised CNN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Referable-glaucoma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LAC-DHS; USC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S35; Chuter et al., 2026 [68]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 / DIGS/ADAGES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 photographs + OCT; 1,098 participants/1,948 eyes; 14,510 photographs and 32,640 OCT scans (unit: participant/eye/visit)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Multimodal RETFound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Binary GON detection with severity analysis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DIGS; ADAGES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S36; Li et al., 2026 [69]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 / POAAGG development + REFUGE-1 external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64,129 photographs/2,464 participants (1,782 cases; 682 controls) (unit: participant/visit/image)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ViT-B/L with ViT image-quality selector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POAG screening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POAAGG; REFUGE-1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S37; Tariq et al., 2026 [70]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SMDG-19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17,242 images claimed; train/validation/test 8,621/5,757/2,874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ResNet50 + Vision Transformer ensemble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SMDG-19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S38; Bharathi and Shaik, 2026 [71]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ORIGA + RIM-ONE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Exact analytic n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Pooled-attention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ORIGA; RIM-ONE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S39; Okuwobi et al., 2026 [72]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International/mixed / G1020, ORIGA, REFUGE, private, SMDG, and RIGA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 with pseudo-hyperspectral and temporal processing; Public sets plus 15,000 private images; several reported counts conflict with source datasets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Temporal Texture Evolution Transformer within Glauco-Net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G1020; ORIGA; REFUGE; SMDG; RIGA; private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S40; Gandhi et al., 2026 [73]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International/unclear / Named public fundus datasets with unspecified OCT linkage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Fundus + OCT; Analytic n NR (unit: unclear)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Multimodal Vision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Binary/stage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DRISHTI; ORIGA; RIGA; DRIONS-DB; APTOS; EyePACS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S41; Chilukuri et al., 2026 [74]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LAG, ACRIMA, and DRISHTI-GS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5,690 images (4,874; 715; 101)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Attention U-Net + Swin-T + vCDR fusion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LAG; ACRIMA; DRISHTI-GS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S42; Hernández et al., 2026 [75]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Spain / RIM-ONE DL + private Canary Islands set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739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SpxViT with superpixel tokens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RIM-ONE; Canary Islands private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S43; Bouris et al., 2026 [76]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United States/public / UCLA early POAG + ACRIMA/RIM-ONE controls; advanced UCLA test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Optic-disc photographs; 2,087 primary images; 956 advanced eyes (unit: eye)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ViT-B/16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GON detection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UCLA; ACRIMA; RIM-ONE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S44; Hasan et al., 2026 [77]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International/clinical / CFEH private clinical cohort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 + visual fields + OCT; 354 eyes with optic or neurodegenerative neuropathies and 228 normal eyes; 213 glaucoma eyes were staged as 69 early, 60 moderate, 25 advanced, and 59 central-field cases (unit: eye)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Multimodal attention network with ViT-16 comparator, spatial/self-attention, and cross-attention fusion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Binary glaucoma diagnosis and severity staging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Participant-level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CFEH private multimodal cohort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S45; Wu et al., 2026 [78]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Fourteen fundus datasets; AIROGS/EyePACS was the largest source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117,827 photographs across sources; 100,973 AIROGS/EyePACS images were usable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Conditional diffusion augmentation + Swin-B classifier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Referable-glaucoma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AIROGS/EyePACS and 13 external fundus datasets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S46; Moorthy et al., 2026 [79]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DRISHTI-GS, RIM-ONE, and ORIGA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Exact analytic sample and allocation were not reported sufficiently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Transformer-assisted segmentation and classification pipeline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Disc/cup segmentation followed by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DRISHTI-GS; RIM-ONE; ORIGA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S47; Noh et al., 2026 [80]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RIM-ONE, REFUGE, and DRISHTI-GS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Dataset-specific image totals; exact combined analytic denominator NR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GlaucoFormer transformer classifier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RIM-ONE; REFUGE; DRISHTI-GS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S48; Pramanik and Bag, 2026 [81]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Three public datasets, including HDV1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Reported source totals of 1,544, 1,584, and 623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Multistage transformer-based classifier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grading/staging/suspect classification: Glaucoma detection and severity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HDV1 and two public fundus datasets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S49; Roopalakshmi et al., 2026 [82]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Six aggregated public fundus datasets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4,548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Contrastive Vision Transformer with hyperparameter fine-tuning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Binary 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Aggregated six-dataset fundus corpus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S50; Abdelbaki et al., 2026 [83]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RFMiD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3,200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Hierarchical transformer classifier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Multilabel retinal-disease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RFMiD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S51; Malik et al., 2026 [84]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Ocular Image Hub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4,215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ConvNeXt with multi-head-attention transformer module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ocular-disease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Ocular Image Hub/Kaggle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S52; Malik et al., 2026 [85]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Ocular Image Hub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4,215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ConvNeXt–Transformer–ASPP with prototype and quality-aware semi-supervised learning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ocular-disease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Ocular Image Hub/Kaggle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S53; Santo et al., 2026 [86]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Ocular Image Hub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Four-class repository; exact analytic denominator NR in extraction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MaxViT-based hybrid classifier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ocular-disease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Ocular Image Hub/Kaggle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S54; Rahman et al., 2026 [87]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Kaggle Eye Diseases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Approximately 4,217 images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Customised Vision Transformer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Multidisease/multilabel classification: Four-class ocular-disease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partition; separation: Image/eye-level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Kaggle Eye Diseases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S55; Zaib, 2026 [88]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International/public / JustRAIGS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sz w:val="14"/>
              </w:rPr>
              <w:t>Colour fundus photographs; 101,442 source images; 3,270 referable-glaucoma images reported (unit: 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4"/>
              </w:rPr>
              <w:t>StyleGAN2 + SwinIR enhancement with EfficientNet/Swin ensemble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Binary/referable glaucoma or GON detection: Referable-glaucoma classification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4"/>
              </w:rPr>
              <w:t>Development-derived/validation-only result; separation: Unclear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4"/>
              </w:rPr>
              <w:t>JustRAIGS/AIROGS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Publication year follows the journal volume year. Denominators retain the source unit and are not summed across reports. Reference standards and early-disease classifications are given in Table S5.</w:t>
      </w:r>
    </w:p>
    <w:p>
      <w:r>
        <w:br w:type="page"/>
      </w:r>
    </w:p>
    <w:p>
      <w:pPr>
        <w:keepNext/>
        <w:spacing w:after="80" w:before="200"/>
      </w:pPr>
      <w:r>
        <w:rPr>
          <w:b/>
        </w:rPr>
        <w:t xml:space="preserve">Table S4. </w:t>
      </w:r>
      <w:r>
        <w:t>Validation design and diagnostic performance as reported.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814"/>
        <w:gridCol w:w="1587"/>
        <w:gridCol w:w="2154"/>
        <w:gridCol w:w="3515"/>
        <w:gridCol w:w="3969"/>
      </w:tblGrid>
      <w:tr>
        <w:trPr>
          <w:tblHeader/>
        </w:trPr>
        <w:tc>
          <w:tcPr>
            <w:tcW w:type="dxa" w:w="192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Report</w:t>
            </w:r>
          </w:p>
        </w:tc>
        <w:tc>
          <w:tcPr>
            <w:tcW w:type="dxa" w:w="1814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Task</w:t>
            </w:r>
          </w:p>
        </w:tc>
        <w:tc>
          <w:tcPr>
            <w:tcW w:type="dxa" w:w="1587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Validation tier</w:t>
            </w:r>
          </w:p>
        </w:tc>
        <w:tc>
          <w:tcPr>
            <w:tcW w:type="dxa" w:w="2154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Evaluation design</w:t>
            </w:r>
          </w:p>
        </w:tc>
        <w:tc>
          <w:tcPr>
            <w:tcW w:type="dxa" w:w="3515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Reported performance</w:t>
            </w:r>
          </w:p>
        </w:tc>
        <w:tc>
          <w:tcPr>
            <w:tcW w:type="dxa" w:w="396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Interpretive note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S01; Song et al., 2021 [34]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diagnosis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88.3%; AUC 0.939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Clinical cohort and paired modalities were strengths, but participant allocation, early-stage rule, and masking were incompletely reported.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S02; Fan et al., 2023 [35]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POAG detection under five outcome definitions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test plus five external datasets; participant separation: Participant-level;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OHTS AUC 0.82–0.91; main endpoint AUC 0.88 (0.82–0.92), early 0.87 (0.80–0.91); external AUC 0.73–0.91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Best-developed early-disease and generalisability evidence in the corpus; external labels nevertheless varied by dataset.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S03; Wang et al., 2023 [36]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Multilabel fundus-disease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Development-derived/validation-only result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Held-out challenge evaluation; glaucoma subset analysis reused a training-derived sample; participant separation: Participant-level;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AUC 0.891 off-site and 0.878 on-site; glaucoma precision 0.87 and recall 0.82 on a balanced 400-image training-derived subset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Glaucoma-specific metrics came from a balanced subset sampled from development data rather than the official independent test set.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S04; Alayón et al., 2023 [37]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and cross-dataset external evaluation; participant separation: Image/eye-level;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Best internal balanced accuracy 97.32%; external best transformer balanced accuracy 88.84% REFUGE, 83.02% DRISHTI-GS, and 78.78% PAPILA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Cross-dataset evaluation was informative, but development used image-level allocation and non-equivalent reference labels.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S05; Hwang et al., 2023 [38]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GON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within-dataset evaluation only;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AUC by dataset 0.67–0.95; accuracy 0.74–0.97; one test subset contained five images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Reference standards varied materially and one specificity estimate was based on five images; resampling did not create independent evidence.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S06; Singh et al., 2023 [39]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reported as approximately 97%; denominator inconsistencies prevented verification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Irreconcilable sample and confusion-matrix totals, no clinical reference standard, and no independent evaluation.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S07; D’Souza et al., 2024 [40]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Referable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hidden challenge test not used;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0.9161; recall 0.9070; F1 0.915; AUC 0.968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Balanced case-control subsampling and image-level resampling limit screening transportability despite large source data.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S08; Wang et al., 2023 [41]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Three-level glaucoma grading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challenge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Primary glaucoma-grading performance reported; exact diagnostic point estimates NR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staging was a strength; small shared benchmark and incompletely reported split level limit independence.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S09; Wu et al., 2023 [42]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Three-level glaucoma grading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Independent challenge holdout from the same source;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Leading final quadratic-weighted kappa 0.8477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Well-defined challenge holdout, but the cohort overlaps MSTNet and remains a small benchmark rather than an external clinical cohort.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S10; Tohye et al., 2024 [43]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Multiclass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93.0%; precision 93.0%; recall 93.08%; F1 92.9%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Generated-image handling and separation of validation from testing were ambiguous; participant leakage could not be excluded.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S11; Wang et al., 2024 [44]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Best 610–780 nm model: accuracy, precision, recall, F1, and AUC approximately 0.9007; RGB accuracy 0.8473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A single clinical source and image-level allocation limit generalisability; the converted hyperspectral signal is algorithm-derived rather than directly acquired.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S12; Chincholi and Koestler, 2024 [45]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classification/detection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DETR accuracy 90.48%, sensitivity 0.94, specificity 0.75, AUC 0.88; ViT accuracy 87.87%, sensitivity 0.92, specificity 0.84, AUC 0.86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Circularity arises because a structural feature used as a model target is also presented as evidence of glaucoma.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S13; Almeshrky and Karacı, 2024 [46]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within-dataset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Best DRISHTI-GS three-fold accuracy 88.18%, sensitivity 94.29%, specificity 74.19%; ORIGA cropped holdout accuracy 96.15% but cross-validation approximately 79.07%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Large divergence between a single holdout and cross-validation suggests instability; no patient-level or external evaluation.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S14; Sangchocanonta et al., 2025 [47]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Glaucoma, suspect, and no-glaucoma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Strict 3/3 AUC: glaucoma 92.63%, suspect 92.35%, normal 92.32%; 2/3 AUC: 68.22%, 68.23%, and 73.09%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Expert consensus is a strength, but the marked performance decline under lower agreement shows label uncertainty and no independent validation was performed.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S15; Ashtari-Majlan and Masip, 2025 [48]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POAG diagnosis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participant separation: Participant-level;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89.19%; AUC 94.20%; sensitivity 91.83%; specificity 79.67%; F1 93.01%; MCC 69.33%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Subject-level allocation and a clinical outcome were strengths; curated case-control sampling and absence of external evaluation remain limiting.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S16; Yurdakul et al., 2025 [49]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Normal/early/advanced stage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92.03%; precision 92.33%; recall 92.03%; F1 92.13%; kappa 87.12%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apparently early-stage outcome depends on inherited labels with no reproducible staging rule and no external validation.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S17; Das et al., 2025 [50]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Multistage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 plus unseen dataset; participant separation: Unclear;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Diagnostic metrics reported in the source; exact dataset-specific point estimates NR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unseen-dataset design supports generalisation, but sample provenance, stage definition, and split details were insufficiently reported.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S18; Naidana et al., 2025 [51]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and mixed-source validation;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ACRIMA performance approximately 97% across headline measures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Potential leakage, inconsistent sample reporting, and mixing of label sources make the high accuracy difficult to interpret.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S19; Guntreddi and Sivakumar, 2025 [52]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82.43%; macro F1 0.82; AUC 0.93; glaucoma precision 0.90, recall 0.73, F1 0.81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Single repository, image-level allocation, and uncertain label provenance limit the apparent ensemble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S20; Jisy et al., 2025 [53]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Best ViT-B/32: accuracy 96.19%; sensitivity 99.01%; specificity 93.12%; precision 94.02%; F1 0.96; MCC 0.92; AUC 0.995 (0.991–0.998)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Very small source cohort and augmentation before an apparently image-level evaluation create substantial optimism risk.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S21; Krishnamoorthy et al., 2025 [54]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Headline accuracy 94.6%, sensitivity 93.8%, specificity 95.2%, F1 0.95, AUC 0.96; ablation table reports lower full-model accuracy of 91.5%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Dataset provenance and internally conflicting performance tables prevent confident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S22; Sivakumar and Penkova, 2025 [55]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Best Swin–ResNet accuracy 99.4%; glaucoma F1 0.993; non-glaucoma F1 0.995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source, reference standard, data linkage, and split are not reproducible despite near-perfect reported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S23; Alasmari et al., 2025 [56]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Disc/cup segmentation followed by vCDR-threshold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multi-dataset development/evaluation;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Disc/cup IoU 88.29%/91.09%; Dice 93.83%/93.71%; classification accuracy 84.03%, F1 84.56%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Transparent biomarker derivation was offset by image-level allocation and circular surrogate-outcome classification.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S24; Liao et al., 2025 [57]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Referable-glaucoma classification under synthetic augmentation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Sensitivity 0.8182 real-only, 0.8615 with 10% synthetic, and 0.8788 with 50%; specificity, accuracy, and AUC declined beyond 10%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study isolates augmentation effects but does not establish independent clinical performance; synthetic fraction trades sensitivity against other metrics.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S25; Lv et al., 2025 [58]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Disc/cup segmentation and vCDR-based binary screening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classification; external biomarker segmentation only;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Classification accuracy 84.09%, recall 97.37%, F1 90.24%; CDR correlation 0.919 and MAE 0.0387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Strong biomarker agreement does not validate a clinical glaucoma outcome; external testing concerned segmentation rather than diagnosis.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S26; Prakash and Vinoth Kumar, 2025 [59]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Disc/cup segmentation and 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and cross-dataset evaluation; participant separation: Image/eye-level;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RIM-ONE accuracy 98.7%, AUC 98.32%; ORIGA-Light accuracy 99.1%; reciprocal cross-dataset accuracy approximately 97%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Cross-dataset experiments were valuable, but very small repositories, surrogate labels, and internal table inconsistencies imply substantial optimism.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S27; AlMohimeed, 2025 [60]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eye-disease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97.163%; glaucoma precision 95.588%, recall 96.535%, F1 96.059%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Class-specific metrics were extractable, but image-level benchmark evaluation cannot establish clinical screening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S28; Lin, 2025 [61]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eye-disease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95.97%; reported glaucoma sensitivity 98.85%, specificity 97.87%, precision 97.73%, F1 approximately 98.29%, AUC 1.00; class counts are inconsistent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Glaucoma confusion-matrix totals do not reconcile with the stated test set; performance is therefore descriptive only.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S29; Gandhi et al., 2025 [62]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diagnosis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96%; sensitivity 94%; specificity 96%; AUC 0.97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Sample provenance, cross-modality matching, reference standard, and several complexity/explainability claims could not be verified.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S30; Rieck et al., 2025 [63]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Ten-class eye-disease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Glaucoma true-positive rate 61.23%; no second glaucoma-specific measure or reconstructable 2×2 table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Eligible glaucoma-specific evidence was limited to one class sensitivity estimate; the report cannot support balanced accuracy or screening utility.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S31; Hou et al., 2026 [64]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 within a multidisease study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External cross-dataset evaluation; participant separation: Unclear;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Internal DINOv2-B/S AUC 0.958 (0.955–0.961) vs RETFound 0.940 (0.936–0.945); external DINOv2-L AUC 0.625 vs RETFound 0.558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large external domain drop demonstrates that excellent internal discrimination did not transport across datasets.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S32; Abramovich et al., 2026 [65]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GON detection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Internal–external/leave-one-domain-out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Internal-external/leave-one-domain-out validation; participant separation: Participant-level;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AUC across domains approximately 0.88–0.99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Large, multidomain evaluation and participant grouping were strengths, but target-label heterogeneity and missing identifiers in some sources remain important.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S33; Geetha and Hema, 2026 [66]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Joint disease and glaucoma-stage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98.4%, F1 0.94; class AUCs &gt;0.97; stage values reported as early 96.8%, moderate 97.9%, advanced 98.3% without clear metric identity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Claimed glaucoma composition and stage labels cannot be reconstructed from the named source datasets; results were retained only narratively.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S34; Bolo et al., 2026 [67]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Referable-glaucoma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test plus external clinical set; participant separation: Participant-level;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RETFound full-image internal AUC 0.915 (0.898–0.930); cropped AUC 0.911; external performance reported separately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Robust evaluation design, but the target was a morphologic referral threshold rather than clinical glaucoma.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S35; Chuter et al., 2026 [68]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GON detection with severity analysis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Held-out clinical test from the same study network; participant separation: Participant-level;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Multimodal AUC 0.94 (0.91–0.97), precision 0.96, recall 0.87; OCT AUC 0.93; photograph AUC 0.86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Patient-level multimodal evaluation and a clinical outcome were strong; independent-centre transportability was not tested.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S36; Li et al., 2026 [69]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POAG screening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test plus external Chinese cohort; participant separation: Participant-level;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Final visit-level AUC 0.925 in POAAGG; external AUC 0.920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Large ancestry-focused clinical cohort, participant separation, and external evaluation support validity; early-stage and calibration evidence remained limited.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S37; Tariq et al., 2026 [70]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Review-derived from confusion matrix: accuracy 99.756%, sensitivity 99.464%, specificity 99.943%, F1 99.686%; paper reports accuracy 99.8%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Composite-source leakage risk and inconsistent class totals make the near-perfect internal estimates unlikely to transport.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S38; Bharathi and Shaik, 2026 [71]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98.68%; precision 97.06%; sensitivity 97.07%; specificity 98.57%; F1 98.31%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Exact sample, allocation, threshold, and reference-standard details were not reported sufficiently for independent reconstruction.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S39; Okuwobi et al., 2026 [72]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multi-dataset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Reported AUC 0.972–0.991 and accuracy 94.8–97.3% across sources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Dataset counts, labels, and confusion-matrix metrics materially conflict with source resources; no quantitative conclusion relies on this study.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S40; Gandhi et al., 2026 [73]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Binary/stage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Benchmark/internal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 94.5%; sensitivity 92.8%; specificity 94.9%; F1 0.93; AUC reported inconsistently as 0.917 and 0.93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Named sources do not establish paired OCT data, and sample, split, outcome, and metric inconsistencies preclude clinical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S41; Chilukuri et al., 2026 [74]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multi-dataset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Accuracy/F1: LAG 99.02%/97.20%; ACRIMA 98.97%/96.50%; DRISHTI-GS 98.75%/95.80%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report is inconsistent about pooled versus dataset-specific training and does not provide truly independent external testing.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S42; Hernández et al., 2026 [75]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mixed-source resampling;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Balanced accuracy 92.5% for ViT-B/16 and 91.89% for SpxViT-var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Clinically informed labels and interpretable tokenisation were strengths, but combined-source cross-validation is not independent external validation.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S43; Bouris et al., 2026 [76]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GON detection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mixed-source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Abstract test AUC 1.00, accuracy 0.987, sensitivity 0.994, specificity 0.969; advanced cohort accuracy 99.9%; table-derived values differ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Explicit early disease and specialist grading are major strengths, but all glaucoma originated from one clinic while most controls were public, creating near-complete site/class confounding.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S44; Hasan et al., 2026 [77]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diagnosis and severity staging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participant separation: Participant-level;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Fundus + visual-field + OCT model: AUC 0.981 (0.966–0.996) for glaucoma versus non-glaucoma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Explicit clinical staging, participant-grouped folds, and multimodal fusion were informative, but the case-control design and lack of independent evaluation limit deployment inference.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S45; Wu et al., 2026 [78]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Referable-glaucoma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External/cross-dataset evaluation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testing plus external cross-dataset evaluation; participant separation: Image/eye-level; domain shift: Yes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Internal AUC 0.992 and sensitivity 0.969 at 95% specificity; zero-shot AUCs 0.806–0.981 across ten external datasets; fine-tuned AUCs 0.887–0.988 on three further datasets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Breadth of cross-dataset evaluation was a major strength, but source-label heterogeneity and image-level allocation leave residual bias and applicability concerns.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S46; Moorthy et al., 2026 [79]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Disc/cup segmentation followed by 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allocation unclear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Reported classification accuracy 98.63% on RIM-ONE and 98.96% on ORIGA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High reported accuracy could not be linked to a fully reconstructable test denominator, patient split, threshold, or independent reference standard.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S47; Noh et al., 2026 [80]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RIM-ONE/REFUGE/DRISHTI-GS accuracy 95.8%/96.0%/92.0%; AUC 96.80%/91.11%/91.32%; sensitivity 100%/85%/93.75%; specificity 93.6%/97.22%/88.88%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Multiple benchmarks were evaluated, but no frozen external test was demonstrated and the data-availability description was internally inconsistent.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S48; Pramanik and Bag, 2026 [81]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Glaucoma detection and severity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Classification results were reported, but exact glaucoma-specific denominators and comparable point estimates were not sufficiently extractable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Incomplete reporting of dataset identity, allocation, staging reference, and glaucoma-specific results prevents quantitative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S49; Roopalakshmi et al., 2026 [82]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Binary 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87.91%; glaucoma sensitivity 70.3%, precision 79.6%, F1 74.5%, and specificity 82.1%; source tables contain inconsistencies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Pooling heterogeneous repositories before an image-level split and conflicting tabular values limit both independence and reproducibility.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S50; Abdelbaki et al., 2026 [83]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Multilabel retinal-disease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Glaucoma accuracy 93.6% ± 0.7%, F1 81.9% ± 0.8%, sensitivity 79.8% ± 0.9%, and specificity 96.1% ± 0.5%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Glaucoma-specific estimates were available, but a single image-level repository split and inherited labels limit clinical transportability.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S51; Malik et al., 2026 [84]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ocular-disease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95.27–95.51%; glaucoma AUC 0.99 with specificity above 95%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Class-specific AUC was high, but the evidence remained an image-level benchmark evaluation with inherited labels and no independent test.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S52; Malik et al., 2026 [85]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ocular-disease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accuracy 96.45%, F1 96.40%, and kappa 0.9527; class AUCs ranged from 0.99 to 1.00, but the exact glaucoma-specific AUC was not isolated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same small public corpus was reused in a distinct model analysis; glaucoma-specific discrimination was incompletely separated from overall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S53; Santo et al., 2026 [86]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ocular-disease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 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resampling;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Glaucoma-specific performance was reported in the source but exact denominators and a comparable complete metric set were not extractable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Reuse of the same repository, image-level resampling, and incomplete class-specific reporting constrain inference.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S54; Rahman et al., 2026 [87]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Four-class ocular-disease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Same-source held-out/fixed partition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held-out evaluation; participant separation: Image/eye-level;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Overall ViT accuracy 71.56% and F1 70.04%; glaucoma F1 62.83%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The modest glaucoma F1 illustrates task difficulty, but image-level evaluation and inherited labels still prevent clinical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S55; Zaib, 2026 [88]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4"/>
              </w:rPr>
              <w:t>Referable-glaucoma classification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4"/>
              </w:rPr>
              <w:t>Development-derived/validation-only result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4"/>
              </w:rPr>
              <w:t>Internal validation; participant separation: Unclear; domain shift: No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4"/>
              </w:rPr>
              <w:t>Validation accuracy 98.2%, F1 0.83, sensitivity 0.87, specificity 0.97, and AUC 0.982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4"/>
              </w:rPr>
              <w:t>A large source repository was available, but validation-only reporting, uncertain participant separation, and limited methodological reporting increase optimism risk.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Values are transcribed as reported and are not pooled. Review-derived values were calculated only from an unambiguous confusion matrix. Cross-dataset evaluation does not automatically constitute independent clinical validation.</w:t>
      </w:r>
    </w:p>
    <w:p>
      <w:r>
        <w:br w:type="page"/>
      </w:r>
    </w:p>
    <w:p>
      <w:pPr>
        <w:keepNext/>
        <w:spacing w:after="80" w:before="200"/>
      </w:pPr>
      <w:r>
        <w:rPr>
          <w:b/>
        </w:rPr>
        <w:t xml:space="preserve">Table S5. </w:t>
      </w:r>
      <w:r>
        <w:t>Early-disease definitions, reference standards, imaging biomarkers, and explanation methods.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701"/>
        <w:gridCol w:w="2608"/>
        <w:gridCol w:w="1020"/>
        <w:gridCol w:w="2835"/>
        <w:gridCol w:w="2268"/>
        <w:gridCol w:w="2608"/>
      </w:tblGrid>
      <w:tr>
        <w:trPr>
          <w:tblHeader/>
        </w:trPr>
        <w:tc>
          <w:tcPr>
            <w:tcW w:type="dxa" w:w="192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Report</w:t>
            </w:r>
          </w:p>
        </w:tc>
        <w:tc>
          <w:tcPr>
            <w:tcW w:type="dxa" w:w="1701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Early-disease category</w:t>
            </w:r>
          </w:p>
        </w:tc>
        <w:tc>
          <w:tcPr>
            <w:tcW w:type="dxa" w:w="260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Operational definition or source detail</w:t>
            </w:r>
          </w:p>
        </w:tc>
        <w:tc>
          <w:tcPr>
            <w:tcW w:type="dxa" w:w="1020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Interpretable early estimate</w:t>
            </w:r>
          </w:p>
        </w:tc>
        <w:tc>
          <w:tcPr>
            <w:tcW w:type="dxa" w:w="2835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Reference standard</w:t>
            </w:r>
          </w:p>
        </w:tc>
        <w:tc>
          <w:tcPr>
            <w:tcW w:type="dxa" w:w="226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Biomarker representation</w:t>
            </w:r>
          </w:p>
        </w:tc>
        <w:tc>
          <w:tcPr>
            <w:tcW w:type="dxa" w:w="260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Explanation method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S01; Song et al., 2021 [34]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447 early, 140 moderate, and 110 advanced cases reported; the report did not give a reproducible early cut-off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Clinical diagnosis integrating OCT and visual field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OCT structural pattern and visual-field function, learned jointly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S02; Fan et al., 2023 [35]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 glaucoma defined as visual-field mean deviation ≥ −6 dB and reported separately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OHTS endpoint committee and reading-centre determinations using disc and/or reproducible visual-field change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Neuroretinal rim and localised rim thinning; direct attention maps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Transformer attention maps; rim localisation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S03; Wang et al., 2023 [36]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or preperimetric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ODIR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whole-retina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S04; Alayón et al., 2023 [37]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or preperimetric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Mixed repository plus clinical/expert labels: Dataset-specific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optic-disc/cup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S05; Hwang et al., 2023 [38]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severity stratification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Labels inherited from each repository; ORIGA algorithmic and sjchoi86-HRF provenance unknown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appearance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S06; Singh et al., 2023 [39]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Dataset label; provenance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S07; D’Souza et al., 2024 [40]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AIROGS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appearance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S08; Wang et al., 2023 [41]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Early: visual-field mean deviation &gt; −6 dB; intermediate −6 to −12 dB; advanced &lt; −12 dB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GAMMA labels integrating fundus, OCT, and visual field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RNFL/OCT spatial structure and fundus optic-nerve-head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S09; Wu et al., 2023 [42]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Early/mild category based on visual-field mean deviation &gt; −6 dB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Challenge reference integrating structural and functional information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vCDR from fundus and RNFL thickness from OCT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S10; Tohye et al., 2024 [43]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Suspect/OHT risk state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A suspect class was included, but its inherited label was not supported by a reproducible clinical definition and was not equated with established early glaucoma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labels from aggregated repositories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optic-disc and optic-cup contours supplied as a second stream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Attention heat maps for CA-ViT and transformer comparators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S11; Wang et al., 2024 [44]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Specialist clinical diagnosis incorporating OCT/RNFL and visual field; exact criteria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Spectral-band signal; vCDR and retinal regions discussed but not independently validated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S12; Chincholi and Koestler, 2024 [45]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vCDR &gt; 0.6 identifies a structural risk marker, not an operational early-glaucoma state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Cup-to-disc ratio &gt; 0.6 with expert validation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vCDR and vertical neuroretinal-rim thinning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S13; Almeshrky and Karacı, 2024 [46]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dataset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Optic-disc localisation/segmentation; cup morphology implicit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S14; Sangchocanonta et al., 2025 [47]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Suspect/OHT risk state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Glaucoma suspect was a separate consensus class and was not treated as established early glaucoma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Consensus of three ophthalmologists, analysed by agreement stratum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ISNT sectors, disc rim, notching, and cup; direct attention maps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Attention maps localised rim/notching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S15; Ashtari-Majlan and Masip, 2025 [48]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Mean glaucoma MD −6.8 ± 8.1 dB; no separately defined early subgroup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POAG with reproducible visual-field defects on at least two tests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Slice-wise OCT representation and inter-slice dependencies; attention rollout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Attention rollout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S16; Yurdakul et al., 2025 [49]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An early class was used, but the report did not provide an independently reproducible clinical staging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HDV1 stage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S17; Das et al., 2025 [50]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Stage labels were evaluated, but reproducible clinical cutoffs were not available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Dataset-specific stage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Spatial- and frequency-domain fundus features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S18; Naidana et al., 2025 [51]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Mixed repository plus clinical/expert labels: Inherited dataset labels and a small clinical source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optic-disc/cup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S19; Guntreddi and Sivakumar, 2025 [52]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ORIGA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CDR metadata and implicit disc appearance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S20; Jisy et al., 2025 [53]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Clinical dataset labels; criteria and masking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 disc/cup and RNFL regions assessed with explanations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Grad-CAM/attention visualisations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S21; Krishnamoorthy et al., 2025 [54]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Inherited/unspecified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 disc/cup boundaries and multiscale texture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S22; Sivakumar and Penkova, 2025 [55]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operational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Unclear or mixed-unclear: Reference diagnosis and clinical-variable linkage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Fundus representation plus clinical biomarkers; exact variables incompletely reported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S23; Alasmari et al., 2025 [56]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vCDR-based risk classification was not treated as early glaucoma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REFUGE expert annotation; ORIGA/G1020 inherited labels; glaucoma defined by vCDR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vertical cup-to-disc ratio from segmented disc and cup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vCDR pathway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S24; Liao et al., 2025 [57]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operational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JustRAIGS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S25; Lv et al., 2025 [58]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Expert masks; glaucoma threshold vCDR &gt; 0.6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vCDR from optic disc/cup segmentation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S26; Prakash and Vinoth Kumar, 2025 [59]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Inherited dataset labels and masks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disc/cup segmentation and CDR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S27; AlMohimeed, 2025 [60]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S28; Lin, 2025 [61]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local/global fundus features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S29; Gandhi et al., 2025 [62]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operational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Unclear or mixed-unclear: Source-specific labels; linkage and criteria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Fundus/OCT structural features and clinical variables; simulated explanations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Grad-CAM/SHAP/LIME claims include simulated examples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S30; Rieck et al., 2025 [63]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dataset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S31; Hou et al., 2026 [64]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Dataset-native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whole-fundus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S32; Abramovich et al., 2026 [65]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uniform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Mixed repository plus clinical/expert labels: Dataset-specific specialist/repository labels; suspects/OHT excluded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S33; Geetha and Hema, 2026 [66]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Early, moderate, and advanced stages reported without an operational staging reference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Source labels; stated class composition could not be reconciled with the named source datasets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retinal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S34; Bolo et al., 2026 [67]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Referable morphology was not treated as established early glaucoma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CDR ≥ 0.6; optometrist development labels and specialist test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Optic-disc morphology and vCDR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S35; Chuter et al., 2026 [68]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Mild versus moderate–severe defined using visual-field staging in the source report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Photographic GON with or without repeatable visual-field loss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 morphology and OCT structural information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S36; Li et al., 2026 [69]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subgroup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Open angles, characteristic optic-nerve defects, and corresponding visual-field loss; suspects excluded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 appearance; image quality modeled explicitly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S37; Tariq et al., 2026 [70]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The title claims early detection; no operational early-glaucoma definition was reported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Aggregated dataset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Green-channel/CLAHE vessel and texture information; optic-nerve-head features implicit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S38; Bharathi and Shaik, 2026 [71]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optic-disc structural deformation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S39; Okuwobi et al., 2026 [72]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reproducible early-glaucoma definition despite title and claims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Unclear or mixed-unclear: Mixed inherited/private labels; criteria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Pseudo-hyperspectral signal, vascular topology, temporal texture, and peripapillary scattering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S40; Gandhi et al., 2026 [73]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Early/late language was used without an operational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Unclear or mixed-unclear: Dataset labels; paired-modality provenance NR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Cross-modal optic-nerve-head/OCT features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S41; Chilukuri et al., 2026 [74]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Dataset-native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optic disc, optic cup, and vCDR plus spectral shape descriptors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S42; Hernández et al., 2026 [75]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severity-stratified early subgroup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Clinical or clinical-composite diagnosis: Expert clinical diagnosis using CDR &gt; 0.7 plus IOP, visual-field, or optic-nerve criteria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Semantic superpixels preserving disc/cup boundaries; attention visualisation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Intrinsic superpixel tokens and attention maps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S43; Bouris et al., 2026 [76]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Primary glaucoma cohort required visual-field MD &gt; −6 dB within one year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Two glaucoma specialists with third adjudication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Optic-nerve-head/rim appearance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S44; Hasan et al., 2026 [77]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Operational mild/early perimetric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Early disease was explicitly staged using the Mills visual-field classification; a separately extractable early-stage diagnostic estimate was not reported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Adjudicated/reading-centre/multiple-expert reference: Senior optometrist clinical record with second-expert review; Mills visual-field staging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Optic-nerve-head appearance, visual-field loss, and OCT structural information integrated by cross-attention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S45; Wu et al., 2026 [78]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operational early-glaucoma subgroup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Mixed repository plus clinical/expert labels: Dataset-specific labels, including certified-grader labels in the largest source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morphology; synthetic augmentation addressed source imbalance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S46; Moorthy et al., 2026 [79]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Surrogate/algorithmic threshold: Inherited repository labels and masks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Explicit optic-disc and optic-cup segmentation with cup-to-disc morphology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S47; Noh et al., 2026 [80]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dataset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S48; Pramanik and Bag, 2026 [81]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Author-labelled early/stage; criteria inadequate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Stage labels included an early category, but no reproducible clinical cut-off was available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dataset labels; staging criteria incompletely reported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and retinal texture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S49; Roopalakshmi et al., 2026 [82]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Layer-wise relevance propagation heatmaps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S50; Abdelbaki et al., 2026 [83]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RFMiD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whole-retina and optic-nerve-head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S51; Malik et al., 2026 [84]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local and global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Gradient-based integrated attention maps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S52; Malik et al., 2026 [85]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local/global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Guided Grad-CAM, transformer attention maps, and prototype clustering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S53; Santo et al., 2026 [86]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Insertion/deletion evaluation of explanation maps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S54; Rahman et al., 2026 [87]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Inherited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fundus representation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4"/>
              </w:rPr>
              <w:t>S55; Zaib, 2026 [88]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4"/>
              </w:rPr>
              <w:t>No early/preperimetric definition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No early definition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4"/>
              </w:rPr>
              <w:t>Inherited repository label: JustRAIGS repository labels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4"/>
              </w:rPr>
              <w:t>Implicit optic-nerve-head morphology under synthetic enhancement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4"/>
              </w:rPr>
              <w:t>NR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Preperimetric glaucoma required structural glaucomatous damage with a normal, reliable visual field; mild/early perimetric glaucoma required an accepted staging system or a clearly applied mean-deviation threshold of approximately −6 dB or better. Attention and saliency outputs were classified as explanation methods, not as validated biomarkers.</w:t>
      </w:r>
    </w:p>
    <w:p>
      <w:pPr>
        <w:keepNext/>
        <w:spacing w:after="80" w:before="200"/>
      </w:pPr>
      <w:r>
        <w:rPr>
          <w:b/>
        </w:rPr>
        <w:t xml:space="preserve">Table S6. </w:t>
      </w:r>
      <w:r>
        <w:t>Recurring public dataset families and linked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247"/>
        <w:gridCol w:w="7938"/>
      </w:tblGrid>
      <w:tr>
        <w:trPr>
          <w:tblHeader/>
        </w:trPr>
        <w:tc>
          <w:tcPr>
            <w:tcW w:type="dxa" w:w="3402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Dataset family</w:t>
            </w:r>
          </w:p>
        </w:tc>
        <w:tc>
          <w:tcPr>
            <w:tcW w:type="dxa" w:w="1247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Reports, n</w:t>
            </w:r>
          </w:p>
        </w:tc>
        <w:tc>
          <w:tcPr>
            <w:tcW w:type="dxa" w:w="7937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Linked reports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DRISHTI-GS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S04, S05, S10, S13, S18, S25, S26, S32, S33, S40, S41, S46, S47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ORIGA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S02, S05, S10, S13, S18, S19, S23, S26, S38, S39, S40, S46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RIM-ONE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S02, S04, S05, S10, S26, S38, S42, S43, S46, S47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REFUGE family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S04, S05, S10, S23, S25, S32, S36, S39, S47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EyePACS/AIROGS/JustRAIGS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S07, S10, S24, S33, S40, S45, S55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Kaggle Eye Diseases/Ocular Image Hub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S27, S28, S51, S52, S53, S54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ACRIMA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S02, S05, S18, S41, S43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SMDG aggregate/family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S10, S12, S37, S39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GAMMA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S08, S09, S32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6"/>
              </w:rPr>
              <w:t>PAPILA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6"/>
              </w:rPr>
              <w:t>S04, S31, S32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Counts are report occurrences. Named constituents of an aggregate dataset were counted when the report documented their use. Linked reports are not independent replications.</w:t>
      </w:r>
    </w:p>
    <w:p>
      <w:r>
        <w:br w:type="page"/>
      </w:r>
    </w:p>
    <w:p>
      <w:pPr>
        <w:keepNext/>
        <w:spacing w:after="80" w:before="200"/>
      </w:pPr>
      <w:r>
        <w:rPr>
          <w:b/>
        </w:rPr>
        <w:t xml:space="preserve">Table S7. </w:t>
      </w:r>
      <w:r>
        <w:t>PROBAST+AI judgements for model development, model evaluation, and applicability, with report-specific rationales.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6180"/>
      </w:tblGrid>
      <w:tr>
        <w:trPr>
          <w:tblHeader/>
        </w:trPr>
        <w:tc>
          <w:tcPr>
            <w:tcW w:type="dxa" w:w="1928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Report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D-P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D-Pr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D-O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D-A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D-All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E-P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E-Pr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E-O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E-A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E-All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Ap-P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Ap-Pr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Ap-O</w:t>
            </w:r>
          </w:p>
        </w:tc>
        <w:tc>
          <w:tcPr>
            <w:tcW w:type="dxa" w:w="539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Ap-All</w:t>
            </w:r>
          </w:p>
        </w:tc>
        <w:tc>
          <w:tcPr>
            <w:tcW w:type="dxa" w:w="6180"/>
            <w:shd w:val="clear" w:color="auto" w:fill="E7ECF3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Report-specific rationale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S01; Song et al., 2021 [34]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ZOC-OCT&amp;VF; separation unclear. Outcome: Clinical diagnosis integrating OCT and visual field (clinical or clinical-composite diagnosis). Analysis: same-source held-out/fixed partition. Principal concern: Clinical cohort and paired modalities were strengths, but participant allocation, early-stage rule, and masking were incompletely reported.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S02; Fan et al., 2023 [35]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OHTS + DIGS, ACRIMA, LAG, RIM-ONE, and ORIGA; separation participant-level. Outcome: OHTS endpoint committee and reading-centre determinations using disc and/or reproducible visual-field change (adjudicated/reading-centre/multiple-expert reference). Analysis: external/cross-dataset evaluation. Principal concern: Best-developed early-disease and generalisability evidence in the corpus; external labels nevertheless varied by dataset.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S03; Wang et al., 2023 [36]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ODIR-5K; separation participant-level. Outcome: Inherited ODIR labels (inherited repository label). Analysis: development-derived/validation-only result. Principal concern: Glaucoma-specific metrics came from a balanced subset sampled from development data rather than the official independent test set.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S04; Alayón et al., 2023 [37]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RIM-ONE DL + private development; REFUGE, DRISHTI-GS, and PAPILA external; separation image/eye-level. Outcome: Dataset-specific labels (mixed repository plus clinical/expert labels). Analysis: external/cross-dataset evaluation. Principal concern: Cross-dataset evaluation was informative, but development used image-level allocation and non-equivalent reference labels.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S05; Hwang et al., 2023 [38]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DRISHTI-GS, sjchoi86-HRF, RIM-ONE, ORIGA, ACRIMA, REFUGE2; separation image/eye-level. Outcome: Labels inherited from each repository; ORIGA algorithmic and sjchoi86-HRF provenance unknown (surrogate/algorithmic threshold). Analysis: same-source held-out/fixed partition. Principal concern: Reference standards varied materially and one specificity estimate was based on five images; resampling did not create independent evidence.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S06; Singh et al., 2023 [39]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IEEE DataPort fundus dataset; separation image/eye-level. Outcome: Dataset label; provenance NR (inherited repository label). Analysis: same-source held-out/fixed partition. Principal concern: Irreconcilable sample and confusion-matrix totals, no clinical reference standard, and no independent evaluation.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S07; D’Souza et al., 2024 [40]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AIROGS/EyePACS; separation image/eye-level. Outcome: AIROGS repository labels (inherited repository label). Analysis: internal resampling only. Principal concern: Balanced case-control subsampling and image-level resampling limit screening transportability despite large source data.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S08; Wang et al., 2023 [41]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GAMMA; separation unclear. Outcome: GAMMA labels integrating fundus, OCT, and visual field (adjudicated/reading-centre/multiple-expert reference). Analysis: same-source held-out/fixed partition. Principal concern: Operational staging was a strength; small shared benchmark and incompletely reported split level limit independence.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S09; Wu et al., 2023 [42]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GAMMA; separation unclear. Outcome: Challenge reference integrating structural and functional information (adjudicated/reading-centre/multiple-expert reference). Analysis: same-source held-out/fixed partition. Principal concern: Well-defined challenge holdout, but the cohort overlaps MSTNet and remains a small benchmark rather than an external clinical cohort.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S10; Tohye et al., 2024 [43]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SMDG aggregate; separation image/eye-level. Outcome: Inherited labels from aggregated repositories (inherited repository label). Analysis: same-source held-out/fixed partition. Principal concern: Generated-image handling and separation of validation from testing were ambiguous; participant leakage could not be excluded.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S11; Wang et al., 2024 [44]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Single retrospective clinical dataset; separation image/eye-level. Outcome: Specialist clinical diagnosis incorporating OCT/RNFL and visual field; exact criteria NR (clinical or clinical-composite diagnosis). Analysis: same-source held-out/fixed partition. Principal concern: A single clinical source and image-level allocation limit generalisability; the converted hyperspectral signal is algorithm-derived rather than directly acquired.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S12; Chincholi and Koestler, 2024 [45]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Standardized Fundus Glaucoma Dataset; separation image/eye-level. Outcome: Cup-to-disc ratio &gt; 0.6 with expert validation (surrogate/algorithmic threshold). Analysis: same-source held-out/fixed partition. Principal concern: Circularity arises because a structural feature used as a model target is also presented as evidence of glaucoma.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S13; Almeshrky and Karacı, 2024 [46]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DRISHTI-GS and ORIGA; separation image/eye-level. Outcome: Inherited dataset labels (inherited repository label). Analysis: same-source held-out/fixed partition. Principal concern: Large divergence between a single holdout and cross-validation suggests instability; no patient-level or external evaluation.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S14; Sangchocanonta et al., 2025 [47]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GlauCUTU-DATA; separation unclear. Outcome: Consensus of three ophthalmologists, analysed by agreement stratum (adjudicated/reading-centre/multiple-expert reference). Analysis: internal resampling only. Principal concern: Expert consensus is a strength, but the marked performance decline under lower agreement shows label uncertainty and no independent validation was performed.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S15; Ashtari-Majlan and Masip, 2025 [48]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Maetschke OCT dataset; separation participant-level. Outcome: POAG with reproducible visual-field defects on at least two tests (clinical or clinical-composite diagnosis). Analysis: internal resampling only. Principal concern: Subject-level allocation and a clinical outcome were strengths; curated case-control sampling and absence of external evaluation remain limiting.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S16; Yurdakul et al., 2025 [49]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HDV1; separation image/eye-level. Outcome: Inherited HDV1 stage labels (inherited repository label). Analysis: same-source held-out/fixed partition. Principal concern: The apparently early-stage outcome depends on inherited labels with no reproducible staging rule and no external validation.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S17; Das et al., 2025 [50]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Benchmark development set + unseen dataset; separation unclear. Outcome: Dataset-specific stage labels (inherited repository label). Analysis: external/cross-dataset evaluation. Principal concern: The unseen-dataset design supports generalisation, but sample provenance, stage definition, and split details were insufficiently reported.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S18; Naidana et al., 2025 [51]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ACRIMA, ORIGA, DRISHTI-GS + curated validation images; separation image/eye-level. Outcome: Inherited dataset labels and a small clinical source (mixed repository plus clinical/expert labels). Analysis: same-source held-out/fixed partition. Principal concern: Potential leakage, inconsistent sample reporting, and mixing of label sources make the high accuracy difficult to interpret.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S19; Guntreddi and Sivakumar, 2025 [52]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ORIGA; separation image/eye-level. Outcome: ORIGA labels (surrogate/algorithmic threshold). Analysis: same-source held-out/fixed partition. Principal concern: Single repository, image-level allocation, and uncertain label provenance limit the apparent ensemble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S20; Jisy et al., 2025 [53]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LVPEI private dataset; separation image/eye-level. Outcome: Clinical dataset labels; criteria and masking NR (clinical or clinical-composite diagnosis). Analysis: same-source held-out/fixed partition. Principal concern: Very small source cohort and augmentation before an apparently image-level evaluation create substantial optimism risk.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S21; Krishnamoorthy et al., 2025 [54]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Public fundus images; source incompletely specified; separation image/eye-level. Outcome: Inherited/unspecified labels (inherited repository label). Analysis: same-source held-out/fixed partition. Principal concern: Dataset provenance and internally conflicting performance tables prevent confident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S22; Sivakumar and Penkova, 2025 [55]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New-case dataset; provenance NR; separation unclear. Outcome: Reference diagnosis and clinical-variable linkage NR (unclear or mixed-unclear). Analysis: internal evaluation; allocation unclear. Principal concern: The source, reference standard, data linkage, and split are not reproducible despite near-perfect reported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S23; Alasmari et al., 2025 [56]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REFUGE, ORIGA, and G1020; separation image/eye-level. Outcome: REFUGE expert annotation; ORIGA/G1020 inherited labels; glaucoma defined by vCDR (surrogate/algorithmic threshold). Analysis: same-source held-out/fixed partition. Principal concern: Transparent biomarker derivation was offset by image-level allocation and circular surrogate-outcome classification.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S24; Liao et al., 2025 [57]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JustRAIGS; separation unclear. Outcome: JustRAIGS labels (inherited repository label). Analysis: same-source held-out/fixed partition. Principal concern: The study isolates augmentation effects but does not establish independent clinical performance; synthetic fraction trades sensitivity against other metrics.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S25; Lv et al., 2025 [58]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DRISHTI-GS development; REFUGE external segmentation; separation unclear. Outcome: Expert masks; glaucoma threshold vCDR &gt; 0.6 (surrogate/algorithmic threshold). Analysis: same-source held-out/fixed partition. Principal concern: Strong biomarker agreement does not validate a clinical glaucoma outcome; external testing concerned segmentation rather than diagnosis.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S26; Prakash and Vinoth Kumar, 2025 [59]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DRISHTI-GS1, RIM-ONE, and ORIGA-Light; separation image/eye-level. Outcome: Inherited dataset labels and masks (surrogate/algorithmic threshold). Analysis: external/cross-dataset evaluation. Principal concern: Cross-dataset experiments were valuable, but very small repositories, surrogate labels, and internal table inconsistencies imply substantial optimism.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S27; AlMohimeed, 2025 [60]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Kaggle Eye Diseases; separation image/eye-level. Outcome: Inherited repository labels (inherited repository label). Analysis: same-source held-out/fixed partition. Principal concern: Class-specific metrics were extractable, but image-level benchmark evaluation cannot establish clinical screening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S28; Lin, 2025 [61]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Kaggle Eye Diseases; separation image/eye-level. Outcome: Inherited repository labels (inherited repository label). Analysis: same-source held-out/fixed partition. Principal concern: Glaucoma confusion-matrix totals do not reconcile with the stated test set; performance is therefore descriptive only.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S29; Gandhi et al., 2025 [62]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GRAPE and other public/clinical sources; separation unclear. Outcome: Source-specific labels; linkage and criteria NR (unclear or mixed-unclear). Analysis: same-source held-out/fixed partition. Principal concern: Sample provenance, cross-modality matching, reference standard, and several complexity/explainability claims could not be verified.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S30; Rieck et al., 2025 [63]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Broad multiclass fundus dataset; separation unclear. Outcome: Inherited dataset labels (inherited repository label). Analysis: internal resampling only. Principal concern: Eligible glaucoma-specific evidence was limited to one class sensitivity estimate; the report cannot support balanced accuracy or screening utility.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S31; Hou et al., 2026 [64]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Glaucoma_fundus development + PAPILA external; separation unclear. Outcome: Dataset-native labels (inherited repository label). Analysis: external/cross-dataset evaluation. Principal concern: The large external domain drop demonstrates that excellent internal discrimination did not transport across datasets.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S32; Abramovich et al., 2026 [65]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KULRD, HYRD/HYGD, PAPILA, DRISHTI-GS, REFUGE/2, and GAMMA; separation participant-level. Outcome: Dataset-specific specialist/repository labels; suspects/OHT excluded (mixed repository plus clinical/expert labels). Analysis: internal–external/leave-one-domain-out. Principal concern: Large, multidomain evaluation and participant grouping were strengths, but target-label heterogeneity and missing identifiers in some sources remain important.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S33; Geetha and Hema, 2026 [66]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EyePACS, APTOS, MESSIDOR, and DRISHTI-GS1; separation image/eye-level. Outcome: Source labels; stated class composition could not be reconciled with the named source datasets (inherited repository label). Analysis: same-source held-out/fixed partition. Principal concern: Claimed glaucoma composition and stage labels cannot be reconstructed from the named source datasets; results were retained only narratively.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S34; Bolo et al., 2026 [67]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LAC-DHS development + USC external; separation participant-level. Outcome: CDR ≥ 0.6; optometrist development labels and specialist test labels (surrogate/algorithmic threshold). Analysis: external/cross-dataset evaluation. Principal concern: Robust evaluation design, but the target was a morphologic referral threshold rather than clinical glaucoma.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S35; Chuter et al., 2026 [68]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DIGS/ADAGES; separation participant-level. Outcome: Photographic GON with or without repeatable visual-field loss (clinical or clinical-composite diagnosis). Analysis: same-source held-out/fixed partition. Principal concern: Patient-level multimodal evaluation and a clinical outcome were strong; independent-centre transportability was not tested.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S36; Li et al., 2026 [69]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POAAGG development + REFUGE-1 external; separation participant-level. Outcome: Open angles, characteristic optic-nerve defects, and corresponding visual-field loss; suspects excluded (clinical or clinical-composite diagnosis). Analysis: external/cross-dataset evaluation. Principal concern: Large ancestry-focused clinical cohort, participant separation, and external evaluation support validity; early-stage and calibration evidence remained limited.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S37; Tariq et al., 2026 [70]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SMDG-19; separation image/eye-level. Outcome: Aggregated dataset labels (inherited repository label). Analysis: same-source held-out/fixed partition. Principal concern: Composite-source leakage risk and inconsistent class totals make the near-perfect internal estimates unlikely to transport.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S38; Bharathi and Shaik, 2026 [71]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ORIGA + RIM-ONE; separation unclear. Outcome: Inherited repository labels (inherited repository label). Analysis: internal evaluation; allocation unclear. Principal concern: Exact sample, allocation, threshold, and reference-standard details were not reported sufficiently for independent reconstruction.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S39; Okuwobi et al., 2026 [72]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G1020, ORIGA, REFUGE, private, SMDG, and RIGA; separation unclear. Outcome: Mixed inherited/private labels; criteria NR (unclear or mixed-unclear). Analysis: internal resampling only. Principal concern: Dataset counts, labels, and confusion-matrix metrics materially conflict with source resources; no quantitative conclusion relies on this study.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S40; Gandhi et al., 2026 [73]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Named public fundus datasets with unspecified OCT linkage; separation unclear. Outcome: Dataset labels; paired-modality provenance NR (unclear or mixed-unclear). Analysis: internal evaluation; allocation unclear. Principal concern: Named sources do not establish paired OCT data, and sample, split, outcome, and metric inconsistencies preclude clinical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S41; Chilukuri et al., 2026 [74]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LAG, ACRIMA, and DRISHTI-GS; separation image/eye-level. Outcome: Dataset-native labels (surrogate/algorithmic threshold). Analysis: same-source held-out/fixed partition. Principal concern: The report is inconsistent about pooled versus dataset-specific training and does not provide truly independent external testing.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S42; Hernández et al., 2026 [75]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RIM-ONE DL + private Canary Islands set; separation unclear. Outcome: Expert clinical diagnosis using CDR &gt; 0.7 plus IOP, visual-field, or optic-nerve criteria (clinical or clinical-composite diagnosis). Analysis: internal resampling only. Principal concern: Clinically informed labels and interpretable tokenisation were strengths, but combined-source cross-validation is not independent external validation.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S43; Bouris et al., 2026 [76]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UCLA early POAG + ACRIMA/RIM-ONE controls; advanced UCLA test; separation image/eye-level. Outcome: Two glaucoma specialists with third adjudication (adjudicated/reading-centre/multiple-expert reference). Analysis: same-source held-out/fixed partition. Principal concern: Explicit early disease and specialist grading are major strengths, but all glaucoma originated from one clinic while most controls were public, creating near-complete site/class confounding.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S44; Hasan et al., 2026 [77]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CFEH private clinical cohort; separation participant-level. Outcome: Senior optometrist clinical record with second-expert review; Mills visual-field staging (adjudicated/reading-centre/multiple-expert reference). Analysis: internal resampling only. Principal concern: Explicit clinical staging, participant-grouped folds, and multimodal fusion were informative, but the case-control design and lack of independent evaluation limit deployment inference.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S45; Wu et al., 2026 [78]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Fourteen fundus datasets; AIROGS/EyePACS was the largest source; separation image/eye-level. Outcome: Dataset-specific labels, including certified-grader labels in the largest source (mixed repository plus clinical/expert labels). Analysis: external/cross-dataset evaluation. Principal concern: Breadth of cross-dataset evaluation was a major strength, but source-label heterogeneity and image-level allocation leave residual bias and applicability concerns.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S46; Moorthy et al., 2026 [79]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DRISHTI-GS, RIM-ONE, and ORIGA; separation unclear. Outcome: Inherited repository labels and masks (surrogate/algorithmic threshold). Analysis: internal evaluation; allocation unclear. Principal concern: High reported accuracy could not be linked to a fully reconstructable test denominator, patient split, threshold, or independent reference standard.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S47; Noh et al., 2026 [80]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RIM-ONE, REFUGE, and DRISHTI-GS; separation image/eye-level. Outcome: Inherited dataset labels (inherited repository label). Analysis: same-source held-out/fixed partition. Principal concern: Multiple benchmarks were evaluated, but no frozen external test was demonstrated and the data-availability description was internally inconsistent.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S48; Pramanik and Bag, 2026 [81]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Three public datasets, including HDV1; separation unclear. Outcome: Inherited dataset labels; staging criteria incompletely reported (inherited repository label). Analysis: same-source held-out/fixed partition. Principal concern: Incomplete reporting of dataset identity, allocation, staging reference, and glaucoma-specific results prevents quantitative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S49; Roopalakshmi et al., 2026 [82]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Six aggregated public fundus datasets; separation image/eye-level. Outcome: Inherited repository labels (inherited repository label). Analysis: same-source held-out/fixed partition. Principal concern: Pooling heterogeneous repositories before an image-level split and conflicting tabular values limit both independence and reproducibility.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S50; Abdelbaki et al., 2026 [83]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RFMiD; separation image/eye-level. Outcome: Inherited RFMiD labels (inherited repository label). Analysis: same-source held-out/fixed partition. Principal concern: Glaucoma-specific estimates were available, but a single image-level repository split and inherited labels limit clinical transportability.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S51; Malik et al., 2026 [84]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Ocular Image Hub; separation image/eye-level. Outcome: Inherited repository labels (inherited repository label). Analysis: same-source held-out/fixed partition. Principal concern: Class-specific AUC was high, but the evidence remained an image-level benchmark evaluation with inherited labels and no independent test.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S52; Malik et al., 2026 [85]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Ocular Image Hub; separation image/eye-level. Outcome: Inherited repository labels (inherited repository label). Analysis: same-source held-out/fixed partition. Principal concern: The same small public corpus was reused in a distinct model analysis; glaucoma-specific discrimination was incompletely separated from overall performance.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S53; Santo et al., 2026 [86]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Ocular Image Hub; separation image/eye-level. Outcome: Inherited repository labels (inherited repository label). Analysis: internal resampling only. Principal concern: Reuse of the same repository, image-level resampling, and incomplete class-specific reporting constrain inference.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S54; Rahman et al., 2026 [87]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Kaggle Eye Diseases; separation image/eye-level. Outcome: Inherited repository labels (inherited repository label). Analysis: same-source held-out/fixed partition. Principal concern: The modest glaucoma F1 illustrates task difficulty, but image-level evaluation and inherited labels still prevent clinical interpretation.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3"/>
              </w:rPr>
              <w:t>S55; Zaib, 2026 [88]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U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D9EAD3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L</w:t>
            </w:r>
          </w:p>
        </w:tc>
        <w:tc>
          <w:tcPr>
            <w:tcW w:type="dxa" w:w="539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 w:val="0"/>
                <w:sz w:val="13"/>
              </w:rPr>
              <w:t>H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sz w:val="13"/>
              </w:rPr>
              <w:t>Participants/data: JustRAIGS; separation unclear. Outcome: JustRAIGS repository labels (inherited repository label). Analysis: development-derived/validation-only result. Principal concern: A large source repository was available, but validation-only reporting, uncertain participant separation, and limited methodological reporting increase optimism risk.</w:t>
            </w:r>
          </w:p>
        </w:tc>
      </w:tr>
    </w:tbl>
    <w:p>
      <w:pPr>
        <w:spacing w:after="160" w:before="60"/>
      </w:pPr>
      <w:r>
        <w:rPr>
          <w:b w:val="0"/>
          <w:i w:val="0"/>
          <w:sz w:val="16"/>
        </w:rPr>
        <w:t>D, model-development quality; E, risk of bias in model evaluation; Ap, applicability of the evaluation evidence to the intended use (detection or triage of current glaucoma from optic nerve head or retinal imaging). P, participants and data sources; Pr, predictors; O, outcome; A, analysis; All, overall judgement. L, low; U, unclear; H, high. The overall judgement was high when any domain was high, low only when every domain was low, and unclear otherwise. No numerical quality score was calculated. Suspect/ocular-hypertension and surrogate structural targets were not equated with established glaucoma when judging outcome applicability.</w:t>
      </w:r>
    </w:p>
    <w:sectPr w:rsidR="00FC693F" w:rsidRPr="0006063C" w:rsidSect="00034616">
      <w:footerReference w:type="default" r:id="rId9"/>
      <w:pgSz w:w="16838" w:h="11906" w:orient="landscape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NUMPAGES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Palatino Linotype" w:hAnsi="Palatino Linotype" w:eastAsia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subject>Are Transformer-Based Artificial Intelligence Models Ready for Glaucoma Screening from Retinal Imaging? A Systematic Review of Validation Rigour, Early-Disease Evidence, and Risk of Bias</dc:subject>
  <dc:creator>Majed S. Alsanea; Moulay Ibrahim El-Khalil Ghembaza; Ashit Kumar Dutta; Mujeeb Ahmed Shaikh</dc:creator>
  <cp:keywords/>
  <dc:description/>
  <cp:lastModifiedBy>Moulay Ibrahim El-Khalil Ghembaza</cp:lastModifiedBy>
  <cp:revision>1</cp:revision>
  <dcterms:created xsi:type="dcterms:W3CDTF">2026-09-29T12:00:00Z</dcterms:created>
  <dcterms:modified xsi:type="dcterms:W3CDTF">2026-09-29T12:00:00Z</dcterms:modified>
  <cp:category/>
</cp:coreProperties>
</file>