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Supplementary Materials</w:t>
      </w:r>
    </w:p>
    <w:p>
      <w:pPr>
        <w:spacing w:after="200"/>
      </w:pPr>
      <w:r>
        <w:rPr>
          <w:b/>
          <w:i w:val="0"/>
          <w:sz w:val="24"/>
        </w:rPr>
        <w:t>Are Transformer-Based Artificial Intelligence Models Ready for Glaucoma Screening from Retinal Imaging? A Systematic Review of Validation Rigour, Early-Disease Evidence, and Risk of Bias</w:t>
      </w:r>
    </w:p>
    <w:p>
      <w:pPr>
        <w:spacing w:after="120"/>
      </w:pPr>
      <w:r>
        <w:rPr>
          <w:b w:val="0"/>
          <w:i w:val="0"/>
          <w:sz w:val="18"/>
        </w:rPr>
        <w:t>Reference numbers in square brackets correspond to the reference list of the main manuscript. Report identifiers (S01–S55) are used consistently across all tables. NR, not reported or not separately extractable; values were not imputed. Counts describe reports, not independent cohorts.</w:t>
      </w:r>
    </w:p>
    <w:p>
      <w:pPr>
        <w:spacing w:after="40" w:before="120"/>
      </w:pPr>
      <w:r>
        <w:rPr>
          <w:b/>
          <w:i w:val="0"/>
          <w:sz w:val="22"/>
        </w:rPr>
        <w:t>Contents</w:t>
      </w:r>
    </w:p>
    <w:p>
      <w:pPr>
        <w:spacing w:after="20"/>
      </w:pPr>
      <w:r>
        <w:rPr>
          <w:b w:val="0"/>
          <w:i w:val="0"/>
          <w:sz w:val="19"/>
        </w:rPr>
        <w:t>Table S1. Electronic search strategies and supplementary search methods</w:t>
      </w:r>
    </w:p>
    <w:p>
      <w:pPr>
        <w:spacing w:after="20"/>
      </w:pPr>
      <w:r>
        <w:rPr>
          <w:b w:val="0"/>
          <w:i w:val="0"/>
          <w:sz w:val="19"/>
        </w:rPr>
        <w:t>Table S2. Principal reasons for exclusion at full-text assessment</w:t>
      </w:r>
    </w:p>
    <w:p>
      <w:pPr>
        <w:spacing w:after="20"/>
      </w:pPr>
      <w:r>
        <w:rPr>
          <w:b w:val="0"/>
          <w:i w:val="0"/>
          <w:sz w:val="19"/>
        </w:rPr>
        <w:t>Table S3. Characteristics of the 55 included reports</w:t>
      </w:r>
    </w:p>
    <w:p>
      <w:pPr>
        <w:spacing w:after="20"/>
      </w:pPr>
      <w:r>
        <w:rPr>
          <w:b w:val="0"/>
          <w:i w:val="0"/>
          <w:sz w:val="19"/>
        </w:rPr>
        <w:t>Table S4. Validation design and diagnostic performance as reported</w:t>
      </w:r>
    </w:p>
    <w:p>
      <w:pPr>
        <w:spacing w:after="20"/>
      </w:pPr>
      <w:r>
        <w:rPr>
          <w:b w:val="0"/>
          <w:i w:val="0"/>
          <w:sz w:val="19"/>
        </w:rPr>
        <w:t>Table S5. Early-disease definitions, reference standards, imaging biomarkers, and explanation methods</w:t>
      </w:r>
    </w:p>
    <w:p>
      <w:pPr>
        <w:spacing w:after="20"/>
      </w:pPr>
      <w:r>
        <w:rPr>
          <w:b w:val="0"/>
          <w:i w:val="0"/>
          <w:sz w:val="19"/>
        </w:rPr>
        <w:t>Table S6. Recurring public dataset families and linked reports</w:t>
      </w:r>
    </w:p>
    <w:p>
      <w:pPr>
        <w:spacing w:after="20"/>
      </w:pPr>
      <w:r>
        <w:rPr>
          <w:b w:val="0"/>
          <w:i w:val="0"/>
          <w:sz w:val="19"/>
        </w:rPr>
        <w:t>Table S7. PROBAST+AI judgements for model development, model evaluation, and applicability, with report-specific rationales</w:t>
      </w:r>
    </w:p>
    <w:p>
      <w:pPr>
        <w:spacing w:after="20"/>
      </w:pPr>
      <w:r>
        <w:rPr>
          <w:b w:val="0"/>
          <w:i w:val="0"/>
          <w:sz w:val="19"/>
        </w:rPr>
        <w:t>Table S8. Sensitivity analysis of headline proportions</w:t>
      </w:r>
    </w:p>
    <w:p>
      <w:r>
        <w:br w:type="page"/>
      </w:r>
    </w:p>
    <w:p>
      <w:pPr>
        <w:keepNext/>
        <w:spacing w:after="80" w:before="200"/>
      </w:pPr>
      <w:r>
        <w:rPr>
          <w:b/>
        </w:rPr>
        <w:t xml:space="preserve">Table S1. </w:t>
      </w:r>
      <w:r>
        <w:t>Electronic search strategies and supplementary search methods.</w:t>
      </w:r>
    </w:p>
    <w:tbl>
      <w:tblPr>
        <w:tblStyle w:val="TableGrid"/>
        <w:tblW w:type="auto" w:w="0"/>
        <w:jc w:val="center"/>
        <w:tblLayout w:type="fixed"/>
        <w:tblLook w:firstColumn="1" w:firstRow="1" w:lastColumn="0" w:lastRow="0" w:noHBand="0" w:noVBand="1" w:val="04A0"/>
      </w:tblPr>
      <w:tblGrid>
        <w:gridCol w:w="2041"/>
        <w:gridCol w:w="10319"/>
        <w:gridCol w:w="907"/>
        <w:gridCol w:w="1701"/>
      </w:tblGrid>
      <w:tr>
        <w:trPr>
          <w:tblHeader/>
        </w:trPr>
        <w:tc>
          <w:tcPr>
            <w:tcW w:type="dxa" w:w="2041"/>
            <w:shd w:val="clear" w:color="auto" w:fill="E7ECF3"/>
          </w:tcPr>
          <w:p>
            <w:pPr>
              <w:spacing w:after="0"/>
              <w:jc w:val="center"/>
            </w:pPr>
            <w:r>
              <w:rPr>
                <w:b/>
                <w:sz w:val="15"/>
              </w:rPr>
              <w:t>Database/interface</w:t>
            </w:r>
          </w:p>
        </w:tc>
        <w:tc>
          <w:tcPr>
            <w:tcW w:type="dxa" w:w="10318"/>
            <w:shd w:val="clear" w:color="auto" w:fill="E7ECF3"/>
          </w:tcPr>
          <w:p>
            <w:pPr>
              <w:spacing w:after="0"/>
              <w:jc w:val="center"/>
            </w:pPr>
            <w:r>
              <w:rPr>
                <w:b/>
                <w:sz w:val="15"/>
              </w:rPr>
              <w:t>Strategy as executed</w:t>
            </w:r>
          </w:p>
        </w:tc>
        <w:tc>
          <w:tcPr>
            <w:tcW w:type="dxa" w:w="907"/>
            <w:shd w:val="clear" w:color="auto" w:fill="E7ECF3"/>
          </w:tcPr>
          <w:p>
            <w:pPr>
              <w:spacing w:after="0"/>
              <w:jc w:val="center"/>
            </w:pPr>
            <w:r>
              <w:rPr>
                <w:b/>
                <w:sz w:val="15"/>
              </w:rPr>
              <w:t>Records</w:t>
            </w:r>
          </w:p>
        </w:tc>
        <w:tc>
          <w:tcPr>
            <w:tcW w:type="dxa" w:w="1701"/>
            <w:shd w:val="clear" w:color="auto" w:fill="E7ECF3"/>
          </w:tcPr>
          <w:p>
            <w:pPr>
              <w:spacing w:after="0"/>
              <w:jc w:val="center"/>
            </w:pPr>
            <w:r>
              <w:rPr>
                <w:b/>
                <w:sz w:val="15"/>
              </w:rPr>
              <w:t>Last searched</w:t>
            </w:r>
          </w:p>
        </w:tc>
      </w:tr>
      <w:tr>
        <w:trPr>
          <w:cantSplit/>
        </w:trPr>
        <w:tc>
          <w:tcPr>
            <w:tcW w:type="dxa" w:w="2041"/>
          </w:tcPr>
          <w:p>
            <w:pPr>
              <w:spacing w:after="0"/>
            </w:pPr>
            <w:r>
              <w:rPr>
                <w:b w:val="0"/>
                <w:sz w:val="15"/>
              </w:rPr>
              <w:t>PubMed/MEDLINE (NCBI)</w:t>
            </w:r>
          </w:p>
        </w:tc>
        <w:tc>
          <w:tcPr>
            <w:tcW w:type="dxa" w:w="10318"/>
          </w:tcPr>
          <w:p>
            <w:pPr>
              <w:spacing w:after="0"/>
            </w:pPr>
            <w:r>
              <w:rPr>
                <w:b w:val="0"/>
                <w:sz w:val="15"/>
              </w:rPr>
              <w:t>("Glaucoma"[Mesh] OR "Glaucoma, Open-Angle"[Mesh] OR "Ocular Hypertension"[Mesh] OR glaucoma*[tiab] OR "glaucomatous optic neuropathy"[tiab] OR "optic nerve head"[tiab] OR "optic disc"[tiab]) AND ("Deep Learning"[Mesh] OR transformer*[tiab] OR "vision transformer"[tiab] OR ViT[tiab] OR DeiT[tiab] OR Swin[tiab] OR DINO[tiab] OR "self-attention"[tiab] OR "attention mechanism"[tiab]) AND ("Fundus Oculi"[Mesh] OR "Tomography, Optical Coherence"[Mesh] OR fundus[tiab] OR "optic disc photograph*"[tiab] OR "optical coherence tomography"[tiab] OR OCT[tiab] OR "retinal nerve fib*er layer"[tiab] OR "retinal imaging"[tiab]) AND ("2017/01/01"[PDAT] : "2026/07/15"[PDAT]) AND english[lang]</w:t>
            </w:r>
          </w:p>
        </w:tc>
        <w:tc>
          <w:tcPr>
            <w:tcW w:type="dxa" w:w="907"/>
          </w:tcPr>
          <w:p>
            <w:pPr>
              <w:spacing w:after="0"/>
              <w:jc w:val="center"/>
            </w:pPr>
            <w:r>
              <w:rPr>
                <w:b w:val="0"/>
                <w:sz w:val="15"/>
              </w:rPr>
              <w:t>214</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Embase (Elsevier)</w:t>
            </w:r>
          </w:p>
        </w:tc>
        <w:tc>
          <w:tcPr>
            <w:tcW w:type="dxa" w:w="10318"/>
          </w:tcPr>
          <w:p>
            <w:pPr>
              <w:spacing w:after="0"/>
            </w:pPr>
            <w:r>
              <w:rPr>
                <w:b w:val="0"/>
                <w:sz w:val="15"/>
              </w:rPr>
              <w:t>('glaucoma'/exp OR 'open angle glaucoma'/exp OR 'ocular hypertension'/exp OR glaucoma*:ti,ab,kw OR 'glaucomatous optic neuropathy':ti,ab,kw OR 'optic nerve head':ti,ab,kw) AND ('deep learning'/exp OR transformer*:ti,ab,kw OR 'vision transformer':ti,ab,kw OR vit:ti,ab,kw OR swin:ti,ab,kw OR 'self attention':ti,ab,kw) AND ('fundus photography'/exp OR 'optical coherence tomography'/exp OR fundus:ti,ab,kw OR oct:ti,ab,kw OR 'retinal nerve fiber layer':ti,ab,kw) AND [english]/lim AND [2017-2026]/py</w:t>
            </w:r>
          </w:p>
        </w:tc>
        <w:tc>
          <w:tcPr>
            <w:tcW w:type="dxa" w:w="907"/>
          </w:tcPr>
          <w:p>
            <w:pPr>
              <w:spacing w:after="0"/>
              <w:jc w:val="center"/>
            </w:pPr>
            <w:r>
              <w:rPr>
                <w:b w:val="0"/>
                <w:sz w:val="15"/>
              </w:rPr>
              <w:t>187</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Scopus (Elsevier)</w:t>
            </w:r>
          </w:p>
        </w:tc>
        <w:tc>
          <w:tcPr>
            <w:tcW w:type="dxa" w:w="10318"/>
          </w:tcPr>
          <w:p>
            <w:pPr>
              <w:spacing w:after="0"/>
            </w:pPr>
            <w:r>
              <w:rPr>
                <w:b w:val="0"/>
                <w:sz w:val="15"/>
              </w:rPr>
              <w:t>TITLE-ABS-KEY(glaucoma* OR "glaucomatous optic neuropathy" OR "optic nerve head" OR "ocular hypertension") AND TITLE-ABS-KEY(transformer* OR "vision transformer" OR ViT OR DeiT OR Swin OR DINO OR "self-attention" OR "deep learning") AND TITLE-ABS-KEY(fundus OR "optic disc photograph*" OR "optical coherence tomography" OR OCT OR "retinal nerve fib*er layer" OR "retinal imag*") AND PUBYEAR &gt; 2016 AND PUBYEAR &lt; 2027 AND (LIMIT-TO(LANGUAGE,"English")) AND (LIMIT-TO(DOCTYPE,"ar"))</w:t>
            </w:r>
          </w:p>
        </w:tc>
        <w:tc>
          <w:tcPr>
            <w:tcW w:type="dxa" w:w="907"/>
          </w:tcPr>
          <w:p>
            <w:pPr>
              <w:spacing w:after="0"/>
              <w:jc w:val="center"/>
            </w:pPr>
            <w:r>
              <w:rPr>
                <w:b w:val="0"/>
                <w:sz w:val="15"/>
              </w:rPr>
              <w:t>386</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Web of Science Core Collection (Clarivate)</w:t>
            </w:r>
          </w:p>
        </w:tc>
        <w:tc>
          <w:tcPr>
            <w:tcW w:type="dxa" w:w="10318"/>
          </w:tcPr>
          <w:p>
            <w:pPr>
              <w:spacing w:after="0"/>
            </w:pPr>
            <w:r>
              <w:rPr>
                <w:b w:val="0"/>
                <w:sz w:val="15"/>
              </w:rPr>
              <w:t>TS=(glaucoma* OR "glaucomatous optic neuropathy" OR "optic nerve head" OR "ocular hypertension") AND TS=(transformer* OR "vision transformer" OR ViT OR DeiT OR Swin OR DINO OR "self-attention") AND TS=(fundus OR "optic disc photograph*" OR "optical coherence tomography" OR OCT OR "retinal nerve fib?re layer" OR "retinal imag*") [Refined by: publication years 2017–2026; document type Article; English]</w:t>
            </w:r>
          </w:p>
        </w:tc>
        <w:tc>
          <w:tcPr>
            <w:tcW w:type="dxa" w:w="907"/>
          </w:tcPr>
          <w:p>
            <w:pPr>
              <w:spacing w:after="0"/>
              <w:jc w:val="center"/>
            </w:pPr>
            <w:r>
              <w:rPr>
                <w:b w:val="0"/>
                <w:sz w:val="15"/>
              </w:rPr>
              <w:t>298</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IEEE Xplore (IEEE)</w:t>
            </w:r>
          </w:p>
        </w:tc>
        <w:tc>
          <w:tcPr>
            <w:tcW w:type="dxa" w:w="10318"/>
          </w:tcPr>
          <w:p>
            <w:pPr>
              <w:spacing w:after="0"/>
            </w:pPr>
            <w:r>
              <w:rPr>
                <w:b w:val="0"/>
                <w:sz w:val="15"/>
              </w:rPr>
              <w:t>("All Metadata":glaucoma OR "All Metadata":"glaucomatous optic neuropathy") AND ("All Metadata":transformer OR "All Metadata":"vision transformer" OR "All Metadata":Swin OR "All Metadata":"self-attention") AND ("All Metadata":fundus OR "All Metadata":"optical coherence tomography" OR "All Metadata":"retinal nerve fiber layer") [Filters: Journals; 2017–2026]</w:t>
            </w:r>
          </w:p>
        </w:tc>
        <w:tc>
          <w:tcPr>
            <w:tcW w:type="dxa" w:w="907"/>
          </w:tcPr>
          <w:p>
            <w:pPr>
              <w:spacing w:after="0"/>
              <w:jc w:val="center"/>
            </w:pPr>
            <w:r>
              <w:rPr>
                <w:b w:val="0"/>
                <w:sz w:val="15"/>
              </w:rPr>
              <w:t>341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Google Scholar</w:t>
            </w:r>
          </w:p>
        </w:tc>
        <w:tc>
          <w:tcPr>
            <w:tcW w:type="dxa" w:w="10318"/>
          </w:tcPr>
          <w:p>
            <w:pPr>
              <w:spacing w:after="0"/>
            </w:pPr>
            <w:r>
              <w:rPr>
                <w:b w:val="0"/>
                <w:sz w:val="15"/>
              </w:rPr>
              <w:t>glaucoma ("vision transformer" OR "swin transformer" OR "self-attention") (fundus OR "optic disc" OR "optical coherence tomography"); first 200 relevance-ranked results screened</w:t>
            </w:r>
          </w:p>
        </w:tc>
        <w:tc>
          <w:tcPr>
            <w:tcW w:type="dxa" w:w="907"/>
          </w:tcPr>
          <w:p>
            <w:pPr>
              <w:spacing w:after="0"/>
              <w:jc w:val="center"/>
            </w:pPr>
            <w:r>
              <w:rPr>
                <w:b w:val="0"/>
                <w:sz w:val="15"/>
              </w:rPr>
              <w:t>47 records</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Backward citation searching</w:t>
            </w:r>
          </w:p>
        </w:tc>
        <w:tc>
          <w:tcPr>
            <w:tcW w:type="dxa" w:w="10318"/>
          </w:tcPr>
          <w:p>
            <w:pPr>
              <w:spacing w:after="0"/>
            </w:pPr>
            <w:r>
              <w:rPr>
                <w:b w:val="0"/>
                <w:sz w:val="15"/>
              </w:rPr>
              <w:t>Reference lists of included reports and relevant reviews.</w:t>
            </w:r>
          </w:p>
        </w:tc>
        <w:tc>
          <w:tcPr>
            <w:tcW w:type="dxa" w:w="907"/>
          </w:tcPr>
          <w:p>
            <w:pPr>
              <w:spacing w:after="0"/>
              <w:jc w:val="center"/>
            </w:pPr>
            <w:r>
              <w:rPr>
                <w:b w:val="0"/>
                <w:sz w:val="15"/>
              </w:rPr>
              <w:t>11</w:t>
            </w:r>
          </w:p>
        </w:tc>
        <w:tc>
          <w:tcPr>
            <w:tcW w:type="dxa" w:w="1701"/>
          </w:tcPr>
          <w:p>
            <w:pPr>
              <w:spacing w:after="0"/>
              <w:jc w:val="center"/>
            </w:pPr>
            <w:r>
              <w:rPr>
                <w:b w:val="0"/>
                <w:sz w:val="15"/>
              </w:rPr>
              <w:t>15 July 2026</w:t>
            </w:r>
          </w:p>
        </w:tc>
      </w:tr>
      <w:tr>
        <w:trPr>
          <w:cantSplit/>
        </w:trPr>
        <w:tc>
          <w:tcPr>
            <w:tcW w:type="dxa" w:w="2041"/>
          </w:tcPr>
          <w:p>
            <w:pPr>
              <w:spacing w:after="0"/>
            </w:pPr>
            <w:r>
              <w:rPr>
                <w:b w:val="0"/>
                <w:sz w:val="15"/>
              </w:rPr>
              <w:t>Forward citation searching</w:t>
            </w:r>
          </w:p>
        </w:tc>
        <w:tc>
          <w:tcPr>
            <w:tcW w:type="dxa" w:w="10318"/>
          </w:tcPr>
          <w:p>
            <w:pPr>
              <w:spacing w:after="0"/>
            </w:pPr>
            <w:r>
              <w:rPr>
                <w:b w:val="0"/>
                <w:sz w:val="15"/>
              </w:rPr>
              <w:t>Cited-by searching for included reports.</w:t>
            </w:r>
          </w:p>
        </w:tc>
        <w:tc>
          <w:tcPr>
            <w:tcW w:type="dxa" w:w="907"/>
          </w:tcPr>
          <w:p>
            <w:pPr>
              <w:spacing w:after="0"/>
              <w:jc w:val="center"/>
            </w:pPr>
            <w:r>
              <w:rPr>
                <w:b w:val="0"/>
                <w:sz w:val="15"/>
              </w:rPr>
              <w:t>5</w:t>
            </w:r>
          </w:p>
        </w:tc>
        <w:tc>
          <w:tcPr>
            <w:tcW w:type="dxa" w:w="1701"/>
          </w:tcPr>
          <w:p>
            <w:pPr>
              <w:spacing w:after="0"/>
              <w:jc w:val="center"/>
            </w:pPr>
            <w:r>
              <w:rPr>
                <w:b w:val="0"/>
                <w:sz w:val="15"/>
              </w:rPr>
              <w:t>15 July 2026</w:t>
            </w:r>
          </w:p>
        </w:tc>
      </w:tr>
    </w:tbl>
    <w:p>
      <w:pPr>
        <w:spacing w:after="160" w:before="60"/>
      </w:pPr>
      <w:r>
        <w:rPr>
          <w:b w:val="0"/>
          <w:i w:val="0"/>
          <w:sz w:val="16"/>
        </w:rPr>
        <w:t>Coverage was 1 January 2017 to 15 July 2026. Controlled vocabulary was used where available. For Google Scholar, the first 200 relevance-ranked results were screened and 47 records were retained for the additional-search stream. Where an interface allowed only a year filter (2017–2026), eligibility up to 15 July 2026 was enforced during screening.</w:t>
      </w:r>
    </w:p>
    <w:p>
      <w:pPr>
        <w:keepNext/>
        <w:spacing w:after="80" w:before="200"/>
      </w:pPr>
      <w:r>
        <w:rPr>
          <w:b/>
        </w:rPr>
        <w:t xml:space="preserve">Table S2. </w:t>
      </w:r>
      <w:r>
        <w:t>Principal reasons for exclusion at full-text assessment.</w:t>
      </w:r>
    </w:p>
    <w:tbl>
      <w:tblPr>
        <w:tblStyle w:val="TableGrid"/>
        <w:tblW w:type="auto" w:w="0"/>
        <w:jc w:val="center"/>
        <w:tblLayout w:type="fixed"/>
        <w:tblLook w:firstColumn="1" w:firstRow="1" w:lastColumn="0" w:lastRow="0" w:noHBand="0" w:noVBand="1" w:val="04A0"/>
      </w:tblPr>
      <w:tblGrid>
        <w:gridCol w:w="6804"/>
        <w:gridCol w:w="1701"/>
      </w:tblGrid>
      <w:tr>
        <w:trPr>
          <w:tblHeader/>
        </w:trPr>
        <w:tc>
          <w:tcPr>
            <w:tcW w:type="dxa" w:w="6803"/>
            <w:shd w:val="clear" w:color="auto" w:fill="E7ECF3"/>
          </w:tcPr>
          <w:p>
            <w:pPr>
              <w:spacing w:after="0"/>
              <w:jc w:val="center"/>
            </w:pPr>
            <w:r>
              <w:rPr>
                <w:b/>
                <w:sz w:val="17"/>
              </w:rPr>
              <w:t>Principal exclusion reason (in order of the prespecified hierarchy)</w:t>
            </w:r>
          </w:p>
        </w:tc>
        <w:tc>
          <w:tcPr>
            <w:tcW w:type="dxa" w:w="1701"/>
            <w:shd w:val="clear" w:color="auto" w:fill="E7ECF3"/>
          </w:tcPr>
          <w:p>
            <w:pPr>
              <w:spacing w:after="0"/>
              <w:jc w:val="center"/>
            </w:pPr>
            <w:r>
              <w:rPr>
                <w:b/>
                <w:sz w:val="17"/>
              </w:rPr>
              <w:t>Reports, n</w:t>
            </w:r>
          </w:p>
        </w:tc>
      </w:tr>
      <w:tr>
        <w:trPr>
          <w:cantSplit/>
        </w:trPr>
        <w:tc>
          <w:tcPr>
            <w:tcW w:type="dxa" w:w="6803"/>
          </w:tcPr>
          <w:p>
            <w:pPr>
              <w:spacing w:after="0"/>
            </w:pPr>
            <w:r>
              <w:rPr>
                <w:b w:val="0"/>
                <w:sz w:val="17"/>
              </w:rPr>
              <w:t>Population or target condition not glaucoma-specific</w:t>
            </w:r>
          </w:p>
        </w:tc>
        <w:tc>
          <w:tcPr>
            <w:tcW w:type="dxa" w:w="1701"/>
          </w:tcPr>
          <w:p>
            <w:pPr>
              <w:spacing w:after="0"/>
              <w:jc w:val="center"/>
            </w:pPr>
            <w:r>
              <w:rPr>
                <w:b w:val="0"/>
                <w:sz w:val="17"/>
              </w:rPr>
              <w:t>2</w:t>
            </w:r>
          </w:p>
        </w:tc>
      </w:tr>
      <w:tr>
        <w:trPr>
          <w:cantSplit/>
        </w:trPr>
        <w:tc>
          <w:tcPr>
            <w:tcW w:type="dxa" w:w="6803"/>
          </w:tcPr>
          <w:p>
            <w:pPr>
              <w:spacing w:after="0"/>
            </w:pPr>
            <w:r>
              <w:rPr>
                <w:b w:val="0"/>
                <w:sz w:val="17"/>
              </w:rPr>
              <w:t>No eligible transformer architecture</w:t>
            </w:r>
          </w:p>
        </w:tc>
        <w:tc>
          <w:tcPr>
            <w:tcW w:type="dxa" w:w="1701"/>
          </w:tcPr>
          <w:p>
            <w:pPr>
              <w:spacing w:after="0"/>
              <w:jc w:val="center"/>
            </w:pPr>
            <w:r>
              <w:rPr>
                <w:b w:val="0"/>
                <w:sz w:val="17"/>
              </w:rPr>
              <w:t>10</w:t>
            </w:r>
          </w:p>
        </w:tc>
      </w:tr>
      <w:tr>
        <w:trPr>
          <w:cantSplit/>
        </w:trPr>
        <w:tc>
          <w:tcPr>
            <w:tcW w:type="dxa" w:w="6803"/>
          </w:tcPr>
          <w:p>
            <w:pPr>
              <w:spacing w:after="0"/>
            </w:pPr>
            <w:r>
              <w:rPr>
                <w:b w:val="0"/>
                <w:sz w:val="17"/>
              </w:rPr>
              <w:t>Ineligible task or outcome</w:t>
            </w:r>
          </w:p>
        </w:tc>
        <w:tc>
          <w:tcPr>
            <w:tcW w:type="dxa" w:w="1701"/>
          </w:tcPr>
          <w:p>
            <w:pPr>
              <w:spacing w:after="0"/>
              <w:jc w:val="center"/>
            </w:pPr>
            <w:r>
              <w:rPr>
                <w:b w:val="0"/>
                <w:sz w:val="17"/>
              </w:rPr>
              <w:t>8</w:t>
            </w:r>
          </w:p>
        </w:tc>
      </w:tr>
      <w:tr>
        <w:trPr>
          <w:cantSplit/>
        </w:trPr>
        <w:tc>
          <w:tcPr>
            <w:tcW w:type="dxa" w:w="6803"/>
          </w:tcPr>
          <w:p>
            <w:pPr>
              <w:spacing w:after="0"/>
            </w:pPr>
            <w:r>
              <w:rPr>
                <w:b w:val="0"/>
                <w:sz w:val="17"/>
              </w:rPr>
              <w:t>Secondary or non-original report</w:t>
            </w:r>
          </w:p>
        </w:tc>
        <w:tc>
          <w:tcPr>
            <w:tcW w:type="dxa" w:w="1701"/>
          </w:tcPr>
          <w:p>
            <w:pPr>
              <w:spacing w:after="0"/>
              <w:jc w:val="center"/>
            </w:pPr>
            <w:r>
              <w:rPr>
                <w:b w:val="0"/>
                <w:sz w:val="17"/>
              </w:rPr>
              <w:t>6</w:t>
            </w:r>
          </w:p>
        </w:tc>
      </w:tr>
      <w:tr>
        <w:trPr>
          <w:cantSplit/>
        </w:trPr>
        <w:tc>
          <w:tcPr>
            <w:tcW w:type="dxa" w:w="6803"/>
          </w:tcPr>
          <w:p>
            <w:pPr>
              <w:spacing w:after="0"/>
            </w:pPr>
            <w:r>
              <w:rPr>
                <w:b w:val="0"/>
                <w:sz w:val="17"/>
              </w:rPr>
              <w:t>Conference paper, preprint, or thesis</w:t>
            </w:r>
          </w:p>
        </w:tc>
        <w:tc>
          <w:tcPr>
            <w:tcW w:type="dxa" w:w="1701"/>
          </w:tcPr>
          <w:p>
            <w:pPr>
              <w:spacing w:after="0"/>
              <w:jc w:val="center"/>
            </w:pPr>
            <w:r>
              <w:rPr>
                <w:b w:val="0"/>
                <w:sz w:val="17"/>
              </w:rPr>
              <w:t>5</w:t>
            </w:r>
          </w:p>
        </w:tc>
      </w:tr>
      <w:tr>
        <w:trPr>
          <w:cantSplit/>
        </w:trPr>
        <w:tc>
          <w:tcPr>
            <w:tcW w:type="dxa" w:w="6803"/>
          </w:tcPr>
          <w:p>
            <w:pPr>
              <w:spacing w:after="0"/>
            </w:pPr>
            <w:r>
              <w:rPr>
                <w:b w:val="0"/>
                <w:sz w:val="17"/>
              </w:rPr>
              <w:t>No glaucoma-specific result sufficient for eligibility</w:t>
            </w:r>
          </w:p>
        </w:tc>
        <w:tc>
          <w:tcPr>
            <w:tcW w:type="dxa" w:w="1701"/>
          </w:tcPr>
          <w:p>
            <w:pPr>
              <w:spacing w:after="0"/>
              <w:jc w:val="center"/>
            </w:pPr>
            <w:r>
              <w:rPr>
                <w:b w:val="0"/>
                <w:sz w:val="17"/>
              </w:rPr>
              <w:t>3</w:t>
            </w:r>
          </w:p>
        </w:tc>
      </w:tr>
      <w:tr>
        <w:trPr>
          <w:cantSplit/>
        </w:trPr>
        <w:tc>
          <w:tcPr>
            <w:tcW w:type="dxa" w:w="6803"/>
          </w:tcPr>
          <w:p>
            <w:pPr>
              <w:spacing w:after="0"/>
            </w:pPr>
            <w:r>
              <w:rPr>
                <w:b w:val="0"/>
                <w:sz w:val="17"/>
              </w:rPr>
              <w:t>Duplicate or overlapping report</w:t>
            </w:r>
          </w:p>
        </w:tc>
        <w:tc>
          <w:tcPr>
            <w:tcW w:type="dxa" w:w="1701"/>
          </w:tcPr>
          <w:p>
            <w:pPr>
              <w:spacing w:after="0"/>
              <w:jc w:val="center"/>
            </w:pPr>
            <w:r>
              <w:rPr>
                <w:b w:val="0"/>
                <w:sz w:val="17"/>
              </w:rPr>
              <w:t>2</w:t>
            </w:r>
          </w:p>
        </w:tc>
      </w:tr>
      <w:tr>
        <w:trPr>
          <w:cantSplit/>
        </w:trPr>
        <w:tc>
          <w:tcPr>
            <w:tcW w:type="dxa" w:w="6803"/>
          </w:tcPr>
          <w:p>
            <w:pPr>
              <w:spacing w:after="0"/>
            </w:pPr>
            <w:r>
              <w:rPr>
                <w:b w:val="0"/>
                <w:sz w:val="17"/>
              </w:rPr>
              <w:t>Total</w:t>
            </w:r>
          </w:p>
        </w:tc>
        <w:tc>
          <w:tcPr>
            <w:tcW w:type="dxa" w:w="1701"/>
          </w:tcPr>
          <w:p>
            <w:pPr>
              <w:spacing w:after="0"/>
              <w:jc w:val="center"/>
            </w:pPr>
            <w:r>
              <w:rPr>
                <w:b w:val="0"/>
                <w:sz w:val="17"/>
              </w:rPr>
              <w:t>36</w:t>
            </w:r>
          </w:p>
        </w:tc>
      </w:tr>
    </w:tbl>
    <w:p>
      <w:pPr>
        <w:spacing w:after="160" w:before="60"/>
      </w:pPr>
      <w:r>
        <w:rPr>
          <w:b w:val="0"/>
          <w:i w:val="0"/>
          <w:sz w:val="16"/>
        </w:rPr>
        <w:t>One principal reason was assigned to each of the 36 excluded full-text reports, applying the hierarchy in order. Reasons were assigned independently by two reviewers, and disagreements were adjudicated by the third and fourth authors. The individual excluded reports and their reasons are available from the corresponding author on request. The three reports that could not be retrieved are not included in this denominator.</w:t>
      </w:r>
    </w:p>
    <w:p>
      <w:r>
        <w:br w:type="page"/>
      </w:r>
    </w:p>
    <w:p>
      <w:pPr>
        <w:keepNext/>
        <w:spacing w:after="80" w:before="200"/>
      </w:pPr>
      <w:r>
        <w:rPr>
          <w:b/>
        </w:rPr>
        <w:t xml:space="preserve">Table S3. </w:t>
      </w:r>
      <w:r>
        <w:t>Characteristics of the 55 included reports.</w:t>
      </w:r>
    </w:p>
    <w:tbl>
      <w:tblPr>
        <w:tblStyle w:val="TableGrid"/>
        <w:tblW w:type="auto" w:w="0"/>
        <w:jc w:val="center"/>
        <w:tblLayout w:type="fixed"/>
        <w:tblLook w:firstColumn="1" w:firstRow="1" w:lastColumn="0" w:lastRow="0" w:noHBand="0" w:noVBand="1" w:val="04A0"/>
      </w:tblPr>
      <w:tblGrid>
        <w:gridCol w:w="1927"/>
        <w:gridCol w:w="2154"/>
        <w:gridCol w:w="2721"/>
        <w:gridCol w:w="2041"/>
        <w:gridCol w:w="2154"/>
        <w:gridCol w:w="1871"/>
        <w:gridCol w:w="2097"/>
      </w:tblGrid>
      <w:tr>
        <w:trPr>
          <w:tblHeader/>
        </w:trPr>
        <w:tc>
          <w:tcPr>
            <w:tcW w:type="dxa" w:w="1928"/>
            <w:shd w:val="clear" w:color="auto" w:fill="E7ECF3"/>
          </w:tcPr>
          <w:p>
            <w:pPr>
              <w:spacing w:after="0"/>
              <w:jc w:val="center"/>
            </w:pPr>
            <w:r>
              <w:rPr>
                <w:b/>
                <w:sz w:val="14"/>
              </w:rPr>
              <w:t>Report</w:t>
            </w:r>
          </w:p>
        </w:tc>
        <w:tc>
          <w:tcPr>
            <w:tcW w:type="dxa" w:w="2154"/>
            <w:shd w:val="clear" w:color="auto" w:fill="E7ECF3"/>
          </w:tcPr>
          <w:p>
            <w:pPr>
              <w:spacing w:after="0"/>
              <w:jc w:val="center"/>
            </w:pPr>
            <w:r>
              <w:rPr>
                <w:b/>
                <w:sz w:val="14"/>
              </w:rPr>
              <w:t>Origin / data source</w:t>
            </w:r>
          </w:p>
        </w:tc>
        <w:tc>
          <w:tcPr>
            <w:tcW w:type="dxa" w:w="2721"/>
            <w:shd w:val="clear" w:color="auto" w:fill="E7ECF3"/>
          </w:tcPr>
          <w:p>
            <w:pPr>
              <w:spacing w:after="0"/>
              <w:jc w:val="center"/>
            </w:pPr>
            <w:r>
              <w:rPr>
                <w:b/>
                <w:sz w:val="14"/>
              </w:rPr>
              <w:t>Modality and denominator</w:t>
            </w:r>
          </w:p>
        </w:tc>
        <w:tc>
          <w:tcPr>
            <w:tcW w:type="dxa" w:w="2041"/>
            <w:shd w:val="clear" w:color="auto" w:fill="E7ECF3"/>
          </w:tcPr>
          <w:p>
            <w:pPr>
              <w:spacing w:after="0"/>
              <w:jc w:val="center"/>
            </w:pPr>
            <w:r>
              <w:rPr>
                <w:b/>
                <w:sz w:val="14"/>
              </w:rPr>
              <w:t>Architecture</w:t>
            </w:r>
          </w:p>
        </w:tc>
        <w:tc>
          <w:tcPr>
            <w:tcW w:type="dxa" w:w="2154"/>
            <w:shd w:val="clear" w:color="auto" w:fill="E7ECF3"/>
          </w:tcPr>
          <w:p>
            <w:pPr>
              <w:spacing w:after="0"/>
              <w:jc w:val="center"/>
            </w:pPr>
            <w:r>
              <w:rPr>
                <w:b/>
                <w:sz w:val="14"/>
              </w:rPr>
              <w:t>Task group: task</w:t>
            </w:r>
          </w:p>
        </w:tc>
        <w:tc>
          <w:tcPr>
            <w:tcW w:type="dxa" w:w="1871"/>
            <w:shd w:val="clear" w:color="auto" w:fill="E7ECF3"/>
          </w:tcPr>
          <w:p>
            <w:pPr>
              <w:spacing w:after="0"/>
              <w:jc w:val="center"/>
            </w:pPr>
            <w:r>
              <w:rPr>
                <w:b/>
                <w:sz w:val="14"/>
              </w:rPr>
              <w:t>Validation tier; participant separation</w:t>
            </w:r>
          </w:p>
        </w:tc>
        <w:tc>
          <w:tcPr>
            <w:tcW w:type="dxa" w:w="2098"/>
            <w:shd w:val="clear" w:color="auto" w:fill="E7ECF3"/>
          </w:tcPr>
          <w:p>
            <w:pPr>
              <w:spacing w:after="0"/>
              <w:jc w:val="center"/>
            </w:pPr>
            <w:r>
              <w:rPr>
                <w:b/>
                <w:sz w:val="14"/>
              </w:rPr>
              <w:t>Dataset family</w:t>
            </w:r>
          </w:p>
        </w:tc>
      </w:tr>
      <w:tr>
        <w:trPr>
          <w:cantSplit/>
        </w:trPr>
        <w:tc>
          <w:tcPr>
            <w:tcW w:type="dxa" w:w="1928"/>
          </w:tcPr>
          <w:p>
            <w:pPr>
              <w:spacing w:after="0"/>
            </w:pPr>
            <w:r>
              <w:rPr>
                <w:b w:val="0"/>
                <w:sz w:val="14"/>
              </w:rPr>
              <w:t>S01; Song et al., 2021 [36]</w:t>
            </w:r>
          </w:p>
        </w:tc>
        <w:tc>
          <w:tcPr>
            <w:tcW w:type="dxa" w:w="2154"/>
          </w:tcPr>
          <w:p>
            <w:pPr>
              <w:spacing w:after="0"/>
            </w:pPr>
            <w:r>
              <w:rPr>
                <w:b w:val="0"/>
                <w:sz w:val="14"/>
              </w:rPr>
              <w:t>China / ZOC-OCT&amp;VF</w:t>
            </w:r>
          </w:p>
        </w:tc>
        <w:tc>
          <w:tcPr>
            <w:tcW w:type="dxa" w:w="2721"/>
          </w:tcPr>
          <w:p>
            <w:pPr>
              <w:spacing w:after="0"/>
            </w:pPr>
            <w:r>
              <w:rPr>
                <w:b w:val="0"/>
                <w:sz w:val="14"/>
              </w:rPr>
              <w:t>Peripapillary OCT B-scans + visual-field probability plots; 1,395 OCT–VF pairs; 641 participants (unit: eye/pair)</w:t>
            </w:r>
          </w:p>
        </w:tc>
        <w:tc>
          <w:tcPr>
            <w:tcW w:type="dxa" w:w="2041"/>
          </w:tcPr>
          <w:p>
            <w:pPr>
              <w:spacing w:after="0"/>
            </w:pPr>
            <w:r>
              <w:rPr>
                <w:b w:val="0"/>
                <w:sz w:val="14"/>
              </w:rPr>
              <w:t>Deep Relation Transformer</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ZOC-OCT&amp;VF</w:t>
            </w:r>
          </w:p>
        </w:tc>
      </w:tr>
      <w:tr>
        <w:trPr>
          <w:cantSplit/>
        </w:trPr>
        <w:tc>
          <w:tcPr>
            <w:tcW w:type="dxa" w:w="1928"/>
          </w:tcPr>
          <w:p>
            <w:pPr>
              <w:spacing w:after="0"/>
            </w:pPr>
            <w:r>
              <w:rPr>
                <w:b w:val="0"/>
                <w:sz w:val="14"/>
              </w:rPr>
              <w:t>S02; Fan et al., 2023 [37]</w:t>
            </w:r>
          </w:p>
        </w:tc>
        <w:tc>
          <w:tcPr>
            <w:tcW w:type="dxa" w:w="2154"/>
          </w:tcPr>
          <w:p>
            <w:pPr>
              <w:spacing w:after="0"/>
            </w:pPr>
            <w:r>
              <w:rPr>
                <w:b w:val="0"/>
                <w:sz w:val="14"/>
              </w:rPr>
              <w:t>United States / OHTS + DIGS, ACRIMA, LAG, RIM-ONE, and ORIGA</w:t>
            </w:r>
          </w:p>
        </w:tc>
        <w:tc>
          <w:tcPr>
            <w:tcW w:type="dxa" w:w="2721"/>
          </w:tcPr>
          <w:p>
            <w:pPr>
              <w:spacing w:after="0"/>
            </w:pPr>
            <w:r>
              <w:rPr>
                <w:b w:val="0"/>
                <w:sz w:val="14"/>
              </w:rPr>
              <w:t>Optic-disc photographs; 66,715 photographs/1,636 OHTS participants; 16,137 external photographs (unit: participant/image)</w:t>
            </w:r>
          </w:p>
        </w:tc>
        <w:tc>
          <w:tcPr>
            <w:tcW w:type="dxa" w:w="2041"/>
          </w:tcPr>
          <w:p>
            <w:pPr>
              <w:spacing w:after="0"/>
            </w:pPr>
            <w:r>
              <w:rPr>
                <w:b w:val="0"/>
                <w:sz w:val="14"/>
              </w:rPr>
              <w:t>DeiT</w:t>
            </w:r>
          </w:p>
        </w:tc>
        <w:tc>
          <w:tcPr>
            <w:tcW w:type="dxa" w:w="2154"/>
          </w:tcPr>
          <w:p>
            <w:pPr>
              <w:spacing w:after="0"/>
            </w:pPr>
            <w:r>
              <w:rPr>
                <w:b w:val="0"/>
                <w:sz w:val="14"/>
              </w:rPr>
              <w:t>Binary/referable glaucoma or GON detection: POAG detection under five outcome definitions</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OHTS; DIGS; ACRIMA; LAG; RIM-ONE; ORIGA</w:t>
            </w:r>
          </w:p>
        </w:tc>
      </w:tr>
      <w:tr>
        <w:trPr>
          <w:cantSplit/>
        </w:trPr>
        <w:tc>
          <w:tcPr>
            <w:tcW w:type="dxa" w:w="1928"/>
          </w:tcPr>
          <w:p>
            <w:pPr>
              <w:spacing w:after="0"/>
            </w:pPr>
            <w:r>
              <w:rPr>
                <w:b w:val="0"/>
                <w:sz w:val="14"/>
              </w:rPr>
              <w:t>S03; Wang et al., 2023 [38]</w:t>
            </w:r>
          </w:p>
        </w:tc>
        <w:tc>
          <w:tcPr>
            <w:tcW w:type="dxa" w:w="2154"/>
          </w:tcPr>
          <w:p>
            <w:pPr>
              <w:spacing w:after="0"/>
            </w:pPr>
            <w:r>
              <w:rPr>
                <w:b w:val="0"/>
                <w:sz w:val="14"/>
              </w:rPr>
              <w:t>China / ODIR-5K</w:t>
            </w:r>
          </w:p>
        </w:tc>
        <w:tc>
          <w:tcPr>
            <w:tcW w:type="dxa" w:w="2721"/>
          </w:tcPr>
          <w:p>
            <w:pPr>
              <w:spacing w:after="0"/>
            </w:pPr>
            <w:r>
              <w:rPr>
                <w:b w:val="0"/>
                <w:sz w:val="14"/>
              </w:rPr>
              <w:t>Paired-eye colour fundus photographs; 7,000 training images/3,500 participants; 1,000 off-site and 2,000 on-site challenge images (unit: participant/image)</w:t>
            </w:r>
          </w:p>
        </w:tc>
        <w:tc>
          <w:tcPr>
            <w:tcW w:type="dxa" w:w="2041"/>
          </w:tcPr>
          <w:p>
            <w:pPr>
              <w:spacing w:after="0"/>
            </w:pPr>
            <w:r>
              <w:rPr>
                <w:b w:val="0"/>
                <w:sz w:val="14"/>
              </w:rPr>
              <w:t>MBSaNet CNN–Transformer</w:t>
            </w:r>
          </w:p>
        </w:tc>
        <w:tc>
          <w:tcPr>
            <w:tcW w:type="dxa" w:w="2154"/>
          </w:tcPr>
          <w:p>
            <w:pPr>
              <w:spacing w:after="0"/>
            </w:pPr>
            <w:r>
              <w:rPr>
                <w:b w:val="0"/>
                <w:sz w:val="14"/>
              </w:rPr>
              <w:t>Multidisease/multilabel classification: Multilabel fundus-disease classification</w:t>
            </w:r>
          </w:p>
        </w:tc>
        <w:tc>
          <w:tcPr>
            <w:tcW w:type="dxa" w:w="1871"/>
          </w:tcPr>
          <w:p>
            <w:pPr>
              <w:spacing w:after="0"/>
            </w:pPr>
            <w:r>
              <w:rPr>
                <w:b w:val="0"/>
                <w:sz w:val="14"/>
              </w:rPr>
              <w:t>Development-derived/validation-only result; separation: Participant-level</w:t>
            </w:r>
          </w:p>
        </w:tc>
        <w:tc>
          <w:tcPr>
            <w:tcW w:type="dxa" w:w="2098"/>
          </w:tcPr>
          <w:p>
            <w:pPr>
              <w:spacing w:after="0"/>
            </w:pPr>
            <w:r>
              <w:rPr>
                <w:b w:val="0"/>
                <w:sz w:val="14"/>
              </w:rPr>
              <w:t>ODIR-5K</w:t>
            </w:r>
          </w:p>
        </w:tc>
      </w:tr>
      <w:tr>
        <w:trPr>
          <w:cantSplit/>
        </w:trPr>
        <w:tc>
          <w:tcPr>
            <w:tcW w:type="dxa" w:w="1928"/>
          </w:tcPr>
          <w:p>
            <w:pPr>
              <w:spacing w:after="0"/>
            </w:pPr>
            <w:r>
              <w:rPr>
                <w:b w:val="0"/>
                <w:sz w:val="14"/>
              </w:rPr>
              <w:t>S04; Alayón et al., 2023 [39]</w:t>
            </w:r>
          </w:p>
        </w:tc>
        <w:tc>
          <w:tcPr>
            <w:tcW w:type="dxa" w:w="2154"/>
          </w:tcPr>
          <w:p>
            <w:pPr>
              <w:spacing w:after="0"/>
            </w:pPr>
            <w:r>
              <w:rPr>
                <w:b w:val="0"/>
                <w:sz w:val="14"/>
              </w:rPr>
              <w:t>Spain / RIM-ONE DL + private development; REFUGE, DRISHTI-GS, and PAPILA external</w:t>
            </w:r>
          </w:p>
        </w:tc>
        <w:tc>
          <w:tcPr>
            <w:tcW w:type="dxa" w:w="2721"/>
          </w:tcPr>
          <w:p>
            <w:pPr>
              <w:spacing w:after="0"/>
            </w:pPr>
            <w:r>
              <w:rPr>
                <w:b w:val="0"/>
                <w:sz w:val="14"/>
              </w:rPr>
              <w:t>Optic-nerve-head fundus crops; 739 development images; external datasets 1,200, 101, and 421 images (unit: image)</w:t>
            </w:r>
          </w:p>
        </w:tc>
        <w:tc>
          <w:tcPr>
            <w:tcW w:type="dxa" w:w="2041"/>
          </w:tcPr>
          <w:p>
            <w:pPr>
              <w:spacing w:after="0"/>
            </w:pPr>
            <w:r>
              <w:rPr>
                <w:b w:val="0"/>
                <w:sz w:val="14"/>
              </w:rPr>
              <w:t>ViT, DeiT, CaiT, and ConViT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RIM-ONE; REFUGE; DRISHTI-GS; PAPILA</w:t>
            </w:r>
          </w:p>
        </w:tc>
      </w:tr>
      <w:tr>
        <w:trPr>
          <w:cantSplit/>
        </w:trPr>
        <w:tc>
          <w:tcPr>
            <w:tcW w:type="dxa" w:w="1928"/>
          </w:tcPr>
          <w:p>
            <w:pPr>
              <w:spacing w:after="0"/>
            </w:pPr>
            <w:r>
              <w:rPr>
                <w:b w:val="0"/>
                <w:sz w:val="14"/>
              </w:rPr>
              <w:t>S05; Hwang et al., 2023 [40]</w:t>
            </w:r>
          </w:p>
        </w:tc>
        <w:tc>
          <w:tcPr>
            <w:tcW w:type="dxa" w:w="2154"/>
          </w:tcPr>
          <w:p>
            <w:pPr>
              <w:spacing w:after="0"/>
            </w:pPr>
            <w:r>
              <w:rPr>
                <w:b w:val="0"/>
                <w:sz w:val="14"/>
              </w:rPr>
              <w:t>United States / DRISHTI-GS, sjchoi86-HRF, RIM-ONE, ORIGA, ACRIMA, REFUGE2</w:t>
            </w:r>
          </w:p>
        </w:tc>
        <w:tc>
          <w:tcPr>
            <w:tcW w:type="dxa" w:w="2721"/>
          </w:tcPr>
          <w:p>
            <w:pPr>
              <w:spacing w:after="0"/>
            </w:pPr>
            <w:r>
              <w:rPr>
                <w:b w:val="0"/>
                <w:sz w:val="14"/>
              </w:rPr>
              <w:t>Colour fundus photographs; 2,738 images across six repositories (unit: image)</w:t>
            </w:r>
          </w:p>
        </w:tc>
        <w:tc>
          <w:tcPr>
            <w:tcW w:type="dxa" w:w="2041"/>
          </w:tcPr>
          <w:p>
            <w:pPr>
              <w:spacing w:after="0"/>
            </w:pPr>
            <w:r>
              <w:rPr>
                <w:b w:val="0"/>
                <w:sz w:val="14"/>
              </w:rPr>
              <w:t>Vision Transformer</w:t>
            </w:r>
          </w:p>
        </w:tc>
        <w:tc>
          <w:tcPr>
            <w:tcW w:type="dxa" w:w="2154"/>
          </w:tcPr>
          <w:p>
            <w:pPr>
              <w:spacing w:after="0"/>
            </w:pPr>
            <w:r>
              <w:rPr>
                <w:b w:val="0"/>
                <w:sz w:val="14"/>
              </w:rPr>
              <w:t>Binary/referable glaucoma or GON detection: Binary GON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HRF; RIM-ONE; ORIGA; ACRIMA; REFUGE2</w:t>
            </w:r>
          </w:p>
        </w:tc>
      </w:tr>
      <w:tr>
        <w:trPr>
          <w:cantSplit/>
        </w:trPr>
        <w:tc>
          <w:tcPr>
            <w:tcW w:type="dxa" w:w="1928"/>
          </w:tcPr>
          <w:p>
            <w:pPr>
              <w:spacing w:after="0"/>
            </w:pPr>
            <w:r>
              <w:rPr>
                <w:b w:val="0"/>
                <w:sz w:val="14"/>
              </w:rPr>
              <w:t>S06; Singh et al., 2023 [41]</w:t>
            </w:r>
          </w:p>
        </w:tc>
        <w:tc>
          <w:tcPr>
            <w:tcW w:type="dxa" w:w="2154"/>
          </w:tcPr>
          <w:p>
            <w:pPr>
              <w:spacing w:after="0"/>
            </w:pPr>
            <w:r>
              <w:rPr>
                <w:b w:val="0"/>
                <w:sz w:val="14"/>
              </w:rPr>
              <w:t>India / IEEE DataPort fundus dataset</w:t>
            </w:r>
          </w:p>
        </w:tc>
        <w:tc>
          <w:tcPr>
            <w:tcW w:type="dxa" w:w="2721"/>
          </w:tcPr>
          <w:p>
            <w:pPr>
              <w:spacing w:after="0"/>
            </w:pPr>
            <w:r>
              <w:rPr>
                <w:b w:val="0"/>
                <w:sz w:val="14"/>
              </w:rPr>
              <w:t>Colour fundus photographs; Report states 1,750 images in the abstract and 1,450 in the body; test totals are also inconsistent (unit: image)</w:t>
            </w:r>
          </w:p>
        </w:tc>
        <w:tc>
          <w:tcPr>
            <w:tcW w:type="dxa" w:w="2041"/>
          </w:tcPr>
          <w:p>
            <w:pPr>
              <w:spacing w:after="0"/>
            </w:pPr>
            <w:r>
              <w:rPr>
                <w:b w:val="0"/>
                <w:sz w:val="14"/>
              </w:rPr>
              <w:t>Light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IEEE DataPort glaucoma dataset</w:t>
            </w:r>
          </w:p>
        </w:tc>
      </w:tr>
      <w:tr>
        <w:trPr>
          <w:cantSplit/>
        </w:trPr>
        <w:tc>
          <w:tcPr>
            <w:tcW w:type="dxa" w:w="1928"/>
          </w:tcPr>
          <w:p>
            <w:pPr>
              <w:spacing w:after="0"/>
            </w:pPr>
            <w:r>
              <w:rPr>
                <w:b w:val="0"/>
                <w:sz w:val="14"/>
              </w:rPr>
              <w:t>S07; D’Souza et al., 2024 [42]</w:t>
            </w:r>
          </w:p>
        </w:tc>
        <w:tc>
          <w:tcPr>
            <w:tcW w:type="dxa" w:w="2154"/>
          </w:tcPr>
          <w:p>
            <w:pPr>
              <w:spacing w:after="0"/>
            </w:pPr>
            <w:r>
              <w:rPr>
                <w:b w:val="0"/>
                <w:sz w:val="14"/>
              </w:rPr>
              <w:t>International/public / AIROGS/EyePACS</w:t>
            </w:r>
          </w:p>
        </w:tc>
        <w:tc>
          <w:tcPr>
            <w:tcW w:type="dxa" w:w="2721"/>
          </w:tcPr>
          <w:p>
            <w:pPr>
              <w:spacing w:after="0"/>
            </w:pPr>
            <w:r>
              <w:rPr>
                <w:b w:val="0"/>
                <w:sz w:val="14"/>
              </w:rPr>
              <w:t>Colour fundus photographs; Balanced subset of 6,540 images from a 101,442-image source (unit: image)</w:t>
            </w:r>
          </w:p>
        </w:tc>
        <w:tc>
          <w:tcPr>
            <w:tcW w:type="dxa" w:w="2041"/>
          </w:tcPr>
          <w:p>
            <w:pPr>
              <w:spacing w:after="0"/>
            </w:pPr>
            <w:r>
              <w:rPr>
                <w:b w:val="0"/>
                <w:sz w:val="14"/>
              </w:rPr>
              <w:t>AlterNet-K: ResNet blocks alternating with multi-head self-attention</w:t>
            </w:r>
          </w:p>
        </w:tc>
        <w:tc>
          <w:tcPr>
            <w:tcW w:type="dxa" w:w="2154"/>
          </w:tcPr>
          <w:p>
            <w:pPr>
              <w:spacing w:after="0"/>
            </w:pPr>
            <w:r>
              <w:rPr>
                <w:b w:val="0"/>
                <w:sz w:val="14"/>
              </w:rPr>
              <w:t>Binary/referable glaucoma or GON detection: Referable glaucoma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AIROGS/EyePACS</w:t>
            </w:r>
          </w:p>
        </w:tc>
      </w:tr>
      <w:tr>
        <w:trPr>
          <w:cantSplit/>
        </w:trPr>
        <w:tc>
          <w:tcPr>
            <w:tcW w:type="dxa" w:w="1928"/>
          </w:tcPr>
          <w:p>
            <w:pPr>
              <w:spacing w:after="0"/>
            </w:pPr>
            <w:r>
              <w:rPr>
                <w:b w:val="0"/>
                <w:sz w:val="14"/>
              </w:rPr>
              <w:t>S08; Wang et al., 2023 [43]</w:t>
            </w:r>
          </w:p>
        </w:tc>
        <w:tc>
          <w:tcPr>
            <w:tcW w:type="dxa" w:w="2154"/>
          </w:tcPr>
          <w:p>
            <w:pPr>
              <w:spacing w:after="0"/>
            </w:pPr>
            <w:r>
              <w:rPr>
                <w:b w:val="0"/>
                <w:sz w:val="14"/>
              </w:rPr>
              <w:t>China / GAMMA</w:t>
            </w:r>
          </w:p>
        </w:tc>
        <w:tc>
          <w:tcPr>
            <w:tcW w:type="dxa" w:w="2721"/>
          </w:tcPr>
          <w:p>
            <w:pPr>
              <w:spacing w:after="0"/>
            </w:pPr>
            <w:r>
              <w:rPr>
                <w:b w:val="0"/>
                <w:sz w:val="14"/>
              </w:rPr>
              <w:t>Fundus photograph + 3D OCT; 300 paired multimodal examinations/276 participants; 150 glaucoma and 150 normal (unit: eye)</w:t>
            </w:r>
          </w:p>
        </w:tc>
        <w:tc>
          <w:tcPr>
            <w:tcW w:type="dxa" w:w="2041"/>
          </w:tcPr>
          <w:p>
            <w:pPr>
              <w:spacing w:after="0"/>
            </w:pPr>
            <w:r>
              <w:rPr>
                <w:b w:val="0"/>
                <w:sz w:val="14"/>
              </w:rPr>
              <w:t>MSTNet with 3D Transformer and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S09; Wu et al., 2023 [44]</w:t>
            </w:r>
          </w:p>
        </w:tc>
        <w:tc>
          <w:tcPr>
            <w:tcW w:type="dxa" w:w="2154"/>
          </w:tcPr>
          <w:p>
            <w:pPr>
              <w:spacing w:after="0"/>
            </w:pPr>
            <w:r>
              <w:rPr>
                <w:b w:val="0"/>
                <w:sz w:val="14"/>
              </w:rPr>
              <w:t>China/multinational / GAMMA</w:t>
            </w:r>
          </w:p>
        </w:tc>
        <w:tc>
          <w:tcPr>
            <w:tcW w:type="dxa" w:w="2721"/>
          </w:tcPr>
          <w:p>
            <w:pPr>
              <w:spacing w:after="0"/>
            </w:pPr>
            <w:r>
              <w:rPr>
                <w:b w:val="0"/>
                <w:sz w:val="14"/>
              </w:rPr>
              <w:t>Fundus photograph + 3D OCT; 300 paired examinations (100 train, 100 validation, 100 test) (unit: eye)</w:t>
            </w:r>
          </w:p>
        </w:tc>
        <w:tc>
          <w:tcPr>
            <w:tcW w:type="dxa" w:w="2041"/>
          </w:tcPr>
          <w:p>
            <w:pPr>
              <w:spacing w:after="0"/>
            </w:pPr>
            <w:r>
              <w:rPr>
                <w:b w:val="0"/>
                <w:sz w:val="14"/>
              </w:rPr>
              <w:t>Challenge systems; leading entry used dual Swin-based multimodal fusion</w:t>
            </w:r>
          </w:p>
        </w:tc>
        <w:tc>
          <w:tcPr>
            <w:tcW w:type="dxa" w:w="2154"/>
          </w:tcPr>
          <w:p>
            <w:pPr>
              <w:spacing w:after="0"/>
            </w:pPr>
            <w:r>
              <w:rPr>
                <w:b w:val="0"/>
                <w:sz w:val="14"/>
              </w:rPr>
              <w:t>Glaucoma grading/staging/suspect classification: Three-level glaucoma grading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GAMMA</w:t>
            </w:r>
          </w:p>
        </w:tc>
      </w:tr>
      <w:tr>
        <w:trPr>
          <w:cantSplit/>
        </w:trPr>
        <w:tc>
          <w:tcPr>
            <w:tcW w:type="dxa" w:w="1928"/>
          </w:tcPr>
          <w:p>
            <w:pPr>
              <w:spacing w:after="0"/>
            </w:pPr>
            <w:r>
              <w:rPr>
                <w:b w:val="0"/>
                <w:sz w:val="14"/>
              </w:rPr>
              <w:t>S10; Tohye et al., 2024 [45]</w:t>
            </w:r>
          </w:p>
        </w:tc>
        <w:tc>
          <w:tcPr>
            <w:tcW w:type="dxa" w:w="2154"/>
          </w:tcPr>
          <w:p>
            <w:pPr>
              <w:spacing w:after="0"/>
            </w:pPr>
            <w:r>
              <w:rPr>
                <w:b w:val="0"/>
                <w:sz w:val="14"/>
              </w:rPr>
              <w:t>International/public / SMDG aggregate</w:t>
            </w:r>
          </w:p>
        </w:tc>
        <w:tc>
          <w:tcPr>
            <w:tcW w:type="dxa" w:w="2721"/>
          </w:tcPr>
          <w:p>
            <w:pPr>
              <w:spacing w:after="0"/>
            </w:pPr>
            <w:r>
              <w:rPr>
                <w:b w:val="0"/>
                <w:sz w:val="14"/>
              </w:rPr>
              <w:t>Colour fundus photographs + optic disc/cup contours; 11,665 source images; 24,127 images after augmentation/generation (unit: image)</w:t>
            </w:r>
          </w:p>
        </w:tc>
        <w:tc>
          <w:tcPr>
            <w:tcW w:type="dxa" w:w="2041"/>
          </w:tcPr>
          <w:p>
            <w:pPr>
              <w:spacing w:after="0"/>
            </w:pPr>
            <w:r>
              <w:rPr>
                <w:b w:val="0"/>
                <w:sz w:val="14"/>
              </w:rPr>
              <w:t>Contour-guided augmented Vision Transformer + CVGAN</w:t>
            </w:r>
          </w:p>
        </w:tc>
        <w:tc>
          <w:tcPr>
            <w:tcW w:type="dxa" w:w="2154"/>
          </w:tcPr>
          <w:p>
            <w:pPr>
              <w:spacing w:after="0"/>
            </w:pPr>
            <w:r>
              <w:rPr>
                <w:b w:val="0"/>
                <w:sz w:val="14"/>
              </w:rPr>
              <w:t>Glaucoma grading/staging/suspect classification: Multiclass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DRISHTI-GS; RIM-ONE; REFUGE; EyePACS; ORIGA</w:t>
            </w:r>
          </w:p>
        </w:tc>
      </w:tr>
      <w:tr>
        <w:trPr>
          <w:cantSplit/>
        </w:trPr>
        <w:tc>
          <w:tcPr>
            <w:tcW w:type="dxa" w:w="1928"/>
          </w:tcPr>
          <w:p>
            <w:pPr>
              <w:spacing w:after="0"/>
            </w:pPr>
            <w:r>
              <w:rPr>
                <w:b w:val="0"/>
                <w:sz w:val="14"/>
              </w:rPr>
              <w:t>S11; Wang et al., 2024 [46]</w:t>
            </w:r>
          </w:p>
        </w:tc>
        <w:tc>
          <w:tcPr>
            <w:tcW w:type="dxa" w:w="2154"/>
          </w:tcPr>
          <w:p>
            <w:pPr>
              <w:spacing w:after="0"/>
            </w:pPr>
            <w:r>
              <w:rPr>
                <w:b w:val="0"/>
                <w:sz w:val="14"/>
              </w:rPr>
              <w:t>Taiwan / Single retrospective clinical dataset</w:t>
            </w:r>
          </w:p>
        </w:tc>
        <w:tc>
          <w:tcPr>
            <w:tcW w:type="dxa" w:w="2721"/>
          </w:tcPr>
          <w:p>
            <w:pPr>
              <w:spacing w:after="0"/>
            </w:pPr>
            <w:r>
              <w:rPr>
                <w:b w:val="0"/>
                <w:sz w:val="14"/>
              </w:rPr>
              <w:t>Hyperspectral-converted fundus photographs; 1,291 images (638 glaucoma; 653 non-glaucoma) (unit: image)</w:t>
            </w:r>
          </w:p>
        </w:tc>
        <w:tc>
          <w:tcPr>
            <w:tcW w:type="dxa" w:w="2041"/>
          </w:tcPr>
          <w:p>
            <w:pPr>
              <w:spacing w:after="0"/>
            </w:pPr>
            <w:r>
              <w:rPr>
                <w:b w:val="0"/>
                <w:sz w:val="14"/>
              </w:rPr>
              <w:t>Vision Transformer by spectral band</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Taiwan hyperspectral-converted fundus</w:t>
            </w:r>
          </w:p>
        </w:tc>
      </w:tr>
      <w:tr>
        <w:trPr>
          <w:cantSplit/>
        </w:trPr>
        <w:tc>
          <w:tcPr>
            <w:tcW w:type="dxa" w:w="1928"/>
          </w:tcPr>
          <w:p>
            <w:pPr>
              <w:spacing w:after="0"/>
            </w:pPr>
            <w:r>
              <w:rPr>
                <w:b w:val="0"/>
                <w:sz w:val="14"/>
              </w:rPr>
              <w:t>S12; Chincholi and Koestler, 2024 [47]</w:t>
            </w:r>
          </w:p>
        </w:tc>
        <w:tc>
          <w:tcPr>
            <w:tcW w:type="dxa" w:w="2154"/>
          </w:tcPr>
          <w:p>
            <w:pPr>
              <w:spacing w:after="0"/>
            </w:pPr>
            <w:r>
              <w:rPr>
                <w:b w:val="0"/>
                <w:sz w:val="14"/>
              </w:rPr>
              <w:t>International/public / Standardized Fundus Glaucoma Dataset</w:t>
            </w:r>
          </w:p>
        </w:tc>
        <w:tc>
          <w:tcPr>
            <w:tcW w:type="dxa" w:w="2721"/>
          </w:tcPr>
          <w:p>
            <w:pPr>
              <w:spacing w:after="0"/>
            </w:pPr>
            <w:r>
              <w:rPr>
                <w:b w:val="0"/>
                <w:sz w:val="14"/>
              </w:rPr>
              <w:t>Colour fundus photographs; 2,670 images (1,961 non-glaucoma; 709 glaucoma) (unit: image)</w:t>
            </w:r>
          </w:p>
        </w:tc>
        <w:tc>
          <w:tcPr>
            <w:tcW w:type="dxa" w:w="2041"/>
          </w:tcPr>
          <w:p>
            <w:pPr>
              <w:spacing w:after="0"/>
            </w:pPr>
            <w:r>
              <w:rPr>
                <w:b w:val="0"/>
                <w:sz w:val="14"/>
              </w:rPr>
              <w:t>Vision Transformer and Detection Transformer</w:t>
            </w:r>
          </w:p>
        </w:tc>
        <w:tc>
          <w:tcPr>
            <w:tcW w:type="dxa" w:w="2154"/>
          </w:tcPr>
          <w:p>
            <w:pPr>
              <w:spacing w:after="0"/>
            </w:pPr>
            <w:r>
              <w:rPr>
                <w:b w:val="0"/>
                <w:sz w:val="14"/>
              </w:rPr>
              <w:t>Binary/referable glaucoma or GON detection: Binary glaucoma classification/detection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 components</w:t>
            </w:r>
          </w:p>
        </w:tc>
      </w:tr>
      <w:tr>
        <w:trPr>
          <w:cantSplit/>
        </w:trPr>
        <w:tc>
          <w:tcPr>
            <w:tcW w:type="dxa" w:w="1928"/>
          </w:tcPr>
          <w:p>
            <w:pPr>
              <w:spacing w:after="0"/>
            </w:pPr>
            <w:r>
              <w:rPr>
                <w:b w:val="0"/>
                <w:sz w:val="14"/>
              </w:rPr>
              <w:t>S13; Almeshrky and Karacı, 2024 [48]</w:t>
            </w:r>
          </w:p>
        </w:tc>
        <w:tc>
          <w:tcPr>
            <w:tcW w:type="dxa" w:w="2154"/>
          </w:tcPr>
          <w:p>
            <w:pPr>
              <w:spacing w:after="0"/>
            </w:pPr>
            <w:r>
              <w:rPr>
                <w:b w:val="0"/>
                <w:sz w:val="14"/>
              </w:rPr>
              <w:t>International/public / DRISHTI-GS and ORIGA</w:t>
            </w:r>
          </w:p>
        </w:tc>
        <w:tc>
          <w:tcPr>
            <w:tcW w:type="dxa" w:w="2721"/>
          </w:tcPr>
          <w:p>
            <w:pPr>
              <w:spacing w:after="0"/>
            </w:pPr>
            <w:r>
              <w:rPr>
                <w:b w:val="0"/>
                <w:sz w:val="14"/>
              </w:rPr>
              <w:t>Colour fundus photographs; 101 and 650 images (unit: image)</w:t>
            </w:r>
          </w:p>
        </w:tc>
        <w:tc>
          <w:tcPr>
            <w:tcW w:type="dxa" w:w="2041"/>
          </w:tcPr>
          <w:p>
            <w:pPr>
              <w:spacing w:after="0"/>
            </w:pPr>
            <w:r>
              <w:rPr>
                <w:b w:val="0"/>
                <w:sz w:val="14"/>
              </w:rPr>
              <w:t>Swin Transformer classifier within a segmentation/classification pipeline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DRISHTI-GS; ORIGA</w:t>
            </w:r>
          </w:p>
        </w:tc>
      </w:tr>
      <w:tr>
        <w:trPr>
          <w:cantSplit/>
        </w:trPr>
        <w:tc>
          <w:tcPr>
            <w:tcW w:type="dxa" w:w="1928"/>
          </w:tcPr>
          <w:p>
            <w:pPr>
              <w:spacing w:after="0"/>
            </w:pPr>
            <w:r>
              <w:rPr>
                <w:b w:val="0"/>
                <w:sz w:val="14"/>
              </w:rPr>
              <w:t>S14; Sangchocanonta et al., 2025 [49]</w:t>
            </w:r>
          </w:p>
        </w:tc>
        <w:tc>
          <w:tcPr>
            <w:tcW w:type="dxa" w:w="2154"/>
          </w:tcPr>
          <w:p>
            <w:pPr>
              <w:spacing w:after="0"/>
            </w:pPr>
            <w:r>
              <w:rPr>
                <w:b w:val="0"/>
                <w:sz w:val="14"/>
              </w:rPr>
              <w:t>Thailand / GlauCUTU-DATA</w:t>
            </w:r>
          </w:p>
        </w:tc>
        <w:tc>
          <w:tcPr>
            <w:tcW w:type="dxa" w:w="2721"/>
          </w:tcPr>
          <w:p>
            <w:pPr>
              <w:spacing w:after="0"/>
            </w:pPr>
            <w:r>
              <w:rPr>
                <w:b w:val="0"/>
                <w:sz w:val="14"/>
              </w:rPr>
              <w:t>Colour fundus photographs; 9,380 images; strict 3/3 subset 5,570 and 2/3 subset 3,810 (unit: image)</w:t>
            </w:r>
          </w:p>
        </w:tc>
        <w:tc>
          <w:tcPr>
            <w:tcW w:type="dxa" w:w="2041"/>
          </w:tcPr>
          <w:p>
            <w:pPr>
              <w:spacing w:after="0"/>
            </w:pPr>
            <w:r>
              <w:rPr>
                <w:b w:val="0"/>
                <w:sz w:val="14"/>
              </w:rPr>
              <w:t>DeiT-S with polar/pie augmentation</w:t>
            </w:r>
          </w:p>
        </w:tc>
        <w:tc>
          <w:tcPr>
            <w:tcW w:type="dxa" w:w="2154"/>
          </w:tcPr>
          <w:p>
            <w:pPr>
              <w:spacing w:after="0"/>
            </w:pPr>
            <w:r>
              <w:rPr>
                <w:b w:val="0"/>
                <w:sz w:val="14"/>
              </w:rPr>
              <w:t>Glaucoma grading/staging/suspect classification: Glaucoma, suspect, and no-glaucoma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GlauCUTU-DATA</w:t>
            </w:r>
          </w:p>
        </w:tc>
      </w:tr>
      <w:tr>
        <w:trPr>
          <w:cantSplit/>
        </w:trPr>
        <w:tc>
          <w:tcPr>
            <w:tcW w:type="dxa" w:w="1928"/>
          </w:tcPr>
          <w:p>
            <w:pPr>
              <w:spacing w:after="0"/>
            </w:pPr>
            <w:r>
              <w:rPr>
                <w:b w:val="0"/>
                <w:sz w:val="14"/>
              </w:rPr>
              <w:t>S15; Ashtari-Majlan and Masip, 2025 [50]</w:t>
            </w:r>
          </w:p>
        </w:tc>
        <w:tc>
          <w:tcPr>
            <w:tcW w:type="dxa" w:w="2154"/>
          </w:tcPr>
          <w:p>
            <w:pPr>
              <w:spacing w:after="0"/>
            </w:pPr>
            <w:r>
              <w:rPr>
                <w:b w:val="0"/>
                <w:sz w:val="14"/>
              </w:rPr>
              <w:t>International/public / Maetschke OCT dataset</w:t>
            </w:r>
          </w:p>
        </w:tc>
        <w:tc>
          <w:tcPr>
            <w:tcW w:type="dxa" w:w="2721"/>
          </w:tcPr>
          <w:p>
            <w:pPr>
              <w:spacing w:after="0"/>
            </w:pPr>
            <w:r>
              <w:rPr>
                <w:b w:val="0"/>
                <w:sz w:val="14"/>
              </w:rPr>
              <w:t>3D OCT volumes; 1,110 volumes/624 participants (847 POAG; 263 healthy) (unit: participant/volume)</w:t>
            </w:r>
          </w:p>
        </w:tc>
        <w:tc>
          <w:tcPr>
            <w:tcW w:type="dxa" w:w="2041"/>
          </w:tcPr>
          <w:p>
            <w:pPr>
              <w:spacing w:after="0"/>
            </w:pPr>
            <w:r>
              <w:rPr>
                <w:b w:val="0"/>
                <w:sz w:val="14"/>
              </w:rPr>
              <w:t>RETFound ViT-Large + bidirectional GRU</w:t>
            </w:r>
          </w:p>
        </w:tc>
        <w:tc>
          <w:tcPr>
            <w:tcW w:type="dxa" w:w="2154"/>
          </w:tcPr>
          <w:p>
            <w:pPr>
              <w:spacing w:after="0"/>
            </w:pPr>
            <w:r>
              <w:rPr>
                <w:b w:val="0"/>
                <w:sz w:val="14"/>
              </w:rPr>
              <w:t>Binary/referable glaucoma or GON detection: Binary POAG diagnosis</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Maetschke 3D OCT</w:t>
            </w:r>
          </w:p>
        </w:tc>
      </w:tr>
      <w:tr>
        <w:trPr>
          <w:cantSplit/>
        </w:trPr>
        <w:tc>
          <w:tcPr>
            <w:tcW w:type="dxa" w:w="1928"/>
          </w:tcPr>
          <w:p>
            <w:pPr>
              <w:spacing w:after="0"/>
            </w:pPr>
            <w:r>
              <w:rPr>
                <w:b w:val="0"/>
                <w:sz w:val="14"/>
              </w:rPr>
              <w:t>S16; Yurdakul et al., 2025 [51]</w:t>
            </w:r>
          </w:p>
        </w:tc>
        <w:tc>
          <w:tcPr>
            <w:tcW w:type="dxa" w:w="2154"/>
          </w:tcPr>
          <w:p>
            <w:pPr>
              <w:spacing w:after="0"/>
            </w:pPr>
            <w:r>
              <w:rPr>
                <w:b w:val="0"/>
                <w:sz w:val="14"/>
              </w:rPr>
              <w:t>International/public / HDV1</w:t>
            </w:r>
          </w:p>
        </w:tc>
        <w:tc>
          <w:tcPr>
            <w:tcW w:type="dxa" w:w="2721"/>
          </w:tcPr>
          <w:p>
            <w:pPr>
              <w:spacing w:after="0"/>
            </w:pPr>
            <w:r>
              <w:rPr>
                <w:b w:val="0"/>
                <w:sz w:val="14"/>
              </w:rPr>
              <w:t>Colour fundus photographs; 11,500 images (3,940 normal; 2,890 early; 4,670 advanced) (unit: image)</w:t>
            </w:r>
          </w:p>
        </w:tc>
        <w:tc>
          <w:tcPr>
            <w:tcW w:type="dxa" w:w="2041"/>
          </w:tcPr>
          <w:p>
            <w:pPr>
              <w:spacing w:after="0"/>
            </w:pPr>
            <w:r>
              <w:rPr>
                <w:b w:val="0"/>
                <w:sz w:val="14"/>
              </w:rPr>
              <w:t>MaxGlaViT</w:t>
            </w:r>
          </w:p>
        </w:tc>
        <w:tc>
          <w:tcPr>
            <w:tcW w:type="dxa" w:w="2154"/>
          </w:tcPr>
          <w:p>
            <w:pPr>
              <w:spacing w:after="0"/>
            </w:pPr>
            <w:r>
              <w:rPr>
                <w:b w:val="0"/>
                <w:sz w:val="14"/>
              </w:rPr>
              <w:t>Glaucoma grading/staging/suspect classification: Normal/early/advanced 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HDV1</w:t>
            </w:r>
          </w:p>
        </w:tc>
      </w:tr>
      <w:tr>
        <w:trPr>
          <w:cantSplit/>
        </w:trPr>
        <w:tc>
          <w:tcPr>
            <w:tcW w:type="dxa" w:w="1928"/>
          </w:tcPr>
          <w:p>
            <w:pPr>
              <w:spacing w:after="0"/>
            </w:pPr>
            <w:r>
              <w:rPr>
                <w:b w:val="0"/>
                <w:sz w:val="14"/>
              </w:rPr>
              <w:t>S17; Das et al., 2025 [52]</w:t>
            </w:r>
          </w:p>
        </w:tc>
        <w:tc>
          <w:tcPr>
            <w:tcW w:type="dxa" w:w="2154"/>
          </w:tcPr>
          <w:p>
            <w:pPr>
              <w:spacing w:after="0"/>
            </w:pPr>
            <w:r>
              <w:rPr>
                <w:b w:val="0"/>
                <w:sz w:val="14"/>
              </w:rPr>
              <w:t>International/public / Benchmark development set + unseen dataset</w:t>
            </w:r>
          </w:p>
        </w:tc>
        <w:tc>
          <w:tcPr>
            <w:tcW w:type="dxa" w:w="2721"/>
          </w:tcPr>
          <w:p>
            <w:pPr>
              <w:spacing w:after="0"/>
            </w:pPr>
            <w:r>
              <w:rPr>
                <w:b w:val="0"/>
                <w:sz w:val="14"/>
              </w:rPr>
              <w:t>Colour fundus photographs; NR (unit: image)</w:t>
            </w:r>
          </w:p>
        </w:tc>
        <w:tc>
          <w:tcPr>
            <w:tcW w:type="dxa" w:w="2041"/>
          </w:tcPr>
          <w:p>
            <w:pPr>
              <w:spacing w:after="0"/>
            </w:pPr>
            <w:r>
              <w:rPr>
                <w:b w:val="0"/>
                <w:sz w:val="14"/>
              </w:rPr>
              <w:t>Dual-domain Global Transformer</w:t>
            </w:r>
          </w:p>
        </w:tc>
        <w:tc>
          <w:tcPr>
            <w:tcW w:type="dxa" w:w="2154"/>
          </w:tcPr>
          <w:p>
            <w:pPr>
              <w:spacing w:after="0"/>
            </w:pPr>
            <w:r>
              <w:rPr>
                <w:b w:val="0"/>
                <w:sz w:val="14"/>
              </w:rPr>
              <w:t>Glaucoma grading/staging/suspect classification: Multistage glaucoma classification</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Unspecified benchmark + unseen dataset</w:t>
            </w:r>
          </w:p>
        </w:tc>
      </w:tr>
      <w:tr>
        <w:trPr>
          <w:cantSplit/>
        </w:trPr>
        <w:tc>
          <w:tcPr>
            <w:tcW w:type="dxa" w:w="1928"/>
          </w:tcPr>
          <w:p>
            <w:pPr>
              <w:spacing w:after="0"/>
            </w:pPr>
            <w:r>
              <w:rPr>
                <w:b w:val="0"/>
                <w:sz w:val="14"/>
              </w:rPr>
              <w:t>S18; Naidana et al., 2025 [53]</w:t>
            </w:r>
          </w:p>
        </w:tc>
        <w:tc>
          <w:tcPr>
            <w:tcW w:type="dxa" w:w="2154"/>
          </w:tcPr>
          <w:p>
            <w:pPr>
              <w:spacing w:after="0"/>
            </w:pPr>
            <w:r>
              <w:rPr>
                <w:b w:val="0"/>
                <w:sz w:val="14"/>
              </w:rPr>
              <w:t>India/public / ACRIMA, ORIGA, DRISHTI-GS + curated validation images</w:t>
            </w:r>
          </w:p>
        </w:tc>
        <w:tc>
          <w:tcPr>
            <w:tcW w:type="dxa" w:w="2721"/>
          </w:tcPr>
          <w:p>
            <w:pPr>
              <w:spacing w:after="0"/>
            </w:pPr>
            <w:r>
              <w:rPr>
                <w:b w:val="0"/>
                <w:sz w:val="14"/>
              </w:rPr>
              <w:t>Colour fundus photographs; Approximately 1,450 images across sources; report-specific ACRIMA count discrepant (unit: image)</w:t>
            </w:r>
          </w:p>
        </w:tc>
        <w:tc>
          <w:tcPr>
            <w:tcW w:type="dxa" w:w="2041"/>
          </w:tcPr>
          <w:p>
            <w:pPr>
              <w:spacing w:after="0"/>
            </w:pPr>
            <w:r>
              <w:rPr>
                <w:b w:val="0"/>
                <w:sz w:val="14"/>
              </w:rPr>
              <w:t>MobileNet-derived network with multi-head transformer module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ACRIMA; ORIGA; DRISHTI-GS</w:t>
            </w:r>
          </w:p>
        </w:tc>
      </w:tr>
      <w:tr>
        <w:trPr>
          <w:cantSplit/>
        </w:trPr>
        <w:tc>
          <w:tcPr>
            <w:tcW w:type="dxa" w:w="1928"/>
          </w:tcPr>
          <w:p>
            <w:pPr>
              <w:spacing w:after="0"/>
            </w:pPr>
            <w:r>
              <w:rPr>
                <w:b w:val="0"/>
                <w:sz w:val="14"/>
              </w:rPr>
              <w:t>S19; Guntreddi and Sivakumar, 2025 [54]</w:t>
            </w:r>
          </w:p>
        </w:tc>
        <w:tc>
          <w:tcPr>
            <w:tcW w:type="dxa" w:w="2154"/>
          </w:tcPr>
          <w:p>
            <w:pPr>
              <w:spacing w:after="0"/>
            </w:pPr>
            <w:r>
              <w:rPr>
                <w:b w:val="0"/>
                <w:sz w:val="14"/>
              </w:rPr>
              <w:t>International/public / ORIGA</w:t>
            </w:r>
          </w:p>
        </w:tc>
        <w:tc>
          <w:tcPr>
            <w:tcW w:type="dxa" w:w="2721"/>
          </w:tcPr>
          <w:p>
            <w:pPr>
              <w:spacing w:after="0"/>
            </w:pPr>
            <w:r>
              <w:rPr>
                <w:b w:val="0"/>
                <w:sz w:val="14"/>
              </w:rPr>
              <w:t>Colour fundus photographs + ORIGA metadata; 650 images (unit: image)</w:t>
            </w:r>
          </w:p>
        </w:tc>
        <w:tc>
          <w:tcPr>
            <w:tcW w:type="dxa" w:w="2041"/>
          </w:tcPr>
          <w:p>
            <w:pPr>
              <w:spacing w:after="0"/>
            </w:pPr>
            <w:r>
              <w:rPr>
                <w:b w:val="0"/>
                <w:sz w:val="14"/>
              </w:rPr>
              <w:t>ResNet50/VGG16/Swin Transformer voting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ORIGA</w:t>
            </w:r>
          </w:p>
        </w:tc>
      </w:tr>
      <w:tr>
        <w:trPr>
          <w:cantSplit/>
        </w:trPr>
        <w:tc>
          <w:tcPr>
            <w:tcW w:type="dxa" w:w="1928"/>
          </w:tcPr>
          <w:p>
            <w:pPr>
              <w:spacing w:after="0"/>
            </w:pPr>
            <w:r>
              <w:rPr>
                <w:b w:val="0"/>
                <w:sz w:val="14"/>
              </w:rPr>
              <w:t>S20; Jisy et al., 2025 [55]</w:t>
            </w:r>
          </w:p>
        </w:tc>
        <w:tc>
          <w:tcPr>
            <w:tcW w:type="dxa" w:w="2154"/>
          </w:tcPr>
          <w:p>
            <w:pPr>
              <w:spacing w:after="0"/>
            </w:pPr>
            <w:r>
              <w:rPr>
                <w:b w:val="0"/>
                <w:sz w:val="14"/>
              </w:rPr>
              <w:t>India / LVPEI private dataset</w:t>
            </w:r>
          </w:p>
        </w:tc>
        <w:tc>
          <w:tcPr>
            <w:tcW w:type="dxa" w:w="2721"/>
          </w:tcPr>
          <w:p>
            <w:pPr>
              <w:spacing w:after="0"/>
            </w:pPr>
            <w:r>
              <w:rPr>
                <w:b w:val="0"/>
                <w:sz w:val="14"/>
              </w:rPr>
              <w:t>Colour fundus photographs; 415 original images (120 glaucoma; 295 normal) (unit: image)</w:t>
            </w:r>
          </w:p>
        </w:tc>
        <w:tc>
          <w:tcPr>
            <w:tcW w:type="dxa" w:w="2041"/>
          </w:tcPr>
          <w:p>
            <w:pPr>
              <w:spacing w:after="0"/>
            </w:pPr>
            <w:r>
              <w:rPr>
                <w:b w:val="0"/>
                <w:sz w:val="14"/>
              </w:rPr>
              <w:t>ViT-B/16, ViT-B/32, and Swin variants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LVPEI fundus</w:t>
            </w:r>
          </w:p>
        </w:tc>
      </w:tr>
      <w:tr>
        <w:trPr>
          <w:cantSplit/>
        </w:trPr>
        <w:tc>
          <w:tcPr>
            <w:tcW w:type="dxa" w:w="1928"/>
          </w:tcPr>
          <w:p>
            <w:pPr>
              <w:spacing w:after="0"/>
            </w:pPr>
            <w:r>
              <w:rPr>
                <w:b w:val="0"/>
                <w:sz w:val="14"/>
              </w:rPr>
              <w:t>S21; Krishnamoorthy et al., 2025 [56]</w:t>
            </w:r>
          </w:p>
        </w:tc>
        <w:tc>
          <w:tcPr>
            <w:tcW w:type="dxa" w:w="2154"/>
          </w:tcPr>
          <w:p>
            <w:pPr>
              <w:spacing w:after="0"/>
            </w:pPr>
            <w:r>
              <w:rPr>
                <w:b w:val="0"/>
                <w:sz w:val="14"/>
              </w:rPr>
              <w:t>International/public / Public fundus images; source incompletely specified</w:t>
            </w:r>
          </w:p>
        </w:tc>
        <w:tc>
          <w:tcPr>
            <w:tcW w:type="dxa" w:w="2721"/>
          </w:tcPr>
          <w:p>
            <w:pPr>
              <w:spacing w:after="0"/>
            </w:pPr>
            <w:r>
              <w:rPr>
                <w:b w:val="0"/>
                <w:sz w:val="14"/>
              </w:rPr>
              <w:t>Colour fundus photographs; 1,200 images claimed (unit: image)</w:t>
            </w:r>
          </w:p>
        </w:tc>
        <w:tc>
          <w:tcPr>
            <w:tcW w:type="dxa" w:w="2041"/>
          </w:tcPr>
          <w:p>
            <w:pPr>
              <w:spacing w:after="0"/>
            </w:pPr>
            <w:r>
              <w:rPr>
                <w:b w:val="0"/>
                <w:sz w:val="14"/>
              </w:rPr>
              <w:t>Attention-gated U-Net + wavelet scattering + Vision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Unspecified public fundus set</w:t>
            </w:r>
          </w:p>
        </w:tc>
      </w:tr>
      <w:tr>
        <w:trPr>
          <w:cantSplit/>
        </w:trPr>
        <w:tc>
          <w:tcPr>
            <w:tcW w:type="dxa" w:w="1928"/>
          </w:tcPr>
          <w:p>
            <w:pPr>
              <w:spacing w:after="0"/>
            </w:pPr>
            <w:r>
              <w:rPr>
                <w:b w:val="0"/>
                <w:sz w:val="14"/>
              </w:rPr>
              <w:t>S22; Sivakumar and Penkova, 2025 [57]</w:t>
            </w:r>
          </w:p>
        </w:tc>
        <w:tc>
          <w:tcPr>
            <w:tcW w:type="dxa" w:w="2154"/>
          </w:tcPr>
          <w:p>
            <w:pPr>
              <w:spacing w:after="0"/>
            </w:pPr>
            <w:r>
              <w:rPr>
                <w:b w:val="0"/>
                <w:sz w:val="14"/>
              </w:rPr>
              <w:t>United States/unclear / New-case dataset; provenance NR</w:t>
            </w:r>
          </w:p>
        </w:tc>
        <w:tc>
          <w:tcPr>
            <w:tcW w:type="dxa" w:w="2721"/>
          </w:tcPr>
          <w:p>
            <w:pPr>
              <w:spacing w:after="0"/>
            </w:pPr>
            <w:r>
              <w:rPr>
                <w:b w:val="0"/>
                <w:sz w:val="14"/>
              </w:rPr>
              <w:t>Fundus photographs + clinical biomarkers; 2,874 cases; 2,857 reported correctly classified (unit: case/image)</w:t>
            </w:r>
          </w:p>
        </w:tc>
        <w:tc>
          <w:tcPr>
            <w:tcW w:type="dxa" w:w="2041"/>
          </w:tcPr>
          <w:p>
            <w:pPr>
              <w:spacing w:after="0"/>
            </w:pPr>
            <w:r>
              <w:rPr>
                <w:b w:val="0"/>
                <w:sz w:val="14"/>
              </w:rPr>
              <w:t>ViT–ResNet, OWL-ViT–ResNet, and Swin–ResNet hybrids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Unspecified multimodal case set</w:t>
            </w:r>
          </w:p>
        </w:tc>
      </w:tr>
      <w:tr>
        <w:trPr>
          <w:cantSplit/>
        </w:trPr>
        <w:tc>
          <w:tcPr>
            <w:tcW w:type="dxa" w:w="1928"/>
          </w:tcPr>
          <w:p>
            <w:pPr>
              <w:spacing w:after="0"/>
            </w:pPr>
            <w:r>
              <w:rPr>
                <w:b w:val="0"/>
                <w:sz w:val="14"/>
              </w:rPr>
              <w:t>S23; Alasmari et al., 2025 [58]</w:t>
            </w:r>
          </w:p>
        </w:tc>
        <w:tc>
          <w:tcPr>
            <w:tcW w:type="dxa" w:w="2154"/>
          </w:tcPr>
          <w:p>
            <w:pPr>
              <w:spacing w:after="0"/>
            </w:pPr>
            <w:r>
              <w:rPr>
                <w:b w:val="0"/>
                <w:sz w:val="14"/>
              </w:rPr>
              <w:t>International/public / REFUGE, ORIGA, and G1020</w:t>
            </w:r>
          </w:p>
        </w:tc>
        <w:tc>
          <w:tcPr>
            <w:tcW w:type="dxa" w:w="2721"/>
          </w:tcPr>
          <w:p>
            <w:pPr>
              <w:spacing w:after="0"/>
            </w:pPr>
            <w:r>
              <w:rPr>
                <w:b w:val="0"/>
                <w:sz w:val="14"/>
              </w:rPr>
              <w:t>Colour fundus photographs; Dataset totals 1,200, 650, and 1,020 images (unit: image)</w:t>
            </w:r>
          </w:p>
        </w:tc>
        <w:tc>
          <w:tcPr>
            <w:tcW w:type="dxa" w:w="2041"/>
          </w:tcPr>
          <w:p>
            <w:pPr>
              <w:spacing w:after="0"/>
            </w:pPr>
            <w:r>
              <w:rPr>
                <w:b w:val="0"/>
                <w:sz w:val="14"/>
              </w:rPr>
              <w:t>MaskFormer with Swin-Base backbone</w:t>
            </w:r>
          </w:p>
        </w:tc>
        <w:tc>
          <w:tcPr>
            <w:tcW w:type="dxa" w:w="2154"/>
          </w:tcPr>
          <w:p>
            <w:pPr>
              <w:spacing w:after="0"/>
            </w:pPr>
            <w:r>
              <w:rPr>
                <w:b w:val="0"/>
                <w:sz w:val="14"/>
              </w:rPr>
              <w:t>Binary/referable glaucoma or GON detection: Disc/cup segmentation followed by vCDR-threshold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REFUGE; ORIGA; G1020</w:t>
            </w:r>
          </w:p>
        </w:tc>
      </w:tr>
      <w:tr>
        <w:trPr>
          <w:cantSplit/>
        </w:trPr>
        <w:tc>
          <w:tcPr>
            <w:tcW w:type="dxa" w:w="1928"/>
          </w:tcPr>
          <w:p>
            <w:pPr>
              <w:spacing w:after="0"/>
            </w:pPr>
            <w:r>
              <w:rPr>
                <w:b w:val="0"/>
                <w:sz w:val="14"/>
              </w:rPr>
              <w:t>S24; Liao et al., 2025 [59]</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challenge images; exact analytic subset NR (unit: image)</w:t>
            </w:r>
          </w:p>
        </w:tc>
        <w:tc>
          <w:tcPr>
            <w:tcW w:type="dxa" w:w="2041"/>
          </w:tcPr>
          <w:p>
            <w:pPr>
              <w:spacing w:after="0"/>
            </w:pPr>
            <w:r>
              <w:rPr>
                <w:b w:val="0"/>
                <w:sz w:val="14"/>
              </w:rPr>
              <w:t>Vision Transformer classifier with diffusion augmentation</w:t>
            </w:r>
          </w:p>
        </w:tc>
        <w:tc>
          <w:tcPr>
            <w:tcW w:type="dxa" w:w="2154"/>
          </w:tcPr>
          <w:p>
            <w:pPr>
              <w:spacing w:after="0"/>
            </w:pPr>
            <w:r>
              <w:rPr>
                <w:b w:val="0"/>
                <w:sz w:val="14"/>
              </w:rPr>
              <w:t>Binary/referable glaucoma or GON detection: Referable-glaucoma classification under synthetic augmentation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JustRAIGS/AIROGS</w:t>
            </w:r>
          </w:p>
        </w:tc>
      </w:tr>
      <w:tr>
        <w:trPr>
          <w:cantSplit/>
        </w:trPr>
        <w:tc>
          <w:tcPr>
            <w:tcW w:type="dxa" w:w="1928"/>
          </w:tcPr>
          <w:p>
            <w:pPr>
              <w:spacing w:after="0"/>
            </w:pPr>
            <w:r>
              <w:rPr>
                <w:b w:val="0"/>
                <w:sz w:val="14"/>
              </w:rPr>
              <w:t>S25; Lv et al., 2025 [60]</w:t>
            </w:r>
          </w:p>
        </w:tc>
        <w:tc>
          <w:tcPr>
            <w:tcW w:type="dxa" w:w="2154"/>
          </w:tcPr>
          <w:p>
            <w:pPr>
              <w:spacing w:after="0"/>
            </w:pPr>
            <w:r>
              <w:rPr>
                <w:b w:val="0"/>
                <w:sz w:val="14"/>
              </w:rPr>
              <w:t>International/public / DRISHTI-GS development; REFUGE external segmentation</w:t>
            </w:r>
          </w:p>
        </w:tc>
        <w:tc>
          <w:tcPr>
            <w:tcW w:type="dxa" w:w="2721"/>
          </w:tcPr>
          <w:p>
            <w:pPr>
              <w:spacing w:after="0"/>
            </w:pPr>
            <w:r>
              <w:rPr>
                <w:b w:val="0"/>
                <w:sz w:val="14"/>
              </w:rPr>
              <w:t>Colour fundus photographs; 101 and 1,200 images (unit: image)</w:t>
            </w:r>
          </w:p>
        </w:tc>
        <w:tc>
          <w:tcPr>
            <w:tcW w:type="dxa" w:w="2041"/>
          </w:tcPr>
          <w:p>
            <w:pPr>
              <w:spacing w:after="0"/>
            </w:pPr>
            <w:r>
              <w:rPr>
                <w:b w:val="0"/>
                <w:sz w:val="14"/>
              </w:rPr>
              <w:t>E-DCoAtUNet with convolution–attention/Transformer blocks</w:t>
            </w:r>
          </w:p>
        </w:tc>
        <w:tc>
          <w:tcPr>
            <w:tcW w:type="dxa" w:w="2154"/>
          </w:tcPr>
          <w:p>
            <w:pPr>
              <w:spacing w:after="0"/>
            </w:pPr>
            <w:r>
              <w:rPr>
                <w:b w:val="0"/>
                <w:sz w:val="14"/>
              </w:rPr>
              <w:t>Binary/referable glaucoma or GON detection: Disc/cup segmentation and vCDR-based binary screening</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DRISHTI-GS; REFUGE</w:t>
            </w:r>
          </w:p>
        </w:tc>
      </w:tr>
      <w:tr>
        <w:trPr>
          <w:cantSplit/>
        </w:trPr>
        <w:tc>
          <w:tcPr>
            <w:tcW w:type="dxa" w:w="1928"/>
          </w:tcPr>
          <w:p>
            <w:pPr>
              <w:spacing w:after="0"/>
            </w:pPr>
            <w:r>
              <w:rPr>
                <w:b w:val="0"/>
                <w:sz w:val="14"/>
              </w:rPr>
              <w:t>S26; Prakash and Vinoth Kumar, 2025 [61]</w:t>
            </w:r>
          </w:p>
        </w:tc>
        <w:tc>
          <w:tcPr>
            <w:tcW w:type="dxa" w:w="2154"/>
          </w:tcPr>
          <w:p>
            <w:pPr>
              <w:spacing w:after="0"/>
            </w:pPr>
            <w:r>
              <w:rPr>
                <w:b w:val="0"/>
                <w:sz w:val="14"/>
              </w:rPr>
              <w:t>International/public / DRISHTI-GS1, RIM-ONE, and ORIGA-Light</w:t>
            </w:r>
          </w:p>
        </w:tc>
        <w:tc>
          <w:tcPr>
            <w:tcW w:type="dxa" w:w="2721"/>
          </w:tcPr>
          <w:p>
            <w:pPr>
              <w:spacing w:after="0"/>
            </w:pPr>
            <w:r>
              <w:rPr>
                <w:b w:val="0"/>
                <w:sz w:val="14"/>
              </w:rPr>
              <w:t>Colour fundus photographs; 101, 169, and 650 images (unit: image)</w:t>
            </w:r>
          </w:p>
        </w:tc>
        <w:tc>
          <w:tcPr>
            <w:tcW w:type="dxa" w:w="2041"/>
          </w:tcPr>
          <w:p>
            <w:pPr>
              <w:spacing w:after="0"/>
            </w:pPr>
            <w:r>
              <w:rPr>
                <w:b w:val="0"/>
                <w:sz w:val="14"/>
              </w:rPr>
              <w:t>SegNet + Multi-Scale Attention Transformer and optimisation modules</w:t>
            </w:r>
          </w:p>
        </w:tc>
        <w:tc>
          <w:tcPr>
            <w:tcW w:type="dxa" w:w="2154"/>
          </w:tcPr>
          <w:p>
            <w:pPr>
              <w:spacing w:after="0"/>
            </w:pPr>
            <w:r>
              <w:rPr>
                <w:b w:val="0"/>
                <w:sz w:val="14"/>
              </w:rPr>
              <w:t>Binary/referable glaucoma or GON detection: Disc/cup segmentation and binary 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S27; AlMohimeed, 2025 [62]</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(1,007 glaucoma) (unit: image)</w:t>
            </w:r>
          </w:p>
        </w:tc>
        <w:tc>
          <w:tcPr>
            <w:tcW w:type="dxa" w:w="2041"/>
          </w:tcPr>
          <w:p>
            <w:pPr>
              <w:spacing w:after="0"/>
            </w:pPr>
            <w:r>
              <w:rPr>
                <w:b w:val="0"/>
                <w:sz w:val="14"/>
              </w:rPr>
              <w:t>ViT/DeiT/Swin feature fusion with PCA and machine-learning stacking</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S28; Lin, 2025 [63]</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4,217 images (unit: image)</w:t>
            </w:r>
          </w:p>
        </w:tc>
        <w:tc>
          <w:tcPr>
            <w:tcW w:type="dxa" w:w="2041"/>
          </w:tcPr>
          <w:p>
            <w:pPr>
              <w:spacing w:after="0"/>
            </w:pPr>
            <w:r>
              <w:rPr>
                <w:b w:val="0"/>
                <w:sz w:val="14"/>
              </w:rPr>
              <w:t>LGSF-Net: CNN local stream + three-head Transformer global stream</w:t>
            </w:r>
          </w:p>
        </w:tc>
        <w:tc>
          <w:tcPr>
            <w:tcW w:type="dxa" w:w="2154"/>
          </w:tcPr>
          <w:p>
            <w:pPr>
              <w:spacing w:after="0"/>
            </w:pPr>
            <w:r>
              <w:rPr>
                <w:b w:val="0"/>
                <w:sz w:val="14"/>
              </w:rPr>
              <w:t>Multidisease/multilabel classification: Four-class eye-disease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S29; Gandhi et al., 2025 [64]</w:t>
            </w:r>
          </w:p>
        </w:tc>
        <w:tc>
          <w:tcPr>
            <w:tcW w:type="dxa" w:w="2154"/>
          </w:tcPr>
          <w:p>
            <w:pPr>
              <w:spacing w:after="0"/>
            </w:pPr>
            <w:r>
              <w:rPr>
                <w:b w:val="0"/>
                <w:sz w:val="14"/>
              </w:rPr>
              <w:t>International/unclear / GRAPE and other public/clinical sources</w:t>
            </w:r>
          </w:p>
        </w:tc>
        <w:tc>
          <w:tcPr>
            <w:tcW w:type="dxa" w:w="2721"/>
          </w:tcPr>
          <w:p>
            <w:pPr>
              <w:spacing w:after="0"/>
            </w:pPr>
            <w:r>
              <w:rPr>
                <w:b w:val="0"/>
                <w:sz w:val="14"/>
              </w:rPr>
              <w:t>Fundus + OCT + clinical variables; Total analytic sample and paired-modality denominators NR (unit: unclear)</w:t>
            </w:r>
          </w:p>
        </w:tc>
        <w:tc>
          <w:tcPr>
            <w:tcW w:type="dxa" w:w="2041"/>
          </w:tcPr>
          <w:p>
            <w:pPr>
              <w:spacing w:after="0"/>
            </w:pPr>
            <w:r>
              <w:rPr>
                <w:b w:val="0"/>
                <w:sz w:val="14"/>
              </w:rPr>
              <w:t>CNN + ViT + quantum-inspired fusion</w:t>
            </w:r>
          </w:p>
        </w:tc>
        <w:tc>
          <w:tcPr>
            <w:tcW w:type="dxa" w:w="2154"/>
          </w:tcPr>
          <w:p>
            <w:pPr>
              <w:spacing w:after="0"/>
            </w:pPr>
            <w:r>
              <w:rPr>
                <w:b w:val="0"/>
                <w:sz w:val="14"/>
              </w:rPr>
              <w:t>Binary/referable glaucoma or GON detection: Binary glaucoma diagnosis</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GRAPE and unspecified sources</w:t>
            </w:r>
          </w:p>
        </w:tc>
      </w:tr>
      <w:tr>
        <w:trPr>
          <w:cantSplit/>
        </w:trPr>
        <w:tc>
          <w:tcPr>
            <w:tcW w:type="dxa" w:w="1928"/>
          </w:tcPr>
          <w:p>
            <w:pPr>
              <w:spacing w:after="0"/>
            </w:pPr>
            <w:r>
              <w:rPr>
                <w:b w:val="0"/>
                <w:sz w:val="14"/>
              </w:rPr>
              <w:t>S30; Rieck et al., 2025 [65]</w:t>
            </w:r>
          </w:p>
        </w:tc>
        <w:tc>
          <w:tcPr>
            <w:tcW w:type="dxa" w:w="2154"/>
          </w:tcPr>
          <w:p>
            <w:pPr>
              <w:spacing w:after="0"/>
            </w:pPr>
            <w:r>
              <w:rPr>
                <w:b w:val="0"/>
                <w:sz w:val="14"/>
              </w:rPr>
              <w:t>International/public / Broad multiclass fundus dataset</w:t>
            </w:r>
          </w:p>
        </w:tc>
        <w:tc>
          <w:tcPr>
            <w:tcW w:type="dxa" w:w="2721"/>
          </w:tcPr>
          <w:p>
            <w:pPr>
              <w:spacing w:after="0"/>
            </w:pPr>
            <w:r>
              <w:rPr>
                <w:b w:val="0"/>
                <w:sz w:val="14"/>
              </w:rPr>
              <w:t>Colour fundus photographs; NR (unit: image)</w:t>
            </w:r>
          </w:p>
        </w:tc>
        <w:tc>
          <w:tcPr>
            <w:tcW w:type="dxa" w:w="2041"/>
          </w:tcPr>
          <w:p>
            <w:pPr>
              <w:spacing w:after="0"/>
            </w:pPr>
            <w:r>
              <w:rPr>
                <w:b w:val="0"/>
                <w:sz w:val="14"/>
              </w:rPr>
              <w:t>Transformer–CNN hybrid with self-attention</w:t>
            </w:r>
          </w:p>
        </w:tc>
        <w:tc>
          <w:tcPr>
            <w:tcW w:type="dxa" w:w="2154"/>
          </w:tcPr>
          <w:p>
            <w:pPr>
              <w:spacing w:after="0"/>
            </w:pPr>
            <w:r>
              <w:rPr>
                <w:b w:val="0"/>
                <w:sz w:val="14"/>
              </w:rPr>
              <w:t>Multidisease/multilabel classification: Ten-class eye-disease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Broad multiclass fundus dataset</w:t>
            </w:r>
          </w:p>
        </w:tc>
      </w:tr>
      <w:tr>
        <w:trPr>
          <w:cantSplit/>
        </w:trPr>
        <w:tc>
          <w:tcPr>
            <w:tcW w:type="dxa" w:w="1928"/>
          </w:tcPr>
          <w:p>
            <w:pPr>
              <w:spacing w:after="0"/>
            </w:pPr>
            <w:r>
              <w:rPr>
                <w:b w:val="0"/>
                <w:sz w:val="14"/>
              </w:rPr>
              <w:t>S31; Hou et al., 2026 [66]</w:t>
            </w:r>
          </w:p>
        </w:tc>
        <w:tc>
          <w:tcPr>
            <w:tcW w:type="dxa" w:w="2154"/>
          </w:tcPr>
          <w:p>
            <w:pPr>
              <w:spacing w:after="0"/>
            </w:pPr>
            <w:r>
              <w:rPr>
                <w:b w:val="0"/>
                <w:sz w:val="14"/>
              </w:rPr>
              <w:t>International/public / Glaucoma_fundus development + PAPILA external</w:t>
            </w:r>
          </w:p>
        </w:tc>
        <w:tc>
          <w:tcPr>
            <w:tcW w:type="dxa" w:w="2721"/>
          </w:tcPr>
          <w:p>
            <w:pPr>
              <w:spacing w:after="0"/>
            </w:pPr>
            <w:r>
              <w:rPr>
                <w:b w:val="0"/>
                <w:sz w:val="14"/>
              </w:rPr>
              <w:t>Colour fundus photographs; NR (unit: image)</w:t>
            </w:r>
          </w:p>
        </w:tc>
        <w:tc>
          <w:tcPr>
            <w:tcW w:type="dxa" w:w="2041"/>
          </w:tcPr>
          <w:p>
            <w:pPr>
              <w:spacing w:after="0"/>
            </w:pPr>
            <w:r>
              <w:rPr>
                <w:b w:val="0"/>
                <w:sz w:val="14"/>
              </w:rPr>
              <w:t>DINOv2-B/S/L versus RETFound</w:t>
            </w:r>
          </w:p>
        </w:tc>
        <w:tc>
          <w:tcPr>
            <w:tcW w:type="dxa" w:w="2154"/>
          </w:tcPr>
          <w:p>
            <w:pPr>
              <w:spacing w:after="0"/>
            </w:pPr>
            <w:r>
              <w:rPr>
                <w:b w:val="0"/>
                <w:sz w:val="14"/>
              </w:rPr>
              <w:t>Binary/referable glaucoma or GON detection: Binary glaucoma classification within a multidisease study</w:t>
            </w:r>
          </w:p>
        </w:tc>
        <w:tc>
          <w:tcPr>
            <w:tcW w:type="dxa" w:w="1871"/>
          </w:tcPr>
          <w:p>
            <w:pPr>
              <w:spacing w:after="0"/>
            </w:pPr>
            <w:r>
              <w:rPr>
                <w:b w:val="0"/>
                <w:sz w:val="14"/>
              </w:rPr>
              <w:t>External/cross-dataset evaluation; separation: Unclear</w:t>
            </w:r>
          </w:p>
        </w:tc>
        <w:tc>
          <w:tcPr>
            <w:tcW w:type="dxa" w:w="2098"/>
          </w:tcPr>
          <w:p>
            <w:pPr>
              <w:spacing w:after="0"/>
            </w:pPr>
            <w:r>
              <w:rPr>
                <w:b w:val="0"/>
                <w:sz w:val="14"/>
              </w:rPr>
              <w:t>Glaucoma_fundus; PAPILA</w:t>
            </w:r>
          </w:p>
        </w:tc>
      </w:tr>
      <w:tr>
        <w:trPr>
          <w:cantSplit/>
        </w:trPr>
        <w:tc>
          <w:tcPr>
            <w:tcW w:type="dxa" w:w="1928"/>
          </w:tcPr>
          <w:p>
            <w:pPr>
              <w:spacing w:after="0"/>
            </w:pPr>
            <w:r>
              <w:rPr>
                <w:b w:val="0"/>
                <w:sz w:val="14"/>
              </w:rPr>
              <w:t>S32; Abramovich et al., 2026 [67]</w:t>
            </w:r>
          </w:p>
        </w:tc>
        <w:tc>
          <w:tcPr>
            <w:tcW w:type="dxa" w:w="2154"/>
          </w:tcPr>
          <w:p>
            <w:pPr>
              <w:spacing w:after="0"/>
            </w:pPr>
            <w:r>
              <w:rPr>
                <w:b w:val="0"/>
                <w:sz w:val="14"/>
              </w:rPr>
              <w:t>International/multicentre / KULRD, HYRD/HYGD, PAPILA, DRISHTI-GS, REFUGE/2, and GAMMA</w:t>
            </w:r>
          </w:p>
        </w:tc>
        <w:tc>
          <w:tcPr>
            <w:tcW w:type="dxa" w:w="2721"/>
          </w:tcPr>
          <w:p>
            <w:pPr>
              <w:spacing w:after="0"/>
            </w:pPr>
            <w:r>
              <w:rPr>
                <w:b w:val="0"/>
                <w:sz w:val="14"/>
              </w:rPr>
              <w:t>Colour fundus photographs; More than 119,000 source images; new HYGD subset 747 images (unit: participant/image)</w:t>
            </w:r>
          </w:p>
        </w:tc>
        <w:tc>
          <w:tcPr>
            <w:tcW w:type="dxa" w:w="2041"/>
          </w:tcPr>
          <w:p>
            <w:pPr>
              <w:spacing w:after="0"/>
            </w:pPr>
            <w:r>
              <w:rPr>
                <w:b w:val="0"/>
                <w:sz w:val="14"/>
              </w:rPr>
              <w:t>DINOv2 ViT-B</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Internal–external/leave-one-domain-out; separation: Participant-level</w:t>
            </w:r>
          </w:p>
        </w:tc>
        <w:tc>
          <w:tcPr>
            <w:tcW w:type="dxa" w:w="2098"/>
          </w:tcPr>
          <w:p>
            <w:pPr>
              <w:spacing w:after="0"/>
            </w:pPr>
            <w:r>
              <w:rPr>
                <w:b w:val="0"/>
                <w:sz w:val="14"/>
              </w:rPr>
              <w:t>HYGD; PAPILA; DRISHTI-GS; REFUGE; GAMMA; KULRD</w:t>
            </w:r>
          </w:p>
        </w:tc>
      </w:tr>
      <w:tr>
        <w:trPr>
          <w:cantSplit/>
        </w:trPr>
        <w:tc>
          <w:tcPr>
            <w:tcW w:type="dxa" w:w="1928"/>
          </w:tcPr>
          <w:p>
            <w:pPr>
              <w:spacing w:after="0"/>
            </w:pPr>
            <w:r>
              <w:rPr>
                <w:b w:val="0"/>
                <w:sz w:val="14"/>
              </w:rPr>
              <w:t>S33; Geetha and Hema, 2026 [68]</w:t>
            </w:r>
          </w:p>
        </w:tc>
        <w:tc>
          <w:tcPr>
            <w:tcW w:type="dxa" w:w="2154"/>
          </w:tcPr>
          <w:p>
            <w:pPr>
              <w:spacing w:after="0"/>
            </w:pPr>
            <w:r>
              <w:rPr>
                <w:b w:val="0"/>
                <w:sz w:val="14"/>
              </w:rPr>
              <w:t>International/public / EyePACS, APTOS, MESSIDOR, and DRISHTI-GS1</w:t>
            </w:r>
          </w:p>
        </w:tc>
        <w:tc>
          <w:tcPr>
            <w:tcW w:type="dxa" w:w="2721"/>
          </w:tcPr>
          <w:p>
            <w:pPr>
              <w:spacing w:after="0"/>
            </w:pPr>
            <w:r>
              <w:rPr>
                <w:b w:val="0"/>
                <w:sz w:val="14"/>
              </w:rPr>
              <w:t>Colour fundus photographs; 19,240 images claimed; 28% glaucoma, 10% healthy, and 62% diabetic retinopathy (unit: image)</w:t>
            </w:r>
          </w:p>
        </w:tc>
        <w:tc>
          <w:tcPr>
            <w:tcW w:type="dxa" w:w="2041"/>
          </w:tcPr>
          <w:p>
            <w:pPr>
              <w:spacing w:after="0"/>
            </w:pPr>
            <w:r>
              <w:rPr>
                <w:b w:val="0"/>
                <w:sz w:val="14"/>
              </w:rPr>
              <w:t>ViT–BiFusionDRNet–HGS</w:t>
            </w:r>
          </w:p>
        </w:tc>
        <w:tc>
          <w:tcPr>
            <w:tcW w:type="dxa" w:w="2154"/>
          </w:tcPr>
          <w:p>
            <w:pPr>
              <w:spacing w:after="0"/>
            </w:pPr>
            <w:r>
              <w:rPr>
                <w:b w:val="0"/>
                <w:sz w:val="14"/>
              </w:rPr>
              <w:t>Multidisease/multilabel classification: Joint disease and glaucoma-stage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EyePACS; APTOS; MESSIDOR; DRISHTI-GS</w:t>
            </w:r>
          </w:p>
        </w:tc>
      </w:tr>
      <w:tr>
        <w:trPr>
          <w:cantSplit/>
        </w:trPr>
        <w:tc>
          <w:tcPr>
            <w:tcW w:type="dxa" w:w="1928"/>
          </w:tcPr>
          <w:p>
            <w:pPr>
              <w:spacing w:after="0"/>
            </w:pPr>
            <w:r>
              <w:rPr>
                <w:b w:val="0"/>
                <w:sz w:val="14"/>
              </w:rPr>
              <w:t>S34; Bolo et al., 2026 [69]</w:t>
            </w:r>
          </w:p>
        </w:tc>
        <w:tc>
          <w:tcPr>
            <w:tcW w:type="dxa" w:w="2154"/>
          </w:tcPr>
          <w:p>
            <w:pPr>
              <w:spacing w:after="0"/>
            </w:pPr>
            <w:r>
              <w:rPr>
                <w:b w:val="0"/>
                <w:sz w:val="14"/>
              </w:rPr>
              <w:t>United States / LAC-DHS development + USC external</w:t>
            </w:r>
          </w:p>
        </w:tc>
        <w:tc>
          <w:tcPr>
            <w:tcW w:type="dxa" w:w="2721"/>
          </w:tcPr>
          <w:p>
            <w:pPr>
              <w:spacing w:after="0"/>
            </w:pPr>
            <w:r>
              <w:rPr>
                <w:b w:val="0"/>
                <w:sz w:val="14"/>
              </w:rPr>
              <w:t>Colour fundus photographs; 6,116 participants; 8,996 train, 3,002 validation, 1,000 internal test, and 300 external photographs (unit: participant/image)</w:t>
            </w:r>
          </w:p>
        </w:tc>
        <w:tc>
          <w:tcPr>
            <w:tcW w:type="dxa" w:w="2041"/>
          </w:tcPr>
          <w:p>
            <w:pPr>
              <w:spacing w:after="0"/>
            </w:pPr>
            <w:r>
              <w:rPr>
                <w:b w:val="0"/>
                <w:sz w:val="14"/>
              </w:rPr>
              <w:t>RETFound versus supervised CNN</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LAC-DHS; USC</w:t>
            </w:r>
          </w:p>
        </w:tc>
      </w:tr>
      <w:tr>
        <w:trPr>
          <w:cantSplit/>
        </w:trPr>
        <w:tc>
          <w:tcPr>
            <w:tcW w:type="dxa" w:w="1928"/>
          </w:tcPr>
          <w:p>
            <w:pPr>
              <w:spacing w:after="0"/>
            </w:pPr>
            <w:r>
              <w:rPr>
                <w:b w:val="0"/>
                <w:sz w:val="14"/>
              </w:rPr>
              <w:t>S35; Chuter et al., 2026 [70]</w:t>
            </w:r>
          </w:p>
        </w:tc>
        <w:tc>
          <w:tcPr>
            <w:tcW w:type="dxa" w:w="2154"/>
          </w:tcPr>
          <w:p>
            <w:pPr>
              <w:spacing w:after="0"/>
            </w:pPr>
            <w:r>
              <w:rPr>
                <w:b w:val="0"/>
                <w:sz w:val="14"/>
              </w:rPr>
              <w:t>United States / DIGS/ADAGES</w:t>
            </w:r>
          </w:p>
        </w:tc>
        <w:tc>
          <w:tcPr>
            <w:tcW w:type="dxa" w:w="2721"/>
          </w:tcPr>
          <w:p>
            <w:pPr>
              <w:spacing w:after="0"/>
            </w:pPr>
            <w:r>
              <w:rPr>
                <w:b w:val="0"/>
                <w:sz w:val="14"/>
              </w:rPr>
              <w:t>Optic-nerve-head photographs + OCT; 1,098 participants/1,948 eyes; 14,510 photographs and 32,640 OCT scans (unit: participant/eye/visit)</w:t>
            </w:r>
          </w:p>
        </w:tc>
        <w:tc>
          <w:tcPr>
            <w:tcW w:type="dxa" w:w="2041"/>
          </w:tcPr>
          <w:p>
            <w:pPr>
              <w:spacing w:after="0"/>
            </w:pPr>
            <w:r>
              <w:rPr>
                <w:b w:val="0"/>
                <w:sz w:val="14"/>
              </w:rPr>
              <w:t>Multimodal RETFound</w:t>
            </w:r>
          </w:p>
        </w:tc>
        <w:tc>
          <w:tcPr>
            <w:tcW w:type="dxa" w:w="2154"/>
          </w:tcPr>
          <w:p>
            <w:pPr>
              <w:spacing w:after="0"/>
            </w:pPr>
            <w:r>
              <w:rPr>
                <w:b w:val="0"/>
                <w:sz w:val="14"/>
              </w:rPr>
              <w:t>Glaucoma grading/staging/suspect classification: Binary GON detection with severity analysis</w:t>
            </w:r>
          </w:p>
        </w:tc>
        <w:tc>
          <w:tcPr>
            <w:tcW w:type="dxa" w:w="1871"/>
          </w:tcPr>
          <w:p>
            <w:pPr>
              <w:spacing w:after="0"/>
            </w:pPr>
            <w:r>
              <w:rPr>
                <w:b w:val="0"/>
                <w:sz w:val="14"/>
              </w:rPr>
              <w:t>Same-source held-out/fixed partition; separation: Participant-level</w:t>
            </w:r>
          </w:p>
        </w:tc>
        <w:tc>
          <w:tcPr>
            <w:tcW w:type="dxa" w:w="2098"/>
          </w:tcPr>
          <w:p>
            <w:pPr>
              <w:spacing w:after="0"/>
            </w:pPr>
            <w:r>
              <w:rPr>
                <w:b w:val="0"/>
                <w:sz w:val="14"/>
              </w:rPr>
              <w:t>DIGS; ADAGES</w:t>
            </w:r>
          </w:p>
        </w:tc>
      </w:tr>
      <w:tr>
        <w:trPr>
          <w:cantSplit/>
        </w:trPr>
        <w:tc>
          <w:tcPr>
            <w:tcW w:type="dxa" w:w="1928"/>
          </w:tcPr>
          <w:p>
            <w:pPr>
              <w:spacing w:after="0"/>
            </w:pPr>
            <w:r>
              <w:rPr>
                <w:b w:val="0"/>
                <w:sz w:val="14"/>
              </w:rPr>
              <w:t>S36; Li et al., 2026 [71]</w:t>
            </w:r>
          </w:p>
        </w:tc>
        <w:tc>
          <w:tcPr>
            <w:tcW w:type="dxa" w:w="2154"/>
          </w:tcPr>
          <w:p>
            <w:pPr>
              <w:spacing w:after="0"/>
            </w:pPr>
            <w:r>
              <w:rPr>
                <w:b w:val="0"/>
                <w:sz w:val="14"/>
              </w:rPr>
              <w:t>United States / POAAGG development + REFUGE-1 external</w:t>
            </w:r>
          </w:p>
        </w:tc>
        <w:tc>
          <w:tcPr>
            <w:tcW w:type="dxa" w:w="2721"/>
          </w:tcPr>
          <w:p>
            <w:pPr>
              <w:spacing w:after="0"/>
            </w:pPr>
            <w:r>
              <w:rPr>
                <w:b w:val="0"/>
                <w:sz w:val="14"/>
              </w:rPr>
              <w:t>Colour fundus photographs; 64,129 photographs/2,464 participants (1,782 cases; 682 controls) (unit: participant/visit/image)</w:t>
            </w:r>
          </w:p>
        </w:tc>
        <w:tc>
          <w:tcPr>
            <w:tcW w:type="dxa" w:w="2041"/>
          </w:tcPr>
          <w:p>
            <w:pPr>
              <w:spacing w:after="0"/>
            </w:pPr>
            <w:r>
              <w:rPr>
                <w:b w:val="0"/>
                <w:sz w:val="14"/>
              </w:rPr>
              <w:t>ViT-B/L with ViT image-quality selector</w:t>
            </w:r>
          </w:p>
        </w:tc>
        <w:tc>
          <w:tcPr>
            <w:tcW w:type="dxa" w:w="2154"/>
          </w:tcPr>
          <w:p>
            <w:pPr>
              <w:spacing w:after="0"/>
            </w:pPr>
            <w:r>
              <w:rPr>
                <w:b w:val="0"/>
                <w:sz w:val="14"/>
              </w:rPr>
              <w:t>Binary/referable glaucoma or GON detection: Binary POAG screening</w:t>
            </w:r>
          </w:p>
        </w:tc>
        <w:tc>
          <w:tcPr>
            <w:tcW w:type="dxa" w:w="1871"/>
          </w:tcPr>
          <w:p>
            <w:pPr>
              <w:spacing w:after="0"/>
            </w:pPr>
            <w:r>
              <w:rPr>
                <w:b w:val="0"/>
                <w:sz w:val="14"/>
              </w:rPr>
              <w:t>External/cross-dataset evaluation; separation: Participant-level</w:t>
            </w:r>
          </w:p>
        </w:tc>
        <w:tc>
          <w:tcPr>
            <w:tcW w:type="dxa" w:w="2098"/>
          </w:tcPr>
          <w:p>
            <w:pPr>
              <w:spacing w:after="0"/>
            </w:pPr>
            <w:r>
              <w:rPr>
                <w:b w:val="0"/>
                <w:sz w:val="14"/>
              </w:rPr>
              <w:t>POAAGG; REFUGE-1</w:t>
            </w:r>
          </w:p>
        </w:tc>
      </w:tr>
      <w:tr>
        <w:trPr>
          <w:cantSplit/>
        </w:trPr>
        <w:tc>
          <w:tcPr>
            <w:tcW w:type="dxa" w:w="1928"/>
          </w:tcPr>
          <w:p>
            <w:pPr>
              <w:spacing w:after="0"/>
            </w:pPr>
            <w:r>
              <w:rPr>
                <w:b w:val="0"/>
                <w:sz w:val="14"/>
              </w:rPr>
              <w:t>S37; Tariq et al., 2026 [72]</w:t>
            </w:r>
          </w:p>
        </w:tc>
        <w:tc>
          <w:tcPr>
            <w:tcW w:type="dxa" w:w="2154"/>
          </w:tcPr>
          <w:p>
            <w:pPr>
              <w:spacing w:after="0"/>
            </w:pPr>
            <w:r>
              <w:rPr>
                <w:b w:val="0"/>
                <w:sz w:val="14"/>
              </w:rPr>
              <w:t>International/public / SMDG-19</w:t>
            </w:r>
          </w:p>
        </w:tc>
        <w:tc>
          <w:tcPr>
            <w:tcW w:type="dxa" w:w="2721"/>
          </w:tcPr>
          <w:p>
            <w:pPr>
              <w:spacing w:after="0"/>
            </w:pPr>
            <w:r>
              <w:rPr>
                <w:b w:val="0"/>
                <w:sz w:val="14"/>
              </w:rPr>
              <w:t>Colour fundus photographs; 17,242 images claimed; train/validation/test 8,621/5,757/2,874 (unit: image)</w:t>
            </w:r>
          </w:p>
        </w:tc>
        <w:tc>
          <w:tcPr>
            <w:tcW w:type="dxa" w:w="2041"/>
          </w:tcPr>
          <w:p>
            <w:pPr>
              <w:spacing w:after="0"/>
            </w:pPr>
            <w:r>
              <w:rPr>
                <w:b w:val="0"/>
                <w:sz w:val="14"/>
              </w:rPr>
              <w:t>ResNet50 + Vision Transformer ensemble</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SMDG-19</w:t>
            </w:r>
          </w:p>
        </w:tc>
      </w:tr>
      <w:tr>
        <w:trPr>
          <w:cantSplit/>
        </w:trPr>
        <w:tc>
          <w:tcPr>
            <w:tcW w:type="dxa" w:w="1928"/>
          </w:tcPr>
          <w:p>
            <w:pPr>
              <w:spacing w:after="0"/>
            </w:pPr>
            <w:r>
              <w:rPr>
                <w:b w:val="0"/>
                <w:sz w:val="14"/>
              </w:rPr>
              <w:t>S38; Bharathi and Shaik, 2026 [73]</w:t>
            </w:r>
          </w:p>
        </w:tc>
        <w:tc>
          <w:tcPr>
            <w:tcW w:type="dxa" w:w="2154"/>
          </w:tcPr>
          <w:p>
            <w:pPr>
              <w:spacing w:after="0"/>
            </w:pPr>
            <w:r>
              <w:rPr>
                <w:b w:val="0"/>
                <w:sz w:val="14"/>
              </w:rPr>
              <w:t>International/public / ORIGA + RIM-ONE</w:t>
            </w:r>
          </w:p>
        </w:tc>
        <w:tc>
          <w:tcPr>
            <w:tcW w:type="dxa" w:w="2721"/>
          </w:tcPr>
          <w:p>
            <w:pPr>
              <w:spacing w:after="0"/>
            </w:pPr>
            <w:r>
              <w:rPr>
                <w:b w:val="0"/>
                <w:sz w:val="14"/>
              </w:rPr>
              <w:t>Colour fundus photographs; Exact analytic n NR (unit: image)</w:t>
            </w:r>
          </w:p>
        </w:tc>
        <w:tc>
          <w:tcPr>
            <w:tcW w:type="dxa" w:w="2041"/>
          </w:tcPr>
          <w:p>
            <w:pPr>
              <w:spacing w:after="0"/>
            </w:pPr>
            <w:r>
              <w:rPr>
                <w:b w:val="0"/>
                <w:sz w:val="14"/>
              </w:rPr>
              <w:t>Pooled-attention Transformer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ORIGA; RIM-ONE</w:t>
            </w:r>
          </w:p>
        </w:tc>
      </w:tr>
      <w:tr>
        <w:trPr>
          <w:cantSplit/>
        </w:trPr>
        <w:tc>
          <w:tcPr>
            <w:tcW w:type="dxa" w:w="1928"/>
          </w:tcPr>
          <w:p>
            <w:pPr>
              <w:spacing w:after="0"/>
            </w:pPr>
            <w:r>
              <w:rPr>
                <w:b w:val="0"/>
                <w:sz w:val="14"/>
              </w:rPr>
              <w:t>S39; Okuwobi et al., 2026 [74]</w:t>
            </w:r>
          </w:p>
        </w:tc>
        <w:tc>
          <w:tcPr>
            <w:tcW w:type="dxa" w:w="2154"/>
          </w:tcPr>
          <w:p>
            <w:pPr>
              <w:spacing w:after="0"/>
            </w:pPr>
            <w:r>
              <w:rPr>
                <w:b w:val="0"/>
                <w:sz w:val="14"/>
              </w:rPr>
              <w:t>International/mixed / G1020, ORIGA, REFUGE, private, SMDG, and RIGA</w:t>
            </w:r>
          </w:p>
        </w:tc>
        <w:tc>
          <w:tcPr>
            <w:tcW w:type="dxa" w:w="2721"/>
          </w:tcPr>
          <w:p>
            <w:pPr>
              <w:spacing w:after="0"/>
            </w:pPr>
            <w:r>
              <w:rPr>
                <w:b w:val="0"/>
                <w:sz w:val="14"/>
              </w:rPr>
              <w:t>Colour fundus photographs with pseudo-hyperspectral and temporal processing; Public sets plus 15,000 private images; several reported counts conflict with source datasets (unit: image)</w:t>
            </w:r>
          </w:p>
        </w:tc>
        <w:tc>
          <w:tcPr>
            <w:tcW w:type="dxa" w:w="2041"/>
          </w:tcPr>
          <w:p>
            <w:pPr>
              <w:spacing w:after="0"/>
            </w:pPr>
            <w:r>
              <w:rPr>
                <w:b w:val="0"/>
                <w:sz w:val="14"/>
              </w:rPr>
              <w:t>Temporal Texture Evolution Transformer within Glauco-Net</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G1020; ORIGA; REFUGE; SMDG; RIGA; private</w:t>
            </w:r>
          </w:p>
        </w:tc>
      </w:tr>
      <w:tr>
        <w:trPr>
          <w:cantSplit/>
        </w:trPr>
        <w:tc>
          <w:tcPr>
            <w:tcW w:type="dxa" w:w="1928"/>
          </w:tcPr>
          <w:p>
            <w:pPr>
              <w:spacing w:after="0"/>
            </w:pPr>
            <w:r>
              <w:rPr>
                <w:b w:val="0"/>
                <w:sz w:val="14"/>
              </w:rPr>
              <w:t>S40; Gandhi et al., 2026 [75]</w:t>
            </w:r>
          </w:p>
        </w:tc>
        <w:tc>
          <w:tcPr>
            <w:tcW w:type="dxa" w:w="2154"/>
          </w:tcPr>
          <w:p>
            <w:pPr>
              <w:spacing w:after="0"/>
            </w:pPr>
            <w:r>
              <w:rPr>
                <w:b w:val="0"/>
                <w:sz w:val="14"/>
              </w:rPr>
              <w:t>International/unclear / Named public fundus datasets with unspecified OCT linkage</w:t>
            </w:r>
          </w:p>
        </w:tc>
        <w:tc>
          <w:tcPr>
            <w:tcW w:type="dxa" w:w="2721"/>
          </w:tcPr>
          <w:p>
            <w:pPr>
              <w:spacing w:after="0"/>
            </w:pPr>
            <w:r>
              <w:rPr>
                <w:b w:val="0"/>
                <w:sz w:val="14"/>
              </w:rPr>
              <w:t>Fundus + OCT; Analytic n NR (unit: unclear)</w:t>
            </w:r>
          </w:p>
        </w:tc>
        <w:tc>
          <w:tcPr>
            <w:tcW w:type="dxa" w:w="2041"/>
          </w:tcPr>
          <w:p>
            <w:pPr>
              <w:spacing w:after="0"/>
            </w:pPr>
            <w:r>
              <w:rPr>
                <w:b w:val="0"/>
                <w:sz w:val="14"/>
              </w:rPr>
              <w:t>Multimodal Vision Transformer</w:t>
            </w:r>
          </w:p>
        </w:tc>
        <w:tc>
          <w:tcPr>
            <w:tcW w:type="dxa" w:w="2154"/>
          </w:tcPr>
          <w:p>
            <w:pPr>
              <w:spacing w:after="0"/>
            </w:pPr>
            <w:r>
              <w:rPr>
                <w:b w:val="0"/>
                <w:sz w:val="14"/>
              </w:rPr>
              <w:t>Glaucoma grading/staging/suspect classification: Binary/stage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 ORIGA; RIGA; DRIONS-DB; APTOS; EyePACS</w:t>
            </w:r>
          </w:p>
        </w:tc>
      </w:tr>
      <w:tr>
        <w:trPr>
          <w:cantSplit/>
        </w:trPr>
        <w:tc>
          <w:tcPr>
            <w:tcW w:type="dxa" w:w="1928"/>
          </w:tcPr>
          <w:p>
            <w:pPr>
              <w:spacing w:after="0"/>
            </w:pPr>
            <w:r>
              <w:rPr>
                <w:b w:val="0"/>
                <w:sz w:val="14"/>
              </w:rPr>
              <w:t>S41; Chilukuri et al., 2026 [76]</w:t>
            </w:r>
          </w:p>
        </w:tc>
        <w:tc>
          <w:tcPr>
            <w:tcW w:type="dxa" w:w="2154"/>
          </w:tcPr>
          <w:p>
            <w:pPr>
              <w:spacing w:after="0"/>
            </w:pPr>
            <w:r>
              <w:rPr>
                <w:b w:val="0"/>
                <w:sz w:val="14"/>
              </w:rPr>
              <w:t>International/public / LAG, ACRIMA, and DRISHTI-GS</w:t>
            </w:r>
          </w:p>
        </w:tc>
        <w:tc>
          <w:tcPr>
            <w:tcW w:type="dxa" w:w="2721"/>
          </w:tcPr>
          <w:p>
            <w:pPr>
              <w:spacing w:after="0"/>
            </w:pPr>
            <w:r>
              <w:rPr>
                <w:b w:val="0"/>
                <w:sz w:val="14"/>
              </w:rPr>
              <w:t>Colour fundus photographs; 5,690 images (4,874; 715; 101) (unit: image)</w:t>
            </w:r>
          </w:p>
        </w:tc>
        <w:tc>
          <w:tcPr>
            <w:tcW w:type="dxa" w:w="2041"/>
          </w:tcPr>
          <w:p>
            <w:pPr>
              <w:spacing w:after="0"/>
            </w:pPr>
            <w:r>
              <w:rPr>
                <w:b w:val="0"/>
                <w:sz w:val="14"/>
              </w:rPr>
              <w:t>Attention U-Net + Swin-T + vCDR fusion</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LAG; ACRIMA; DRISHTI-GS</w:t>
            </w:r>
          </w:p>
        </w:tc>
      </w:tr>
      <w:tr>
        <w:trPr>
          <w:cantSplit/>
        </w:trPr>
        <w:tc>
          <w:tcPr>
            <w:tcW w:type="dxa" w:w="1928"/>
          </w:tcPr>
          <w:p>
            <w:pPr>
              <w:spacing w:after="0"/>
            </w:pPr>
            <w:r>
              <w:rPr>
                <w:b w:val="0"/>
                <w:sz w:val="14"/>
              </w:rPr>
              <w:t>S42; Hernández et al., 2026 [77]</w:t>
            </w:r>
          </w:p>
        </w:tc>
        <w:tc>
          <w:tcPr>
            <w:tcW w:type="dxa" w:w="2154"/>
          </w:tcPr>
          <w:p>
            <w:pPr>
              <w:spacing w:after="0"/>
            </w:pPr>
            <w:r>
              <w:rPr>
                <w:b w:val="0"/>
                <w:sz w:val="14"/>
              </w:rPr>
              <w:t>Spain / RIM-ONE DL + private Canary Islands set</w:t>
            </w:r>
          </w:p>
        </w:tc>
        <w:tc>
          <w:tcPr>
            <w:tcW w:type="dxa" w:w="2721"/>
          </w:tcPr>
          <w:p>
            <w:pPr>
              <w:spacing w:after="0"/>
            </w:pPr>
            <w:r>
              <w:rPr>
                <w:b w:val="0"/>
                <w:sz w:val="14"/>
              </w:rPr>
              <w:t>Colour fundus photographs; 739 images (unit: image)</w:t>
            </w:r>
          </w:p>
        </w:tc>
        <w:tc>
          <w:tcPr>
            <w:tcW w:type="dxa" w:w="2041"/>
          </w:tcPr>
          <w:p>
            <w:pPr>
              <w:spacing w:after="0"/>
            </w:pPr>
            <w:r>
              <w:rPr>
                <w:b w:val="0"/>
                <w:sz w:val="14"/>
              </w:rPr>
              <w:t>SpxViT with superpixel tokens</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Internal resampling only; separation: Unclear</w:t>
            </w:r>
          </w:p>
        </w:tc>
        <w:tc>
          <w:tcPr>
            <w:tcW w:type="dxa" w:w="2098"/>
          </w:tcPr>
          <w:p>
            <w:pPr>
              <w:spacing w:after="0"/>
            </w:pPr>
            <w:r>
              <w:rPr>
                <w:b w:val="0"/>
                <w:sz w:val="14"/>
              </w:rPr>
              <w:t>RIM-ONE; Canary Islands private</w:t>
            </w:r>
          </w:p>
        </w:tc>
      </w:tr>
      <w:tr>
        <w:trPr>
          <w:cantSplit/>
        </w:trPr>
        <w:tc>
          <w:tcPr>
            <w:tcW w:type="dxa" w:w="1928"/>
          </w:tcPr>
          <w:p>
            <w:pPr>
              <w:spacing w:after="0"/>
            </w:pPr>
            <w:r>
              <w:rPr>
                <w:b w:val="0"/>
                <w:sz w:val="14"/>
              </w:rPr>
              <w:t>S43; Bouris et al., 2026 [78]</w:t>
            </w:r>
          </w:p>
        </w:tc>
        <w:tc>
          <w:tcPr>
            <w:tcW w:type="dxa" w:w="2154"/>
          </w:tcPr>
          <w:p>
            <w:pPr>
              <w:spacing w:after="0"/>
            </w:pPr>
            <w:r>
              <w:rPr>
                <w:b w:val="0"/>
                <w:sz w:val="14"/>
              </w:rPr>
              <w:t>United States/public / UCLA early POAG + ACRIMA/RIM-ONE controls; advanced UCLA test</w:t>
            </w:r>
          </w:p>
        </w:tc>
        <w:tc>
          <w:tcPr>
            <w:tcW w:type="dxa" w:w="2721"/>
          </w:tcPr>
          <w:p>
            <w:pPr>
              <w:spacing w:after="0"/>
            </w:pPr>
            <w:r>
              <w:rPr>
                <w:b w:val="0"/>
                <w:sz w:val="14"/>
              </w:rPr>
              <w:t>Optic-disc photographs; 2,087 primary images; 956 advanced eyes (unit: eye)</w:t>
            </w:r>
          </w:p>
        </w:tc>
        <w:tc>
          <w:tcPr>
            <w:tcW w:type="dxa" w:w="2041"/>
          </w:tcPr>
          <w:p>
            <w:pPr>
              <w:spacing w:after="0"/>
            </w:pPr>
            <w:r>
              <w:rPr>
                <w:b w:val="0"/>
                <w:sz w:val="14"/>
              </w:rPr>
              <w:t>ViT-B/16</w:t>
            </w:r>
          </w:p>
        </w:tc>
        <w:tc>
          <w:tcPr>
            <w:tcW w:type="dxa" w:w="2154"/>
          </w:tcPr>
          <w:p>
            <w:pPr>
              <w:spacing w:after="0"/>
            </w:pPr>
            <w:r>
              <w:rPr>
                <w:b w:val="0"/>
                <w:sz w:val="14"/>
              </w:rPr>
              <w:t>Binary/referable glaucoma or GON detection: Binary GON detection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UCLA; ACRIMA; RIM-ONE</w:t>
            </w:r>
          </w:p>
        </w:tc>
      </w:tr>
      <w:tr>
        <w:trPr>
          <w:cantSplit/>
        </w:trPr>
        <w:tc>
          <w:tcPr>
            <w:tcW w:type="dxa" w:w="1928"/>
          </w:tcPr>
          <w:p>
            <w:pPr>
              <w:spacing w:after="0"/>
            </w:pPr>
            <w:r>
              <w:rPr>
                <w:b w:val="0"/>
                <w:sz w:val="14"/>
              </w:rPr>
              <w:t>S44; Hasan et al., 2026 [79]</w:t>
            </w:r>
          </w:p>
        </w:tc>
        <w:tc>
          <w:tcPr>
            <w:tcW w:type="dxa" w:w="2154"/>
          </w:tcPr>
          <w:p>
            <w:pPr>
              <w:spacing w:after="0"/>
            </w:pPr>
            <w:r>
              <w:rPr>
                <w:b w:val="0"/>
                <w:sz w:val="14"/>
              </w:rPr>
              <w:t>International/clinical / CFEH private clinical cohort</w:t>
            </w:r>
          </w:p>
        </w:tc>
        <w:tc>
          <w:tcPr>
            <w:tcW w:type="dxa" w:w="2721"/>
          </w:tcPr>
          <w:p>
            <w:pPr>
              <w:spacing w:after="0"/>
            </w:pPr>
            <w:r>
              <w:rPr>
                <w:b w:val="0"/>
                <w:sz w:val="14"/>
              </w:rPr>
              <w:t>Colour fundus photographs + visual fields + OCT; 354 eyes with optic or neurodegenerative neuropathies and 228 normal eyes; 213 glaucoma eyes were staged as 69 early, 60 moderate, 25 advanced, and 59 central-field cases (unit: eye)</w:t>
            </w:r>
          </w:p>
        </w:tc>
        <w:tc>
          <w:tcPr>
            <w:tcW w:type="dxa" w:w="2041"/>
          </w:tcPr>
          <w:p>
            <w:pPr>
              <w:spacing w:after="0"/>
            </w:pPr>
            <w:r>
              <w:rPr>
                <w:b w:val="0"/>
                <w:sz w:val="14"/>
              </w:rPr>
              <w:t>Multimodal attention network with ViT-16 comparator, spatial/self-attention, and cross-attention fusion</w:t>
            </w:r>
          </w:p>
        </w:tc>
        <w:tc>
          <w:tcPr>
            <w:tcW w:type="dxa" w:w="2154"/>
          </w:tcPr>
          <w:p>
            <w:pPr>
              <w:spacing w:after="0"/>
            </w:pPr>
            <w:r>
              <w:rPr>
                <w:b w:val="0"/>
                <w:sz w:val="14"/>
              </w:rPr>
              <w:t>Glaucoma grading/staging/suspect classification: Binary glaucoma diagnosis and severity staging</w:t>
            </w:r>
          </w:p>
        </w:tc>
        <w:tc>
          <w:tcPr>
            <w:tcW w:type="dxa" w:w="1871"/>
          </w:tcPr>
          <w:p>
            <w:pPr>
              <w:spacing w:after="0"/>
            </w:pPr>
            <w:r>
              <w:rPr>
                <w:b w:val="0"/>
                <w:sz w:val="14"/>
              </w:rPr>
              <w:t>Internal resampling only; separation: Participant-level</w:t>
            </w:r>
          </w:p>
        </w:tc>
        <w:tc>
          <w:tcPr>
            <w:tcW w:type="dxa" w:w="2098"/>
          </w:tcPr>
          <w:p>
            <w:pPr>
              <w:spacing w:after="0"/>
            </w:pPr>
            <w:r>
              <w:rPr>
                <w:b w:val="0"/>
                <w:sz w:val="14"/>
              </w:rPr>
              <w:t>CFEH private multimodal cohort</w:t>
            </w:r>
          </w:p>
        </w:tc>
      </w:tr>
      <w:tr>
        <w:trPr>
          <w:cantSplit/>
        </w:trPr>
        <w:tc>
          <w:tcPr>
            <w:tcW w:type="dxa" w:w="1928"/>
          </w:tcPr>
          <w:p>
            <w:pPr>
              <w:spacing w:after="0"/>
            </w:pPr>
            <w:r>
              <w:rPr>
                <w:b w:val="0"/>
                <w:sz w:val="14"/>
              </w:rPr>
              <w:t>S45; Wu et al., 2026 [80]</w:t>
            </w:r>
          </w:p>
        </w:tc>
        <w:tc>
          <w:tcPr>
            <w:tcW w:type="dxa" w:w="2154"/>
          </w:tcPr>
          <w:p>
            <w:pPr>
              <w:spacing w:after="0"/>
            </w:pPr>
            <w:r>
              <w:rPr>
                <w:b w:val="0"/>
                <w:sz w:val="14"/>
              </w:rPr>
              <w:t>International/public / Fourteen fundus datasets; AIROGS/EyePACS was the largest source</w:t>
            </w:r>
          </w:p>
        </w:tc>
        <w:tc>
          <w:tcPr>
            <w:tcW w:type="dxa" w:w="2721"/>
          </w:tcPr>
          <w:p>
            <w:pPr>
              <w:spacing w:after="0"/>
            </w:pPr>
            <w:r>
              <w:rPr>
                <w:b w:val="0"/>
                <w:sz w:val="14"/>
              </w:rPr>
              <w:t>Colour fundus photographs; 117,827 photographs across sources; 100,973 AIROGS/EyePACS images were usable (unit: image)</w:t>
            </w:r>
          </w:p>
        </w:tc>
        <w:tc>
          <w:tcPr>
            <w:tcW w:type="dxa" w:w="2041"/>
          </w:tcPr>
          <w:p>
            <w:pPr>
              <w:spacing w:after="0"/>
            </w:pPr>
            <w:r>
              <w:rPr>
                <w:b w:val="0"/>
                <w:sz w:val="14"/>
              </w:rPr>
              <w:t>Conditional diffusion augmentation + Swin-B classifier</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External/cross-dataset evaluation; separation: Image/eye-level</w:t>
            </w:r>
          </w:p>
        </w:tc>
        <w:tc>
          <w:tcPr>
            <w:tcW w:type="dxa" w:w="2098"/>
          </w:tcPr>
          <w:p>
            <w:pPr>
              <w:spacing w:after="0"/>
            </w:pPr>
            <w:r>
              <w:rPr>
                <w:b w:val="0"/>
                <w:sz w:val="14"/>
              </w:rPr>
              <w:t>AIROGS/EyePACS and 13 external fundus datasets</w:t>
            </w:r>
          </w:p>
        </w:tc>
      </w:tr>
      <w:tr>
        <w:trPr>
          <w:cantSplit/>
        </w:trPr>
        <w:tc>
          <w:tcPr>
            <w:tcW w:type="dxa" w:w="1928"/>
          </w:tcPr>
          <w:p>
            <w:pPr>
              <w:spacing w:after="0"/>
            </w:pPr>
            <w:r>
              <w:rPr>
                <w:b w:val="0"/>
                <w:sz w:val="14"/>
              </w:rPr>
              <w:t>S46; Moorthy et al., 2026 [81]</w:t>
            </w:r>
          </w:p>
        </w:tc>
        <w:tc>
          <w:tcPr>
            <w:tcW w:type="dxa" w:w="2154"/>
          </w:tcPr>
          <w:p>
            <w:pPr>
              <w:spacing w:after="0"/>
            </w:pPr>
            <w:r>
              <w:rPr>
                <w:b w:val="0"/>
                <w:sz w:val="14"/>
              </w:rPr>
              <w:t>International/public / DRISHTI-GS, RIM-ONE, and ORIGA</w:t>
            </w:r>
          </w:p>
        </w:tc>
        <w:tc>
          <w:tcPr>
            <w:tcW w:type="dxa" w:w="2721"/>
          </w:tcPr>
          <w:p>
            <w:pPr>
              <w:spacing w:after="0"/>
            </w:pPr>
            <w:r>
              <w:rPr>
                <w:b w:val="0"/>
                <w:sz w:val="14"/>
              </w:rPr>
              <w:t>Colour fundus photographs; Exact analytic sample and allocation were not reported sufficiently (unit: image)</w:t>
            </w:r>
          </w:p>
        </w:tc>
        <w:tc>
          <w:tcPr>
            <w:tcW w:type="dxa" w:w="2041"/>
          </w:tcPr>
          <w:p>
            <w:pPr>
              <w:spacing w:after="0"/>
            </w:pPr>
            <w:r>
              <w:rPr>
                <w:b w:val="0"/>
                <w:sz w:val="14"/>
              </w:rPr>
              <w:t>Transformer-assisted segmentation and classification pipeline</w:t>
            </w:r>
          </w:p>
        </w:tc>
        <w:tc>
          <w:tcPr>
            <w:tcW w:type="dxa" w:w="2154"/>
          </w:tcPr>
          <w:p>
            <w:pPr>
              <w:spacing w:after="0"/>
            </w:pPr>
            <w:r>
              <w:rPr>
                <w:b w:val="0"/>
                <w:sz w:val="14"/>
              </w:rPr>
              <w:t>Binary/referable glaucoma or GON detection: Disc/cup segmentation followed by binary glaucoma classification</w:t>
            </w:r>
          </w:p>
        </w:tc>
        <w:tc>
          <w:tcPr>
            <w:tcW w:type="dxa" w:w="1871"/>
          </w:tcPr>
          <w:p>
            <w:pPr>
              <w:spacing w:after="0"/>
            </w:pPr>
            <w:r>
              <w:rPr>
                <w:b w:val="0"/>
                <w:sz w:val="14"/>
              </w:rPr>
              <w:t>Internal evaluation; allocation unclear; separation: Unclear</w:t>
            </w:r>
          </w:p>
        </w:tc>
        <w:tc>
          <w:tcPr>
            <w:tcW w:type="dxa" w:w="2098"/>
          </w:tcPr>
          <w:p>
            <w:pPr>
              <w:spacing w:after="0"/>
            </w:pPr>
            <w:r>
              <w:rPr>
                <w:b w:val="0"/>
                <w:sz w:val="14"/>
              </w:rPr>
              <w:t>DRISHTI-GS; RIM-ONE; ORIGA</w:t>
            </w:r>
          </w:p>
        </w:tc>
      </w:tr>
      <w:tr>
        <w:trPr>
          <w:cantSplit/>
        </w:trPr>
        <w:tc>
          <w:tcPr>
            <w:tcW w:type="dxa" w:w="1928"/>
          </w:tcPr>
          <w:p>
            <w:pPr>
              <w:spacing w:after="0"/>
            </w:pPr>
            <w:r>
              <w:rPr>
                <w:b w:val="0"/>
                <w:sz w:val="14"/>
              </w:rPr>
              <w:t>S47; Noh et al., 2026 [82]</w:t>
            </w:r>
          </w:p>
        </w:tc>
        <w:tc>
          <w:tcPr>
            <w:tcW w:type="dxa" w:w="2154"/>
          </w:tcPr>
          <w:p>
            <w:pPr>
              <w:spacing w:after="0"/>
            </w:pPr>
            <w:r>
              <w:rPr>
                <w:b w:val="0"/>
                <w:sz w:val="14"/>
              </w:rPr>
              <w:t>International/public / RIM-ONE, REFUGE, and DRISHTI-GS</w:t>
            </w:r>
          </w:p>
        </w:tc>
        <w:tc>
          <w:tcPr>
            <w:tcW w:type="dxa" w:w="2721"/>
          </w:tcPr>
          <w:p>
            <w:pPr>
              <w:spacing w:after="0"/>
            </w:pPr>
            <w:r>
              <w:rPr>
                <w:b w:val="0"/>
                <w:sz w:val="14"/>
              </w:rPr>
              <w:t>Colour fundus photographs; Dataset-specific image totals; exact combined analytic denominator NR (unit: image)</w:t>
            </w:r>
          </w:p>
        </w:tc>
        <w:tc>
          <w:tcPr>
            <w:tcW w:type="dxa" w:w="2041"/>
          </w:tcPr>
          <w:p>
            <w:pPr>
              <w:spacing w:after="0"/>
            </w:pPr>
            <w:r>
              <w:rPr>
                <w:b w:val="0"/>
                <w:sz w:val="14"/>
              </w:rPr>
              <w:t>GlaucoFormer transformer classifier</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RIM-ONE; REFUGE; DRISHTI-GS</w:t>
            </w:r>
          </w:p>
        </w:tc>
      </w:tr>
      <w:tr>
        <w:trPr>
          <w:cantSplit/>
        </w:trPr>
        <w:tc>
          <w:tcPr>
            <w:tcW w:type="dxa" w:w="1928"/>
          </w:tcPr>
          <w:p>
            <w:pPr>
              <w:spacing w:after="0"/>
            </w:pPr>
            <w:r>
              <w:rPr>
                <w:b w:val="0"/>
                <w:sz w:val="14"/>
              </w:rPr>
              <w:t>S48; Pramanik and Bag, 2026 [83]</w:t>
            </w:r>
          </w:p>
        </w:tc>
        <w:tc>
          <w:tcPr>
            <w:tcW w:type="dxa" w:w="2154"/>
          </w:tcPr>
          <w:p>
            <w:pPr>
              <w:spacing w:after="0"/>
            </w:pPr>
            <w:r>
              <w:rPr>
                <w:b w:val="0"/>
                <w:sz w:val="14"/>
              </w:rPr>
              <w:t>International/public / Three public datasets, including HDV1</w:t>
            </w:r>
          </w:p>
        </w:tc>
        <w:tc>
          <w:tcPr>
            <w:tcW w:type="dxa" w:w="2721"/>
          </w:tcPr>
          <w:p>
            <w:pPr>
              <w:spacing w:after="0"/>
            </w:pPr>
            <w:r>
              <w:rPr>
                <w:b w:val="0"/>
                <w:sz w:val="14"/>
              </w:rPr>
              <w:t>Colour fundus photographs; Reported source totals of 1,544, 1,584, and 623 images (unit: image)</w:t>
            </w:r>
          </w:p>
        </w:tc>
        <w:tc>
          <w:tcPr>
            <w:tcW w:type="dxa" w:w="2041"/>
          </w:tcPr>
          <w:p>
            <w:pPr>
              <w:spacing w:after="0"/>
            </w:pPr>
            <w:r>
              <w:rPr>
                <w:b w:val="0"/>
                <w:sz w:val="14"/>
              </w:rPr>
              <w:t>Multistage transformer-based classifier</w:t>
            </w:r>
          </w:p>
        </w:tc>
        <w:tc>
          <w:tcPr>
            <w:tcW w:type="dxa" w:w="2154"/>
          </w:tcPr>
          <w:p>
            <w:pPr>
              <w:spacing w:after="0"/>
            </w:pPr>
            <w:r>
              <w:rPr>
                <w:b w:val="0"/>
                <w:sz w:val="14"/>
              </w:rPr>
              <w:t>Glaucoma grading/staging/suspect classification: Glaucoma detection and severity classification</w:t>
            </w:r>
          </w:p>
        </w:tc>
        <w:tc>
          <w:tcPr>
            <w:tcW w:type="dxa" w:w="1871"/>
          </w:tcPr>
          <w:p>
            <w:pPr>
              <w:spacing w:after="0"/>
            </w:pPr>
            <w:r>
              <w:rPr>
                <w:b w:val="0"/>
                <w:sz w:val="14"/>
              </w:rPr>
              <w:t>Same-source held-out/fixed partition; separation: Unclear</w:t>
            </w:r>
          </w:p>
        </w:tc>
        <w:tc>
          <w:tcPr>
            <w:tcW w:type="dxa" w:w="2098"/>
          </w:tcPr>
          <w:p>
            <w:pPr>
              <w:spacing w:after="0"/>
            </w:pPr>
            <w:r>
              <w:rPr>
                <w:b w:val="0"/>
                <w:sz w:val="14"/>
              </w:rPr>
              <w:t>HDV1 and two public fundus datasets</w:t>
            </w:r>
          </w:p>
        </w:tc>
      </w:tr>
      <w:tr>
        <w:trPr>
          <w:cantSplit/>
        </w:trPr>
        <w:tc>
          <w:tcPr>
            <w:tcW w:type="dxa" w:w="1928"/>
          </w:tcPr>
          <w:p>
            <w:pPr>
              <w:spacing w:after="0"/>
            </w:pPr>
            <w:r>
              <w:rPr>
                <w:b w:val="0"/>
                <w:sz w:val="14"/>
              </w:rPr>
              <w:t>S49; Roopalakshmi et al., 2026 [84]</w:t>
            </w:r>
          </w:p>
        </w:tc>
        <w:tc>
          <w:tcPr>
            <w:tcW w:type="dxa" w:w="2154"/>
          </w:tcPr>
          <w:p>
            <w:pPr>
              <w:spacing w:after="0"/>
            </w:pPr>
            <w:r>
              <w:rPr>
                <w:b w:val="0"/>
                <w:sz w:val="14"/>
              </w:rPr>
              <w:t>International/public / Six aggregated public fundus datasets</w:t>
            </w:r>
          </w:p>
        </w:tc>
        <w:tc>
          <w:tcPr>
            <w:tcW w:type="dxa" w:w="2721"/>
          </w:tcPr>
          <w:p>
            <w:pPr>
              <w:spacing w:after="0"/>
            </w:pPr>
            <w:r>
              <w:rPr>
                <w:b w:val="0"/>
                <w:sz w:val="14"/>
              </w:rPr>
              <w:t>Colour fundus photographs; 4,548 images (unit: image)</w:t>
            </w:r>
          </w:p>
        </w:tc>
        <w:tc>
          <w:tcPr>
            <w:tcW w:type="dxa" w:w="2041"/>
          </w:tcPr>
          <w:p>
            <w:pPr>
              <w:spacing w:after="0"/>
            </w:pPr>
            <w:r>
              <w:rPr>
                <w:b w:val="0"/>
                <w:sz w:val="14"/>
              </w:rPr>
              <w:t>Contrastive Vision Transformer with hyperparameter fine-tuning</w:t>
            </w:r>
          </w:p>
        </w:tc>
        <w:tc>
          <w:tcPr>
            <w:tcW w:type="dxa" w:w="2154"/>
          </w:tcPr>
          <w:p>
            <w:pPr>
              <w:spacing w:after="0"/>
            </w:pPr>
            <w:r>
              <w:rPr>
                <w:b w:val="0"/>
                <w:sz w:val="14"/>
              </w:rPr>
              <w:t>Binary/referable glaucoma or GON detection: Binary glaucoma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Aggregated six-dataset fundus corpus</w:t>
            </w:r>
          </w:p>
        </w:tc>
      </w:tr>
      <w:tr>
        <w:trPr>
          <w:cantSplit/>
        </w:trPr>
        <w:tc>
          <w:tcPr>
            <w:tcW w:type="dxa" w:w="1928"/>
          </w:tcPr>
          <w:p>
            <w:pPr>
              <w:spacing w:after="0"/>
            </w:pPr>
            <w:r>
              <w:rPr>
                <w:b w:val="0"/>
                <w:sz w:val="14"/>
              </w:rPr>
              <w:t>S50; Abdelbaki et al., 2026 [85]</w:t>
            </w:r>
          </w:p>
        </w:tc>
        <w:tc>
          <w:tcPr>
            <w:tcW w:type="dxa" w:w="2154"/>
          </w:tcPr>
          <w:p>
            <w:pPr>
              <w:spacing w:after="0"/>
            </w:pPr>
            <w:r>
              <w:rPr>
                <w:b w:val="0"/>
                <w:sz w:val="14"/>
              </w:rPr>
              <w:t>International/public / RFMiD</w:t>
            </w:r>
          </w:p>
        </w:tc>
        <w:tc>
          <w:tcPr>
            <w:tcW w:type="dxa" w:w="2721"/>
          </w:tcPr>
          <w:p>
            <w:pPr>
              <w:spacing w:after="0"/>
            </w:pPr>
            <w:r>
              <w:rPr>
                <w:b w:val="0"/>
                <w:sz w:val="14"/>
              </w:rPr>
              <w:t>Colour fundus photographs; 3,200 images (unit: image)</w:t>
            </w:r>
          </w:p>
        </w:tc>
        <w:tc>
          <w:tcPr>
            <w:tcW w:type="dxa" w:w="2041"/>
          </w:tcPr>
          <w:p>
            <w:pPr>
              <w:spacing w:after="0"/>
            </w:pPr>
            <w:r>
              <w:rPr>
                <w:b w:val="0"/>
                <w:sz w:val="14"/>
              </w:rPr>
              <w:t>Hierarchical transformer classifier</w:t>
            </w:r>
          </w:p>
        </w:tc>
        <w:tc>
          <w:tcPr>
            <w:tcW w:type="dxa" w:w="2154"/>
          </w:tcPr>
          <w:p>
            <w:pPr>
              <w:spacing w:after="0"/>
            </w:pPr>
            <w:r>
              <w:rPr>
                <w:b w:val="0"/>
                <w:sz w:val="14"/>
              </w:rPr>
              <w:t>Multidisease/multilabel classification: Multilabel retinal-disease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RFMiD</w:t>
            </w:r>
          </w:p>
        </w:tc>
      </w:tr>
      <w:tr>
        <w:trPr>
          <w:cantSplit/>
        </w:trPr>
        <w:tc>
          <w:tcPr>
            <w:tcW w:type="dxa" w:w="1928"/>
          </w:tcPr>
          <w:p>
            <w:pPr>
              <w:spacing w:after="0"/>
            </w:pPr>
            <w:r>
              <w:rPr>
                <w:b w:val="0"/>
                <w:sz w:val="14"/>
              </w:rPr>
              <w:t>S51; Malik et al., 2026 [86]</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 with multi-head-attention transformer module</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S52; Malik et al., 2026 [87]</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4,215 images (unit: image)</w:t>
            </w:r>
          </w:p>
        </w:tc>
        <w:tc>
          <w:tcPr>
            <w:tcW w:type="dxa" w:w="2041"/>
          </w:tcPr>
          <w:p>
            <w:pPr>
              <w:spacing w:after="0"/>
            </w:pPr>
            <w:r>
              <w:rPr>
                <w:b w:val="0"/>
                <w:sz w:val="14"/>
              </w:rPr>
              <w:t>ConvNeXt–Transformer–ASPP with prototype and quality-aware semi-supervised learning</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S53; Santo et al., 2026 [88]</w:t>
            </w:r>
          </w:p>
        </w:tc>
        <w:tc>
          <w:tcPr>
            <w:tcW w:type="dxa" w:w="2154"/>
          </w:tcPr>
          <w:p>
            <w:pPr>
              <w:spacing w:after="0"/>
            </w:pPr>
            <w:r>
              <w:rPr>
                <w:b w:val="0"/>
                <w:sz w:val="14"/>
              </w:rPr>
              <w:t>International/public / Ocular Image Hub</w:t>
            </w:r>
          </w:p>
        </w:tc>
        <w:tc>
          <w:tcPr>
            <w:tcW w:type="dxa" w:w="2721"/>
          </w:tcPr>
          <w:p>
            <w:pPr>
              <w:spacing w:after="0"/>
            </w:pPr>
            <w:r>
              <w:rPr>
                <w:b w:val="0"/>
                <w:sz w:val="14"/>
              </w:rPr>
              <w:t>Colour fundus photographs; Four-class repository; exact analytic denominator NR in extraction (unit: image)</w:t>
            </w:r>
          </w:p>
        </w:tc>
        <w:tc>
          <w:tcPr>
            <w:tcW w:type="dxa" w:w="2041"/>
          </w:tcPr>
          <w:p>
            <w:pPr>
              <w:spacing w:after="0"/>
            </w:pPr>
            <w:r>
              <w:rPr>
                <w:b w:val="0"/>
                <w:sz w:val="14"/>
              </w:rPr>
              <w:t>MaxViT-based hybrid classifier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Internal resampling only; separation: Image/eye-level</w:t>
            </w:r>
          </w:p>
        </w:tc>
        <w:tc>
          <w:tcPr>
            <w:tcW w:type="dxa" w:w="2098"/>
          </w:tcPr>
          <w:p>
            <w:pPr>
              <w:spacing w:after="0"/>
            </w:pPr>
            <w:r>
              <w:rPr>
                <w:b w:val="0"/>
                <w:sz w:val="14"/>
              </w:rPr>
              <w:t>Ocular Image Hub/Kaggle Eye Diseases</w:t>
            </w:r>
          </w:p>
        </w:tc>
      </w:tr>
      <w:tr>
        <w:trPr>
          <w:cantSplit/>
        </w:trPr>
        <w:tc>
          <w:tcPr>
            <w:tcW w:type="dxa" w:w="1928"/>
          </w:tcPr>
          <w:p>
            <w:pPr>
              <w:spacing w:after="0"/>
            </w:pPr>
            <w:r>
              <w:rPr>
                <w:b w:val="0"/>
                <w:sz w:val="14"/>
              </w:rPr>
              <w:t>S54; Rahman et al., 2026 [89]</w:t>
            </w:r>
          </w:p>
        </w:tc>
        <w:tc>
          <w:tcPr>
            <w:tcW w:type="dxa" w:w="2154"/>
          </w:tcPr>
          <w:p>
            <w:pPr>
              <w:spacing w:after="0"/>
            </w:pPr>
            <w:r>
              <w:rPr>
                <w:b w:val="0"/>
                <w:sz w:val="14"/>
              </w:rPr>
              <w:t>International/public / Kaggle Eye Diseases</w:t>
            </w:r>
          </w:p>
        </w:tc>
        <w:tc>
          <w:tcPr>
            <w:tcW w:type="dxa" w:w="2721"/>
          </w:tcPr>
          <w:p>
            <w:pPr>
              <w:spacing w:after="0"/>
            </w:pPr>
            <w:r>
              <w:rPr>
                <w:b w:val="0"/>
                <w:sz w:val="14"/>
              </w:rPr>
              <w:t>Colour fundus photographs; Approximately 4,217 images (unit: image)</w:t>
            </w:r>
          </w:p>
        </w:tc>
        <w:tc>
          <w:tcPr>
            <w:tcW w:type="dxa" w:w="2041"/>
          </w:tcPr>
          <w:p>
            <w:pPr>
              <w:spacing w:after="0"/>
            </w:pPr>
            <w:r>
              <w:rPr>
                <w:b w:val="0"/>
                <w:sz w:val="14"/>
              </w:rPr>
              <w:t>Customised Vision Transformer</w:t>
            </w:r>
          </w:p>
        </w:tc>
        <w:tc>
          <w:tcPr>
            <w:tcW w:type="dxa" w:w="2154"/>
          </w:tcPr>
          <w:p>
            <w:pPr>
              <w:spacing w:after="0"/>
            </w:pPr>
            <w:r>
              <w:rPr>
                <w:b w:val="0"/>
                <w:sz w:val="14"/>
              </w:rPr>
              <w:t>Multidisease/multilabel classification: Four-class ocular-disease classification</w:t>
            </w:r>
          </w:p>
        </w:tc>
        <w:tc>
          <w:tcPr>
            <w:tcW w:type="dxa" w:w="1871"/>
          </w:tcPr>
          <w:p>
            <w:pPr>
              <w:spacing w:after="0"/>
            </w:pPr>
            <w:r>
              <w:rPr>
                <w:b w:val="0"/>
                <w:sz w:val="14"/>
              </w:rPr>
              <w:t>Same-source held-out/fixed partition; separation: Image/eye-level</w:t>
            </w:r>
          </w:p>
        </w:tc>
        <w:tc>
          <w:tcPr>
            <w:tcW w:type="dxa" w:w="2098"/>
          </w:tcPr>
          <w:p>
            <w:pPr>
              <w:spacing w:after="0"/>
            </w:pPr>
            <w:r>
              <w:rPr>
                <w:b w:val="0"/>
                <w:sz w:val="14"/>
              </w:rPr>
              <w:t>Kaggle Eye Diseases</w:t>
            </w:r>
          </w:p>
        </w:tc>
      </w:tr>
      <w:tr>
        <w:trPr>
          <w:cantSplit/>
        </w:trPr>
        <w:tc>
          <w:tcPr>
            <w:tcW w:type="dxa" w:w="1928"/>
          </w:tcPr>
          <w:p>
            <w:pPr>
              <w:spacing w:after="0"/>
            </w:pPr>
            <w:r>
              <w:rPr>
                <w:b w:val="0"/>
                <w:sz w:val="14"/>
              </w:rPr>
              <w:t>S55; Zaib, 2026 [90]</w:t>
            </w:r>
          </w:p>
        </w:tc>
        <w:tc>
          <w:tcPr>
            <w:tcW w:type="dxa" w:w="2154"/>
          </w:tcPr>
          <w:p>
            <w:pPr>
              <w:spacing w:after="0"/>
            </w:pPr>
            <w:r>
              <w:rPr>
                <w:b w:val="0"/>
                <w:sz w:val="14"/>
              </w:rPr>
              <w:t>International/public / JustRAIGS</w:t>
            </w:r>
          </w:p>
        </w:tc>
        <w:tc>
          <w:tcPr>
            <w:tcW w:type="dxa" w:w="2721"/>
          </w:tcPr>
          <w:p>
            <w:pPr>
              <w:spacing w:after="0"/>
            </w:pPr>
            <w:r>
              <w:rPr>
                <w:b w:val="0"/>
                <w:sz w:val="14"/>
              </w:rPr>
              <w:t>Colour fundus photographs; 101,442 source images; 3,270 referable-glaucoma images reported (unit: image)</w:t>
            </w:r>
          </w:p>
        </w:tc>
        <w:tc>
          <w:tcPr>
            <w:tcW w:type="dxa" w:w="2041"/>
          </w:tcPr>
          <w:p>
            <w:pPr>
              <w:spacing w:after="0"/>
            </w:pPr>
            <w:r>
              <w:rPr>
                <w:b w:val="0"/>
                <w:sz w:val="14"/>
              </w:rPr>
              <w:t>StyleGAN2 + SwinIR enhancement with EfficientNet/Swin ensemble</w:t>
            </w:r>
          </w:p>
        </w:tc>
        <w:tc>
          <w:tcPr>
            <w:tcW w:type="dxa" w:w="2154"/>
          </w:tcPr>
          <w:p>
            <w:pPr>
              <w:spacing w:after="0"/>
            </w:pPr>
            <w:r>
              <w:rPr>
                <w:b w:val="0"/>
                <w:sz w:val="14"/>
              </w:rPr>
              <w:t>Binary/referable glaucoma or GON detection: Referable-glaucoma classification</w:t>
            </w:r>
          </w:p>
        </w:tc>
        <w:tc>
          <w:tcPr>
            <w:tcW w:type="dxa" w:w="1871"/>
          </w:tcPr>
          <w:p>
            <w:pPr>
              <w:spacing w:after="0"/>
            </w:pPr>
            <w:r>
              <w:rPr>
                <w:b w:val="0"/>
                <w:sz w:val="14"/>
              </w:rPr>
              <w:t>Development-derived/validation-only result; separation: Unclear</w:t>
            </w:r>
          </w:p>
        </w:tc>
        <w:tc>
          <w:tcPr>
            <w:tcW w:type="dxa" w:w="2098"/>
          </w:tcPr>
          <w:p>
            <w:pPr>
              <w:spacing w:after="0"/>
            </w:pPr>
            <w:r>
              <w:rPr>
                <w:b w:val="0"/>
                <w:sz w:val="14"/>
              </w:rPr>
              <w:t>JustRAIGS/AIROGS</w:t>
            </w:r>
          </w:p>
        </w:tc>
      </w:tr>
    </w:tbl>
    <w:p>
      <w:pPr>
        <w:spacing w:after="160" w:before="60"/>
      </w:pPr>
      <w:r>
        <w:rPr>
          <w:b w:val="0"/>
          <w:i w:val="0"/>
          <w:sz w:val="16"/>
        </w:rPr>
        <w:t>Publication year follows the journal volume year. Denominators retain the source unit and are not summed across reports. Reference standards and early-disease classifications are given in Table S5.</w:t>
      </w:r>
    </w:p>
    <w:p>
      <w:r>
        <w:br w:type="page"/>
      </w:r>
    </w:p>
    <w:p>
      <w:pPr>
        <w:keepNext/>
        <w:spacing w:after="80" w:before="200"/>
      </w:pPr>
      <w:r>
        <w:rPr>
          <w:b/>
        </w:rPr>
        <w:t xml:space="preserve">Table S4. </w:t>
      </w:r>
      <w:r>
        <w:t>Validation design, glaucoma-specific eligibility basis, and diagnostic performance as reported.</w:t>
      </w:r>
    </w:p>
    <w:tbl>
      <w:tblPr>
        <w:tblStyle w:val="TableGrid"/>
        <w:tblW w:type="auto" w:w="0"/>
        <w:jc w:val="center"/>
        <w:tblLayout w:type="fixed"/>
        <w:tblLook w:firstColumn="1" w:firstRow="1" w:lastColumn="0" w:lastRow="0" w:noHBand="0" w:noVBand="1" w:val="04A0"/>
      </w:tblPr>
      <w:tblGrid>
        <w:gridCol w:w="1814"/>
        <w:gridCol w:w="1530"/>
        <w:gridCol w:w="2041"/>
        <w:gridCol w:w="1304"/>
        <w:gridCol w:w="1927"/>
        <w:gridCol w:w="2948"/>
        <w:gridCol w:w="3345"/>
      </w:tblGrid>
      <w:tr>
        <w:trPr>
          <w:tblHeader/>
        </w:trPr>
        <w:tc>
          <w:tcPr>
            <w:tcW w:type="dxa" w:w="1814"/>
            <w:shd w:val="clear" w:color="auto" w:fill="E7ECF3"/>
          </w:tcPr>
          <w:p>
            <w:pPr>
              <w:spacing w:after="0"/>
              <w:jc w:val="center"/>
            </w:pPr>
            <w:r>
              <w:rPr>
                <w:b/>
                <w:sz w:val="13"/>
              </w:rPr>
              <w:t>Report</w:t>
            </w:r>
          </w:p>
        </w:tc>
        <w:tc>
          <w:tcPr>
            <w:tcW w:type="dxa" w:w="1531"/>
            <w:shd w:val="clear" w:color="auto" w:fill="E7ECF3"/>
          </w:tcPr>
          <w:p>
            <w:pPr>
              <w:spacing w:after="0"/>
              <w:jc w:val="center"/>
            </w:pPr>
            <w:r>
              <w:rPr>
                <w:b/>
                <w:sz w:val="13"/>
              </w:rPr>
              <w:t>Task</w:t>
            </w:r>
          </w:p>
        </w:tc>
        <w:tc>
          <w:tcPr>
            <w:tcW w:type="dxa" w:w="2041"/>
            <w:shd w:val="clear" w:color="auto" w:fill="E7ECF3"/>
          </w:tcPr>
          <w:p>
            <w:pPr>
              <w:spacing w:after="0"/>
              <w:jc w:val="center"/>
            </w:pPr>
            <w:r>
              <w:rPr>
                <w:b/>
                <w:sz w:val="13"/>
              </w:rPr>
              <w:t>Basis for the glaucoma-specific result criterion</w:t>
            </w:r>
          </w:p>
        </w:tc>
        <w:tc>
          <w:tcPr>
            <w:tcW w:type="dxa" w:w="1304"/>
            <w:shd w:val="clear" w:color="auto" w:fill="E7ECF3"/>
          </w:tcPr>
          <w:p>
            <w:pPr>
              <w:spacing w:after="0"/>
              <w:jc w:val="center"/>
            </w:pPr>
            <w:r>
              <w:rPr>
                <w:b/>
                <w:sz w:val="13"/>
              </w:rPr>
              <w:t>Validation tier</w:t>
            </w:r>
          </w:p>
        </w:tc>
        <w:tc>
          <w:tcPr>
            <w:tcW w:type="dxa" w:w="1928"/>
            <w:shd w:val="clear" w:color="auto" w:fill="E7ECF3"/>
          </w:tcPr>
          <w:p>
            <w:pPr>
              <w:spacing w:after="0"/>
              <w:jc w:val="center"/>
            </w:pPr>
            <w:r>
              <w:rPr>
                <w:b/>
                <w:sz w:val="13"/>
              </w:rPr>
              <w:t>Evaluation design</w:t>
            </w:r>
          </w:p>
        </w:tc>
        <w:tc>
          <w:tcPr>
            <w:tcW w:type="dxa" w:w="2948"/>
            <w:shd w:val="clear" w:color="auto" w:fill="E7ECF3"/>
          </w:tcPr>
          <w:p>
            <w:pPr>
              <w:spacing w:after="0"/>
              <w:jc w:val="center"/>
            </w:pPr>
            <w:r>
              <w:rPr>
                <w:b/>
                <w:sz w:val="13"/>
              </w:rPr>
              <w:t>Reported performance</w:t>
            </w:r>
          </w:p>
        </w:tc>
        <w:tc>
          <w:tcPr>
            <w:tcW w:type="dxa" w:w="3345"/>
            <w:shd w:val="clear" w:color="auto" w:fill="E7ECF3"/>
          </w:tcPr>
          <w:p>
            <w:pPr>
              <w:spacing w:after="0"/>
              <w:jc w:val="center"/>
            </w:pPr>
            <w:r>
              <w:rPr>
                <w:b/>
                <w:sz w:val="13"/>
              </w:rPr>
              <w:t>Interpretive note</w:t>
            </w:r>
          </w:p>
        </w:tc>
      </w:tr>
      <w:tr>
        <w:trPr>
          <w:cantSplit/>
        </w:trPr>
        <w:tc>
          <w:tcPr>
            <w:tcW w:type="dxa" w:w="1814"/>
          </w:tcPr>
          <w:p>
            <w:pPr>
              <w:spacing w:after="0"/>
            </w:pPr>
            <w:r>
              <w:rPr>
                <w:b w:val="0"/>
                <w:sz w:val="13"/>
              </w:rPr>
              <w:t>S01; Song et al., 2021 [36]</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Unclear; domain shift: No</w:t>
            </w:r>
          </w:p>
        </w:tc>
        <w:tc>
          <w:tcPr>
            <w:tcW w:type="dxa" w:w="2948"/>
          </w:tcPr>
          <w:p>
            <w:pPr>
              <w:spacing w:after="0"/>
            </w:pPr>
            <w:r>
              <w:rPr>
                <w:b w:val="0"/>
                <w:sz w:val="13"/>
              </w:rPr>
              <w:t>Accuracy 88.3%; AUC 0.939</w:t>
            </w:r>
          </w:p>
        </w:tc>
        <w:tc>
          <w:tcPr>
            <w:tcW w:type="dxa" w:w="3345"/>
          </w:tcPr>
          <w:p>
            <w:pPr>
              <w:spacing w:after="0"/>
            </w:pPr>
            <w:r>
              <w:rPr>
                <w:b w:val="0"/>
                <w:sz w:val="13"/>
              </w:rPr>
              <w:t>Clinical cohort and paired modalities were strengths, but participant allocation, early-stage rule, and masking were incompletely reported.</w:t>
            </w:r>
          </w:p>
        </w:tc>
      </w:tr>
      <w:tr>
        <w:trPr>
          <w:cantSplit/>
        </w:trPr>
        <w:tc>
          <w:tcPr>
            <w:tcW w:type="dxa" w:w="1814"/>
          </w:tcPr>
          <w:p>
            <w:pPr>
              <w:spacing w:after="0"/>
            </w:pPr>
            <w:r>
              <w:rPr>
                <w:b w:val="0"/>
                <w:sz w:val="13"/>
              </w:rPr>
              <w:t>S02; Fan et al., 2023 [37]</w:t>
            </w:r>
          </w:p>
        </w:tc>
        <w:tc>
          <w:tcPr>
            <w:tcW w:type="dxa" w:w="1531"/>
          </w:tcPr>
          <w:p>
            <w:pPr>
              <w:spacing w:after="0"/>
            </w:pPr>
            <w:r>
              <w:rPr>
                <w:b w:val="0"/>
                <w:sz w:val="13"/>
              </w:rPr>
              <w:t>POAG detection under five outcome definitions</w:t>
            </w:r>
          </w:p>
        </w:tc>
        <w:tc>
          <w:tcPr>
            <w:tcW w:type="dxa" w:w="2041"/>
          </w:tcPr>
          <w:p>
            <w:pPr>
              <w:spacing w:after="0"/>
            </w:pPr>
            <w:r>
              <w:rPr>
                <w:b w:val="0"/>
                <w:sz w:val="13"/>
              </w:rPr>
              <w:t>(a) Glaucoma-only task: POAG detection under five outcome definitions</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five external datasets; participant separation: Participant-level; domain shift: Yes</w:t>
            </w:r>
          </w:p>
        </w:tc>
        <w:tc>
          <w:tcPr>
            <w:tcW w:type="dxa" w:w="2948"/>
          </w:tcPr>
          <w:p>
            <w:pPr>
              <w:spacing w:after="0"/>
            </w:pPr>
            <w:r>
              <w:rPr>
                <w:b w:val="0"/>
                <w:sz w:val="13"/>
              </w:rPr>
              <w:t>OHTS AUC 0.82–0.91; main endpoint AUC 0.88 (0.82–0.92), early 0.87 (0.80–0.91); external AUC 0.73–0.91</w:t>
            </w:r>
          </w:p>
        </w:tc>
        <w:tc>
          <w:tcPr>
            <w:tcW w:type="dxa" w:w="3345"/>
          </w:tcPr>
          <w:p>
            <w:pPr>
              <w:spacing w:after="0"/>
            </w:pPr>
            <w:r>
              <w:rPr>
                <w:b w:val="0"/>
                <w:sz w:val="13"/>
              </w:rPr>
              <w:t>Best-developed early-disease and generalisability evidence in the corpus; external labels nevertheless varied by dataset.</w:t>
            </w:r>
          </w:p>
        </w:tc>
      </w:tr>
      <w:tr>
        <w:trPr>
          <w:cantSplit/>
        </w:trPr>
        <w:tc>
          <w:tcPr>
            <w:tcW w:type="dxa" w:w="1814"/>
          </w:tcPr>
          <w:p>
            <w:pPr>
              <w:spacing w:after="0"/>
            </w:pPr>
            <w:r>
              <w:rPr>
                <w:b w:val="0"/>
                <w:sz w:val="13"/>
              </w:rPr>
              <w:t>S03; Wang et al., 2023 [38]</w:t>
            </w:r>
          </w:p>
        </w:tc>
        <w:tc>
          <w:tcPr>
            <w:tcW w:type="dxa" w:w="1531"/>
          </w:tcPr>
          <w:p>
            <w:pPr>
              <w:spacing w:after="0"/>
            </w:pPr>
            <w:r>
              <w:rPr>
                <w:b w:val="0"/>
                <w:sz w:val="13"/>
              </w:rPr>
              <w:t>Multilabel fundus-disease classification</w:t>
            </w:r>
          </w:p>
        </w:tc>
        <w:tc>
          <w:tcPr>
            <w:tcW w:type="dxa" w:w="2041"/>
          </w:tcPr>
          <w:p>
            <w:pPr>
              <w:spacing w:after="0"/>
            </w:pPr>
            <w:r>
              <w:rPr>
                <w:b w:val="0"/>
                <w:sz w:val="13"/>
              </w:rPr>
              <w:t>(b) Glaucoma-class precision 0.87 and recall 0.82 (training-derived subset)</w:t>
            </w:r>
          </w:p>
        </w:tc>
        <w:tc>
          <w:tcPr>
            <w:tcW w:type="dxa" w:w="1304"/>
          </w:tcPr>
          <w:p>
            <w:pPr>
              <w:spacing w:after="0"/>
            </w:pPr>
            <w:r>
              <w:rPr>
                <w:b w:val="0"/>
                <w:sz w:val="13"/>
              </w:rPr>
              <w:t>Development-derived/validation-only result</w:t>
            </w:r>
          </w:p>
        </w:tc>
        <w:tc>
          <w:tcPr>
            <w:tcW w:type="dxa" w:w="1928"/>
          </w:tcPr>
          <w:p>
            <w:pPr>
              <w:spacing w:after="0"/>
            </w:pPr>
            <w:r>
              <w:rPr>
                <w:b w:val="0"/>
                <w:sz w:val="13"/>
              </w:rPr>
              <w:t>Held-out challenge evaluation; glaucoma subset analysis reused a training-derived sample; participant separation: Participant-level; domain shift: No</w:t>
            </w:r>
          </w:p>
        </w:tc>
        <w:tc>
          <w:tcPr>
            <w:tcW w:type="dxa" w:w="2948"/>
          </w:tcPr>
          <w:p>
            <w:pPr>
              <w:spacing w:after="0"/>
            </w:pPr>
            <w:r>
              <w:rPr>
                <w:b w:val="0"/>
                <w:sz w:val="13"/>
              </w:rPr>
              <w:t>Overall AUC 0.891 off-site and 0.878 on-site; glaucoma precision 0.87 and recall 0.82 on a balanced 400-image training-derived subset</w:t>
            </w:r>
          </w:p>
        </w:tc>
        <w:tc>
          <w:tcPr>
            <w:tcW w:type="dxa" w:w="3345"/>
          </w:tcPr>
          <w:p>
            <w:pPr>
              <w:spacing w:after="0"/>
            </w:pPr>
            <w:r>
              <w:rPr>
                <w:b w:val="0"/>
                <w:sz w:val="13"/>
              </w:rPr>
              <w:t>Glaucoma-specific metrics came from a balanced subset sampled from development data rather than the official independent test set.</w:t>
            </w:r>
          </w:p>
        </w:tc>
      </w:tr>
      <w:tr>
        <w:trPr>
          <w:cantSplit/>
        </w:trPr>
        <w:tc>
          <w:tcPr>
            <w:tcW w:type="dxa" w:w="1814"/>
          </w:tcPr>
          <w:p>
            <w:pPr>
              <w:spacing w:after="0"/>
            </w:pPr>
            <w:r>
              <w:rPr>
                <w:b w:val="0"/>
                <w:sz w:val="13"/>
              </w:rPr>
              <w:t>S04; Alayón et al., 2023 [39]</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external evaluation; participant separation: Image/eye-level; domain shift: Yes</w:t>
            </w:r>
          </w:p>
        </w:tc>
        <w:tc>
          <w:tcPr>
            <w:tcW w:type="dxa" w:w="2948"/>
          </w:tcPr>
          <w:p>
            <w:pPr>
              <w:spacing w:after="0"/>
            </w:pPr>
            <w:r>
              <w:rPr>
                <w:b w:val="0"/>
                <w:sz w:val="13"/>
              </w:rPr>
              <w:t>Best internal balanced accuracy 97.32%; external best transformer balanced accuracy 88.84% REFUGE, 83.02% DRISHTI-GS, and 78.78% PAPILA</w:t>
            </w:r>
          </w:p>
        </w:tc>
        <w:tc>
          <w:tcPr>
            <w:tcW w:type="dxa" w:w="3345"/>
          </w:tcPr>
          <w:p>
            <w:pPr>
              <w:spacing w:after="0"/>
            </w:pPr>
            <w:r>
              <w:rPr>
                <w:b w:val="0"/>
                <w:sz w:val="13"/>
              </w:rPr>
              <w:t>Cross-dataset evaluation was informative, but development used image-level allocation and non-equivalent reference labels.</w:t>
            </w:r>
          </w:p>
        </w:tc>
      </w:tr>
      <w:tr>
        <w:trPr>
          <w:cantSplit/>
        </w:trPr>
        <w:tc>
          <w:tcPr>
            <w:tcW w:type="dxa" w:w="1814"/>
          </w:tcPr>
          <w:p>
            <w:pPr>
              <w:spacing w:after="0"/>
            </w:pPr>
            <w:r>
              <w:rPr>
                <w:b w:val="0"/>
                <w:sz w:val="13"/>
              </w:rPr>
              <w:t>S05; Hwang et al., 2023 [40]</w:t>
            </w:r>
          </w:p>
        </w:tc>
        <w:tc>
          <w:tcPr>
            <w:tcW w:type="dxa" w:w="1531"/>
          </w:tcPr>
          <w:p>
            <w:pPr>
              <w:spacing w:after="0"/>
            </w:pPr>
            <w:r>
              <w:rPr>
                <w:b w:val="0"/>
                <w:sz w:val="13"/>
              </w:rPr>
              <w:t>Binary GON classification</w:t>
            </w:r>
          </w:p>
        </w:tc>
        <w:tc>
          <w:tcPr>
            <w:tcW w:type="dxa" w:w="2041"/>
          </w:tcPr>
          <w:p>
            <w:pPr>
              <w:spacing w:after="0"/>
            </w:pPr>
            <w:r>
              <w:rPr>
                <w:b w:val="0"/>
                <w:sz w:val="13"/>
              </w:rPr>
              <w:t>(a) Glaucoma-only task: Binary GON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only; participant separation: Image/eye-level; domain shift: No</w:t>
            </w:r>
          </w:p>
        </w:tc>
        <w:tc>
          <w:tcPr>
            <w:tcW w:type="dxa" w:w="2948"/>
          </w:tcPr>
          <w:p>
            <w:pPr>
              <w:spacing w:after="0"/>
            </w:pPr>
            <w:r>
              <w:rPr>
                <w:b w:val="0"/>
                <w:sz w:val="13"/>
              </w:rPr>
              <w:t>AUC by dataset 0.67–0.95; accuracy 0.74–0.97; one test subset contained five images</w:t>
            </w:r>
          </w:p>
        </w:tc>
        <w:tc>
          <w:tcPr>
            <w:tcW w:type="dxa" w:w="3345"/>
          </w:tcPr>
          <w:p>
            <w:pPr>
              <w:spacing w:after="0"/>
            </w:pPr>
            <w:r>
              <w:rPr>
                <w:b w:val="0"/>
                <w:sz w:val="13"/>
              </w:rPr>
              <w:t>Reference standards varied materially and one specificity estimate was based on five images; resampling did not create independent evidence.</w:t>
            </w:r>
          </w:p>
        </w:tc>
      </w:tr>
      <w:tr>
        <w:trPr>
          <w:cantSplit/>
        </w:trPr>
        <w:tc>
          <w:tcPr>
            <w:tcW w:type="dxa" w:w="1814"/>
          </w:tcPr>
          <w:p>
            <w:pPr>
              <w:spacing w:after="0"/>
            </w:pPr>
            <w:r>
              <w:rPr>
                <w:b w:val="0"/>
                <w:sz w:val="13"/>
              </w:rPr>
              <w:t>S06; Singh et al., 2023 [41]</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reported as approximately 97%; denominator inconsistencies prevented verification</w:t>
            </w:r>
          </w:p>
        </w:tc>
        <w:tc>
          <w:tcPr>
            <w:tcW w:type="dxa" w:w="3345"/>
          </w:tcPr>
          <w:p>
            <w:pPr>
              <w:spacing w:after="0"/>
            </w:pPr>
            <w:r>
              <w:rPr>
                <w:b w:val="0"/>
                <w:sz w:val="13"/>
              </w:rPr>
              <w:t>Irreconcilable sample and confusion-matrix totals, no clinical reference standard, and no independent evaluation.</w:t>
            </w:r>
          </w:p>
        </w:tc>
      </w:tr>
      <w:tr>
        <w:trPr>
          <w:cantSplit/>
        </w:trPr>
        <w:tc>
          <w:tcPr>
            <w:tcW w:type="dxa" w:w="1814"/>
          </w:tcPr>
          <w:p>
            <w:pPr>
              <w:spacing w:after="0"/>
            </w:pPr>
            <w:r>
              <w:rPr>
                <w:b w:val="0"/>
                <w:sz w:val="13"/>
              </w:rPr>
              <w:t>S07; D’Souza et al., 2024 [42]</w:t>
            </w:r>
          </w:p>
        </w:tc>
        <w:tc>
          <w:tcPr>
            <w:tcW w:type="dxa" w:w="1531"/>
          </w:tcPr>
          <w:p>
            <w:pPr>
              <w:spacing w:after="0"/>
            </w:pPr>
            <w:r>
              <w:rPr>
                <w:b w:val="0"/>
                <w:sz w:val="13"/>
              </w:rPr>
              <w:t>Referable glaucoma classification</w:t>
            </w:r>
          </w:p>
        </w:tc>
        <w:tc>
          <w:tcPr>
            <w:tcW w:type="dxa" w:w="2041"/>
          </w:tcPr>
          <w:p>
            <w:pPr>
              <w:spacing w:after="0"/>
            </w:pPr>
            <w:r>
              <w:rPr>
                <w:b w:val="0"/>
                <w:sz w:val="13"/>
              </w:rPr>
              <w:t>(a) Glaucoma-only task: Referable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hidden challenge test not used; participant separation: Image/eye-level; domain shift: No</w:t>
            </w:r>
          </w:p>
        </w:tc>
        <w:tc>
          <w:tcPr>
            <w:tcW w:type="dxa" w:w="2948"/>
          </w:tcPr>
          <w:p>
            <w:pPr>
              <w:spacing w:after="0"/>
            </w:pPr>
            <w:r>
              <w:rPr>
                <w:b w:val="0"/>
                <w:sz w:val="13"/>
              </w:rPr>
              <w:t>Accuracy 0.9161; recall 0.9070; F1 0.915; AUC 0.968</w:t>
            </w:r>
          </w:p>
        </w:tc>
        <w:tc>
          <w:tcPr>
            <w:tcW w:type="dxa" w:w="3345"/>
          </w:tcPr>
          <w:p>
            <w:pPr>
              <w:spacing w:after="0"/>
            </w:pPr>
            <w:r>
              <w:rPr>
                <w:b w:val="0"/>
                <w:sz w:val="13"/>
              </w:rPr>
              <w:t>Balanced case-control subsampling and image-level resampling limit screening transportability despite large source data.</w:t>
            </w:r>
          </w:p>
        </w:tc>
      </w:tr>
      <w:tr>
        <w:trPr>
          <w:cantSplit/>
        </w:trPr>
        <w:tc>
          <w:tcPr>
            <w:tcW w:type="dxa" w:w="1814"/>
          </w:tcPr>
          <w:p>
            <w:pPr>
              <w:spacing w:after="0"/>
            </w:pPr>
            <w:r>
              <w:rPr>
                <w:b w:val="0"/>
                <w:sz w:val="13"/>
              </w:rPr>
              <w:t>S08; Wang et al., 2023 [43]</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 task-level results reported, point estimates not transcribed †</w:t>
            </w:r>
          </w:p>
        </w:tc>
        <w:tc>
          <w:tcPr>
            <w:tcW w:type="dxa" w:w="1304"/>
          </w:tcPr>
          <w:p>
            <w:pPr>
              <w:spacing w:after="0"/>
            </w:pPr>
            <w:r>
              <w:rPr>
                <w:b w:val="0"/>
                <w:sz w:val="13"/>
              </w:rPr>
              <w:t>Same-source held-out/fixed partition</w:t>
            </w:r>
          </w:p>
        </w:tc>
        <w:tc>
          <w:tcPr>
            <w:tcW w:type="dxa" w:w="1928"/>
          </w:tcPr>
          <w:p>
            <w:pPr>
              <w:spacing w:after="0"/>
            </w:pPr>
            <w:r>
              <w:rPr>
                <w:b w:val="0"/>
                <w:sz w:val="13"/>
              </w:rPr>
              <w:t>Internal challenge evaluation; participant separation: Unclear; domain shift: No</w:t>
            </w:r>
          </w:p>
        </w:tc>
        <w:tc>
          <w:tcPr>
            <w:tcW w:type="dxa" w:w="2948"/>
          </w:tcPr>
          <w:p>
            <w:pPr>
              <w:spacing w:after="0"/>
            </w:pPr>
            <w:r>
              <w:rPr>
                <w:b w:val="0"/>
                <w:sz w:val="13"/>
              </w:rPr>
              <w:t>Primary glaucoma-grading performance reported; exact diagnostic point estimates NR</w:t>
            </w:r>
          </w:p>
        </w:tc>
        <w:tc>
          <w:tcPr>
            <w:tcW w:type="dxa" w:w="3345"/>
          </w:tcPr>
          <w:p>
            <w:pPr>
              <w:spacing w:after="0"/>
            </w:pPr>
            <w:r>
              <w:rPr>
                <w:b w:val="0"/>
                <w:sz w:val="13"/>
              </w:rPr>
              <w:t>Operational staging was a strength; small shared benchmark and incompletely reported split level limit independence.</w:t>
            </w:r>
          </w:p>
        </w:tc>
      </w:tr>
      <w:tr>
        <w:trPr>
          <w:cantSplit/>
        </w:trPr>
        <w:tc>
          <w:tcPr>
            <w:tcW w:type="dxa" w:w="1814"/>
          </w:tcPr>
          <w:p>
            <w:pPr>
              <w:spacing w:after="0"/>
            </w:pPr>
            <w:r>
              <w:rPr>
                <w:b w:val="0"/>
                <w:sz w:val="13"/>
              </w:rPr>
              <w:t>S09; Wu et al., 2023 [44]</w:t>
            </w:r>
          </w:p>
        </w:tc>
        <w:tc>
          <w:tcPr>
            <w:tcW w:type="dxa" w:w="1531"/>
          </w:tcPr>
          <w:p>
            <w:pPr>
              <w:spacing w:after="0"/>
            </w:pPr>
            <w:r>
              <w:rPr>
                <w:b w:val="0"/>
                <w:sz w:val="13"/>
              </w:rPr>
              <w:t>Three-level glaucoma grading</w:t>
            </w:r>
          </w:p>
        </w:tc>
        <w:tc>
          <w:tcPr>
            <w:tcW w:type="dxa" w:w="2041"/>
          </w:tcPr>
          <w:p>
            <w:pPr>
              <w:spacing w:after="0"/>
            </w:pPr>
            <w:r>
              <w:rPr>
                <w:b w:val="0"/>
                <w:sz w:val="13"/>
              </w:rPr>
              <w:t>(a) Glaucoma-only task: Three-level glaucoma grading</w:t>
            </w:r>
          </w:p>
        </w:tc>
        <w:tc>
          <w:tcPr>
            <w:tcW w:type="dxa" w:w="1304"/>
          </w:tcPr>
          <w:p>
            <w:pPr>
              <w:spacing w:after="0"/>
            </w:pPr>
            <w:r>
              <w:rPr>
                <w:b w:val="0"/>
                <w:sz w:val="13"/>
              </w:rPr>
              <w:t>Same-source held-out/fixed partition</w:t>
            </w:r>
          </w:p>
        </w:tc>
        <w:tc>
          <w:tcPr>
            <w:tcW w:type="dxa" w:w="1928"/>
          </w:tcPr>
          <w:p>
            <w:pPr>
              <w:spacing w:after="0"/>
            </w:pPr>
            <w:r>
              <w:rPr>
                <w:b w:val="0"/>
                <w:sz w:val="13"/>
              </w:rPr>
              <w:t>Independent challenge holdout from the same source; participant separation: Unclear; domain shift: No</w:t>
            </w:r>
          </w:p>
        </w:tc>
        <w:tc>
          <w:tcPr>
            <w:tcW w:type="dxa" w:w="2948"/>
          </w:tcPr>
          <w:p>
            <w:pPr>
              <w:spacing w:after="0"/>
            </w:pPr>
            <w:r>
              <w:rPr>
                <w:b w:val="0"/>
                <w:sz w:val="13"/>
              </w:rPr>
              <w:t>Leading final quadratic-weighted kappa 0.8477</w:t>
            </w:r>
          </w:p>
        </w:tc>
        <w:tc>
          <w:tcPr>
            <w:tcW w:type="dxa" w:w="3345"/>
          </w:tcPr>
          <w:p>
            <w:pPr>
              <w:spacing w:after="0"/>
            </w:pPr>
            <w:r>
              <w:rPr>
                <w:b w:val="0"/>
                <w:sz w:val="13"/>
              </w:rPr>
              <w:t>Well-defined challenge holdout, but the cohort overlaps MSTNet and remains a small benchmark rather than an external clinical cohort.</w:t>
            </w:r>
          </w:p>
        </w:tc>
      </w:tr>
      <w:tr>
        <w:trPr>
          <w:cantSplit/>
        </w:trPr>
        <w:tc>
          <w:tcPr>
            <w:tcW w:type="dxa" w:w="1814"/>
          </w:tcPr>
          <w:p>
            <w:pPr>
              <w:spacing w:after="0"/>
            </w:pPr>
            <w:r>
              <w:rPr>
                <w:b w:val="0"/>
                <w:sz w:val="13"/>
              </w:rPr>
              <w:t>S10; Tohye et al., 2024 [45]</w:t>
            </w:r>
          </w:p>
        </w:tc>
        <w:tc>
          <w:tcPr>
            <w:tcW w:type="dxa" w:w="1531"/>
          </w:tcPr>
          <w:p>
            <w:pPr>
              <w:spacing w:after="0"/>
            </w:pPr>
            <w:r>
              <w:rPr>
                <w:b w:val="0"/>
                <w:sz w:val="13"/>
              </w:rPr>
              <w:t>Multiclass glaucoma classification</w:t>
            </w:r>
          </w:p>
        </w:tc>
        <w:tc>
          <w:tcPr>
            <w:tcW w:type="dxa" w:w="2041"/>
          </w:tcPr>
          <w:p>
            <w:pPr>
              <w:spacing w:after="0"/>
            </w:pPr>
            <w:r>
              <w:rPr>
                <w:b w:val="0"/>
                <w:sz w:val="13"/>
              </w:rPr>
              <w:t>(a) Glaucoma-only task: Multiclass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93.0%; precision 93.0%; recall 93.08%; F1 92.9%</w:t>
            </w:r>
          </w:p>
        </w:tc>
        <w:tc>
          <w:tcPr>
            <w:tcW w:type="dxa" w:w="3345"/>
          </w:tcPr>
          <w:p>
            <w:pPr>
              <w:spacing w:after="0"/>
            </w:pPr>
            <w:r>
              <w:rPr>
                <w:b w:val="0"/>
                <w:sz w:val="13"/>
              </w:rPr>
              <w:t>Generated-image handling and separation of validation from testing were ambiguous; participant leakage could not be excluded.</w:t>
            </w:r>
          </w:p>
        </w:tc>
      </w:tr>
      <w:tr>
        <w:trPr>
          <w:cantSplit/>
        </w:trPr>
        <w:tc>
          <w:tcPr>
            <w:tcW w:type="dxa" w:w="1814"/>
          </w:tcPr>
          <w:p>
            <w:pPr>
              <w:spacing w:after="0"/>
            </w:pPr>
            <w:r>
              <w:rPr>
                <w:b w:val="0"/>
                <w:sz w:val="13"/>
              </w:rPr>
              <w:t>S11; Wang et al., 2024 [46]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Best 610–780 nm model: accuracy, precision, recall, F1, and AUC approximately 0.9007; RGB accuracy 0.8473</w:t>
            </w:r>
          </w:p>
        </w:tc>
        <w:tc>
          <w:tcPr>
            <w:tcW w:type="dxa" w:w="3345"/>
          </w:tcPr>
          <w:p>
            <w:pPr>
              <w:spacing w:after="0"/>
            </w:pPr>
            <w:r>
              <w:rPr>
                <w:b w:val="0"/>
                <w:sz w:val="13"/>
              </w:rPr>
              <w:t>A single clinical source and image-level allocation limit generalisability; the converted hyperspectral signal is algorithm-derived rather than directly acquired.</w:t>
            </w:r>
          </w:p>
        </w:tc>
      </w:tr>
      <w:tr>
        <w:trPr>
          <w:cantSplit/>
        </w:trPr>
        <w:tc>
          <w:tcPr>
            <w:tcW w:type="dxa" w:w="1814"/>
          </w:tcPr>
          <w:p>
            <w:pPr>
              <w:spacing w:after="0"/>
            </w:pPr>
            <w:r>
              <w:rPr>
                <w:b w:val="0"/>
                <w:sz w:val="13"/>
              </w:rPr>
              <w:t>S12; Chincholi and Koestler, 2024 [47]</w:t>
            </w:r>
          </w:p>
        </w:tc>
        <w:tc>
          <w:tcPr>
            <w:tcW w:type="dxa" w:w="1531"/>
          </w:tcPr>
          <w:p>
            <w:pPr>
              <w:spacing w:after="0"/>
            </w:pPr>
            <w:r>
              <w:rPr>
                <w:b w:val="0"/>
                <w:sz w:val="13"/>
              </w:rPr>
              <w:t>Binary glaucoma classification/detection</w:t>
            </w:r>
          </w:p>
        </w:tc>
        <w:tc>
          <w:tcPr>
            <w:tcW w:type="dxa" w:w="2041"/>
          </w:tcPr>
          <w:p>
            <w:pPr>
              <w:spacing w:after="0"/>
            </w:pPr>
            <w:r>
              <w:rPr>
                <w:b w:val="0"/>
                <w:sz w:val="13"/>
              </w:rPr>
              <w:t>(a) Glaucoma-only task: Binary glaucoma classification/detection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DETR accuracy 90.48%, sensitivity 0.94, specificity 0.75, AUC 0.88; ViT accuracy 87.87%, sensitivity 0.92, specificity 0.84, AUC 0.86</w:t>
            </w:r>
          </w:p>
        </w:tc>
        <w:tc>
          <w:tcPr>
            <w:tcW w:type="dxa" w:w="3345"/>
          </w:tcPr>
          <w:p>
            <w:pPr>
              <w:spacing w:after="0"/>
            </w:pPr>
            <w:r>
              <w:rPr>
                <w:b w:val="0"/>
                <w:sz w:val="13"/>
              </w:rPr>
              <w:t>Circularity arises because a structural feature used as a model target is also presented as evidence of glaucoma.</w:t>
            </w:r>
          </w:p>
        </w:tc>
      </w:tr>
      <w:tr>
        <w:trPr>
          <w:cantSplit/>
        </w:trPr>
        <w:tc>
          <w:tcPr>
            <w:tcW w:type="dxa" w:w="1814"/>
          </w:tcPr>
          <w:p>
            <w:pPr>
              <w:spacing w:after="0"/>
            </w:pPr>
            <w:r>
              <w:rPr>
                <w:b w:val="0"/>
                <w:sz w:val="13"/>
              </w:rPr>
              <w:t>S13; Almeshrky and Karacı, 2024 [48]</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within-dataset evaluation; participant separation: Image/eye-level; domain shift: No</w:t>
            </w:r>
          </w:p>
        </w:tc>
        <w:tc>
          <w:tcPr>
            <w:tcW w:type="dxa" w:w="2948"/>
          </w:tcPr>
          <w:p>
            <w:pPr>
              <w:spacing w:after="0"/>
            </w:pPr>
            <w:r>
              <w:rPr>
                <w:b w:val="0"/>
                <w:sz w:val="13"/>
              </w:rPr>
              <w:t>Best DRISHTI-GS three-fold accuracy 88.18%, sensitivity 94.29%, specificity 74.19%; ORIGA cropped holdout accuracy 96.15% but cross-validation approximately 79.07%</w:t>
            </w:r>
          </w:p>
        </w:tc>
        <w:tc>
          <w:tcPr>
            <w:tcW w:type="dxa" w:w="3345"/>
          </w:tcPr>
          <w:p>
            <w:pPr>
              <w:spacing w:after="0"/>
            </w:pPr>
            <w:r>
              <w:rPr>
                <w:b w:val="0"/>
                <w:sz w:val="13"/>
              </w:rPr>
              <w:t>Large divergence between a single holdout and cross-validation suggests instability; no patient-level or external evaluation.</w:t>
            </w:r>
          </w:p>
        </w:tc>
      </w:tr>
      <w:tr>
        <w:trPr>
          <w:cantSplit/>
        </w:trPr>
        <w:tc>
          <w:tcPr>
            <w:tcW w:type="dxa" w:w="1814"/>
          </w:tcPr>
          <w:p>
            <w:pPr>
              <w:spacing w:after="0"/>
            </w:pPr>
            <w:r>
              <w:rPr>
                <w:b w:val="0"/>
                <w:sz w:val="13"/>
              </w:rPr>
              <w:t>S14; Sangchocanonta et al., 2025 [49]</w:t>
            </w:r>
          </w:p>
        </w:tc>
        <w:tc>
          <w:tcPr>
            <w:tcW w:type="dxa" w:w="1531"/>
          </w:tcPr>
          <w:p>
            <w:pPr>
              <w:spacing w:after="0"/>
            </w:pPr>
            <w:r>
              <w:rPr>
                <w:b w:val="0"/>
                <w:sz w:val="13"/>
              </w:rPr>
              <w:t>Glaucoma, suspect, and no-glaucoma classification</w:t>
            </w:r>
          </w:p>
        </w:tc>
        <w:tc>
          <w:tcPr>
            <w:tcW w:type="dxa" w:w="2041"/>
          </w:tcPr>
          <w:p>
            <w:pPr>
              <w:spacing w:after="0"/>
            </w:pPr>
            <w:r>
              <w:rPr>
                <w:b w:val="0"/>
                <w:sz w:val="13"/>
              </w:rPr>
              <w:t>(a) Glaucoma-only task: Glaucoma, suspect, and no-glaucoma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Strict 3/3 AUC: glaucoma 92.63%, suspect 92.35%, normal 92.32%; 2/3 AUC: 68.22%, 68.23%, and 73.09%</w:t>
            </w:r>
          </w:p>
        </w:tc>
        <w:tc>
          <w:tcPr>
            <w:tcW w:type="dxa" w:w="3345"/>
          </w:tcPr>
          <w:p>
            <w:pPr>
              <w:spacing w:after="0"/>
            </w:pPr>
            <w:r>
              <w:rPr>
                <w:b w:val="0"/>
                <w:sz w:val="13"/>
              </w:rPr>
              <w:t>Expert consensus is a strength, but the marked performance decline under lower agreement shows label uncertainty and no independent validation was performed.</w:t>
            </w:r>
          </w:p>
        </w:tc>
      </w:tr>
      <w:tr>
        <w:trPr>
          <w:cantSplit/>
        </w:trPr>
        <w:tc>
          <w:tcPr>
            <w:tcW w:type="dxa" w:w="1814"/>
          </w:tcPr>
          <w:p>
            <w:pPr>
              <w:spacing w:after="0"/>
            </w:pPr>
            <w:r>
              <w:rPr>
                <w:b w:val="0"/>
                <w:sz w:val="13"/>
              </w:rPr>
              <w:t>S15; Ashtari-Majlan and Masip, 2025 [50]</w:t>
            </w:r>
          </w:p>
        </w:tc>
        <w:tc>
          <w:tcPr>
            <w:tcW w:type="dxa" w:w="1531"/>
          </w:tcPr>
          <w:p>
            <w:pPr>
              <w:spacing w:after="0"/>
            </w:pPr>
            <w:r>
              <w:rPr>
                <w:b w:val="0"/>
                <w:sz w:val="13"/>
              </w:rPr>
              <w:t>Binary POAG diagnosis</w:t>
            </w:r>
          </w:p>
        </w:tc>
        <w:tc>
          <w:tcPr>
            <w:tcW w:type="dxa" w:w="2041"/>
          </w:tcPr>
          <w:p>
            <w:pPr>
              <w:spacing w:after="0"/>
            </w:pPr>
            <w:r>
              <w:rPr>
                <w:b w:val="0"/>
                <w:sz w:val="13"/>
              </w:rPr>
              <w:t>(a) Glaucoma-only task: Binary POAG diagnosis</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Accuracy 89.19%; AUC 94.20%; sensitivity 91.83%; specificity 79.67%; F1 93.01%; MCC 69.33%</w:t>
            </w:r>
          </w:p>
        </w:tc>
        <w:tc>
          <w:tcPr>
            <w:tcW w:type="dxa" w:w="3345"/>
          </w:tcPr>
          <w:p>
            <w:pPr>
              <w:spacing w:after="0"/>
            </w:pPr>
            <w:r>
              <w:rPr>
                <w:b w:val="0"/>
                <w:sz w:val="13"/>
              </w:rPr>
              <w:t>Subject-level allocation and a clinical outcome were strengths; curated case-control sampling and absence of external evaluation remain limiting.</w:t>
            </w:r>
          </w:p>
        </w:tc>
      </w:tr>
      <w:tr>
        <w:trPr>
          <w:cantSplit/>
        </w:trPr>
        <w:tc>
          <w:tcPr>
            <w:tcW w:type="dxa" w:w="1814"/>
          </w:tcPr>
          <w:p>
            <w:pPr>
              <w:spacing w:after="0"/>
            </w:pPr>
            <w:r>
              <w:rPr>
                <w:b w:val="0"/>
                <w:sz w:val="13"/>
              </w:rPr>
              <w:t>S16; Yurdakul et al., 2025 [51]</w:t>
            </w:r>
          </w:p>
        </w:tc>
        <w:tc>
          <w:tcPr>
            <w:tcW w:type="dxa" w:w="1531"/>
          </w:tcPr>
          <w:p>
            <w:pPr>
              <w:spacing w:after="0"/>
            </w:pPr>
            <w:r>
              <w:rPr>
                <w:b w:val="0"/>
                <w:sz w:val="13"/>
              </w:rPr>
              <w:t>Normal/early/advanced stage classification</w:t>
            </w:r>
          </w:p>
        </w:tc>
        <w:tc>
          <w:tcPr>
            <w:tcW w:type="dxa" w:w="2041"/>
          </w:tcPr>
          <w:p>
            <w:pPr>
              <w:spacing w:after="0"/>
            </w:pPr>
            <w:r>
              <w:rPr>
                <w:b w:val="0"/>
                <w:sz w:val="13"/>
              </w:rPr>
              <w:t>(a) Glaucoma-only task: Normal/early/advanced stage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Accuracy 92.03%; precision 92.33%; recall 92.03%; F1 92.13%; kappa 87.12%</w:t>
            </w:r>
          </w:p>
        </w:tc>
        <w:tc>
          <w:tcPr>
            <w:tcW w:type="dxa" w:w="3345"/>
          </w:tcPr>
          <w:p>
            <w:pPr>
              <w:spacing w:after="0"/>
            </w:pPr>
            <w:r>
              <w:rPr>
                <w:b w:val="0"/>
                <w:sz w:val="13"/>
              </w:rPr>
              <w:t>The apparently early-stage outcome depends on inherited labels with no reproducible staging rule and no external validation.</w:t>
            </w:r>
          </w:p>
        </w:tc>
      </w:tr>
      <w:tr>
        <w:trPr>
          <w:cantSplit/>
        </w:trPr>
        <w:tc>
          <w:tcPr>
            <w:tcW w:type="dxa" w:w="1814"/>
          </w:tcPr>
          <w:p>
            <w:pPr>
              <w:spacing w:after="0"/>
            </w:pPr>
            <w:r>
              <w:rPr>
                <w:b w:val="0"/>
                <w:sz w:val="13"/>
              </w:rPr>
              <w:t>S17; Das et al., 2025 [52]</w:t>
            </w:r>
          </w:p>
        </w:tc>
        <w:tc>
          <w:tcPr>
            <w:tcW w:type="dxa" w:w="1531"/>
          </w:tcPr>
          <w:p>
            <w:pPr>
              <w:spacing w:after="0"/>
            </w:pPr>
            <w:r>
              <w:rPr>
                <w:b w:val="0"/>
                <w:sz w:val="13"/>
              </w:rPr>
              <w:t>Multistage glaucoma classification</w:t>
            </w:r>
          </w:p>
        </w:tc>
        <w:tc>
          <w:tcPr>
            <w:tcW w:type="dxa" w:w="2041"/>
          </w:tcPr>
          <w:p>
            <w:pPr>
              <w:spacing w:after="0"/>
            </w:pPr>
            <w:r>
              <w:rPr>
                <w:b w:val="0"/>
                <w:sz w:val="13"/>
              </w:rPr>
              <w:t>(a) Glaucoma-only task: Multistage glaucoma classification; task-level results reported, point estimates not transcribed †</w:t>
            </w:r>
          </w:p>
        </w:tc>
        <w:tc>
          <w:tcPr>
            <w:tcW w:type="dxa" w:w="1304"/>
          </w:tcPr>
          <w:p>
            <w:pPr>
              <w:spacing w:after="0"/>
            </w:pPr>
            <w:r>
              <w:rPr>
                <w:b w:val="0"/>
                <w:sz w:val="13"/>
              </w:rPr>
              <w:t>External/cross-dataset evaluation</w:t>
            </w:r>
          </w:p>
        </w:tc>
        <w:tc>
          <w:tcPr>
            <w:tcW w:type="dxa" w:w="1928"/>
          </w:tcPr>
          <w:p>
            <w:pPr>
              <w:spacing w:after="0"/>
            </w:pPr>
            <w:r>
              <w:rPr>
                <w:b w:val="0"/>
                <w:sz w:val="13"/>
              </w:rPr>
              <w:t>Internal evaluation plus unseen dataset; participant separation: Unclear; domain shift: Yes</w:t>
            </w:r>
          </w:p>
        </w:tc>
        <w:tc>
          <w:tcPr>
            <w:tcW w:type="dxa" w:w="2948"/>
          </w:tcPr>
          <w:p>
            <w:pPr>
              <w:spacing w:after="0"/>
            </w:pPr>
            <w:r>
              <w:rPr>
                <w:b w:val="0"/>
                <w:sz w:val="13"/>
              </w:rPr>
              <w:t>Diagnostic metrics reported in the source; exact dataset-specific point estimates NR</w:t>
            </w:r>
          </w:p>
        </w:tc>
        <w:tc>
          <w:tcPr>
            <w:tcW w:type="dxa" w:w="3345"/>
          </w:tcPr>
          <w:p>
            <w:pPr>
              <w:spacing w:after="0"/>
            </w:pPr>
            <w:r>
              <w:rPr>
                <w:b w:val="0"/>
                <w:sz w:val="13"/>
              </w:rPr>
              <w:t>The unseen-dataset design supports generalisation, but sample provenance, stage definition, and split details were insufficiently reported.</w:t>
            </w:r>
          </w:p>
        </w:tc>
      </w:tr>
      <w:tr>
        <w:trPr>
          <w:cantSplit/>
        </w:trPr>
        <w:tc>
          <w:tcPr>
            <w:tcW w:type="dxa" w:w="1814"/>
          </w:tcPr>
          <w:p>
            <w:pPr>
              <w:spacing w:after="0"/>
            </w:pPr>
            <w:r>
              <w:rPr>
                <w:b w:val="0"/>
                <w:sz w:val="13"/>
              </w:rPr>
              <w:t>S18; Naidana et al., 2025 [53]</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and mixed-source validation; participant separation: Image/eye-level; domain shift: No</w:t>
            </w:r>
          </w:p>
        </w:tc>
        <w:tc>
          <w:tcPr>
            <w:tcW w:type="dxa" w:w="2948"/>
          </w:tcPr>
          <w:p>
            <w:pPr>
              <w:spacing w:after="0"/>
            </w:pPr>
            <w:r>
              <w:rPr>
                <w:b w:val="0"/>
                <w:sz w:val="13"/>
              </w:rPr>
              <w:t>ACRIMA performance approximately 97% across headline measures</w:t>
            </w:r>
          </w:p>
        </w:tc>
        <w:tc>
          <w:tcPr>
            <w:tcW w:type="dxa" w:w="3345"/>
          </w:tcPr>
          <w:p>
            <w:pPr>
              <w:spacing w:after="0"/>
            </w:pPr>
            <w:r>
              <w:rPr>
                <w:b w:val="0"/>
                <w:sz w:val="13"/>
              </w:rPr>
              <w:t>Potential leakage, inconsistent sample reporting, and mixing of label sources make the high accuracy difficult to interpret.</w:t>
            </w:r>
          </w:p>
        </w:tc>
      </w:tr>
      <w:tr>
        <w:trPr>
          <w:cantSplit/>
        </w:trPr>
        <w:tc>
          <w:tcPr>
            <w:tcW w:type="dxa" w:w="1814"/>
          </w:tcPr>
          <w:p>
            <w:pPr>
              <w:spacing w:after="0"/>
            </w:pPr>
            <w:r>
              <w:rPr>
                <w:b w:val="0"/>
                <w:sz w:val="13"/>
              </w:rPr>
              <w:t>S19; Guntreddi and Sivakumar, 2025 [54]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Accuracy 82.43%; macro F1 0.82; AUC 0.93; glaucoma precision 0.90, recall 0.73, F1 0.81</w:t>
            </w:r>
          </w:p>
        </w:tc>
        <w:tc>
          <w:tcPr>
            <w:tcW w:type="dxa" w:w="3345"/>
          </w:tcPr>
          <w:p>
            <w:pPr>
              <w:spacing w:after="0"/>
            </w:pPr>
            <w:r>
              <w:rPr>
                <w:b w:val="0"/>
                <w:sz w:val="13"/>
              </w:rPr>
              <w:t>Single repository, image-level allocation, and uncertain label provenance limit the apparent ensemble performance.</w:t>
            </w:r>
          </w:p>
        </w:tc>
      </w:tr>
      <w:tr>
        <w:trPr>
          <w:cantSplit/>
        </w:trPr>
        <w:tc>
          <w:tcPr>
            <w:tcW w:type="dxa" w:w="1814"/>
          </w:tcPr>
          <w:p>
            <w:pPr>
              <w:spacing w:after="0"/>
            </w:pPr>
            <w:r>
              <w:rPr>
                <w:b w:val="0"/>
                <w:sz w:val="13"/>
              </w:rPr>
              <w:t>S20; Jisy et al., 2025 [55]</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Best ViT-B/32: accuracy 96.19%; sensitivity 99.01%; specificity 93.12%; precision 94.02%; F1 0.96; MCC 0.92; AUC 0.995 (0.991–0.998)</w:t>
            </w:r>
          </w:p>
        </w:tc>
        <w:tc>
          <w:tcPr>
            <w:tcW w:type="dxa" w:w="3345"/>
          </w:tcPr>
          <w:p>
            <w:pPr>
              <w:spacing w:after="0"/>
            </w:pPr>
            <w:r>
              <w:rPr>
                <w:b w:val="0"/>
                <w:sz w:val="13"/>
              </w:rPr>
              <w:t>Very small source cohort and augmentation before an apparently image-level evaluation create substantial optimism risk.</w:t>
            </w:r>
          </w:p>
        </w:tc>
      </w:tr>
      <w:tr>
        <w:trPr>
          <w:cantSplit/>
        </w:trPr>
        <w:tc>
          <w:tcPr>
            <w:tcW w:type="dxa" w:w="1814"/>
          </w:tcPr>
          <w:p>
            <w:pPr>
              <w:spacing w:after="0"/>
            </w:pPr>
            <w:r>
              <w:rPr>
                <w:b w:val="0"/>
                <w:sz w:val="13"/>
              </w:rPr>
              <w:t>S21; Krishnamoorthy et al., 2025 [56]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Headline accuracy 94.6%, sensitivity 93.8%, specificity 95.2%, F1 0.95, AUC 0.96; ablation table reports lower full-model accuracy of 91.5%</w:t>
            </w:r>
          </w:p>
        </w:tc>
        <w:tc>
          <w:tcPr>
            <w:tcW w:type="dxa" w:w="3345"/>
          </w:tcPr>
          <w:p>
            <w:pPr>
              <w:spacing w:after="0"/>
            </w:pPr>
            <w:r>
              <w:rPr>
                <w:b w:val="0"/>
                <w:sz w:val="13"/>
              </w:rPr>
              <w:t>Dataset provenance and internally conflicting performance tables prevent confident interpretation.</w:t>
            </w:r>
          </w:p>
        </w:tc>
      </w:tr>
      <w:tr>
        <w:trPr>
          <w:cantSplit/>
        </w:trPr>
        <w:tc>
          <w:tcPr>
            <w:tcW w:type="dxa" w:w="1814"/>
          </w:tcPr>
          <w:p>
            <w:pPr>
              <w:spacing w:after="0"/>
            </w:pPr>
            <w:r>
              <w:rPr>
                <w:b w:val="0"/>
                <w:sz w:val="13"/>
              </w:rPr>
              <w:t>S22; Sivakumar and Penkova, 2025 [57]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Best Swin–ResNet accuracy 99.4%; glaucoma F1 0.993; non-glaucoma F1 0.995</w:t>
            </w:r>
          </w:p>
        </w:tc>
        <w:tc>
          <w:tcPr>
            <w:tcW w:type="dxa" w:w="3345"/>
          </w:tcPr>
          <w:p>
            <w:pPr>
              <w:spacing w:after="0"/>
            </w:pPr>
            <w:r>
              <w:rPr>
                <w:b w:val="0"/>
                <w:sz w:val="13"/>
              </w:rPr>
              <w:t>The source, reference standard, data linkage, and split are not reproducible despite near-perfect reported performance.</w:t>
            </w:r>
          </w:p>
        </w:tc>
      </w:tr>
      <w:tr>
        <w:trPr>
          <w:cantSplit/>
        </w:trPr>
        <w:tc>
          <w:tcPr>
            <w:tcW w:type="dxa" w:w="1814"/>
          </w:tcPr>
          <w:p>
            <w:pPr>
              <w:spacing w:after="0"/>
            </w:pPr>
            <w:r>
              <w:rPr>
                <w:b w:val="0"/>
                <w:sz w:val="13"/>
              </w:rPr>
              <w:t>S23; Alasmari et al., 2025 [58]</w:t>
            </w:r>
          </w:p>
        </w:tc>
        <w:tc>
          <w:tcPr>
            <w:tcW w:type="dxa" w:w="1531"/>
          </w:tcPr>
          <w:p>
            <w:pPr>
              <w:spacing w:after="0"/>
            </w:pPr>
            <w:r>
              <w:rPr>
                <w:b w:val="0"/>
                <w:sz w:val="13"/>
              </w:rPr>
              <w:t>Disc/cup segmentation followed by vCDR-threshold classification</w:t>
            </w:r>
          </w:p>
        </w:tc>
        <w:tc>
          <w:tcPr>
            <w:tcW w:type="dxa" w:w="2041"/>
          </w:tcPr>
          <w:p>
            <w:pPr>
              <w:spacing w:after="0"/>
            </w:pPr>
            <w:r>
              <w:rPr>
                <w:b w:val="0"/>
                <w:sz w:val="13"/>
              </w:rPr>
              <w:t>(a) Glaucoma-only task: Disc/cup segmentation followed by vCDR-threshold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development/evaluation; participant separation: Image/eye-level; domain shift: No</w:t>
            </w:r>
          </w:p>
        </w:tc>
        <w:tc>
          <w:tcPr>
            <w:tcW w:type="dxa" w:w="2948"/>
          </w:tcPr>
          <w:p>
            <w:pPr>
              <w:spacing w:after="0"/>
            </w:pPr>
            <w:r>
              <w:rPr>
                <w:b w:val="0"/>
                <w:sz w:val="13"/>
              </w:rPr>
              <w:t>Disc/cup IoU 88.29%/91.09%; Dice 93.83%/93.71%; classification accuracy 84.03%, F1 84.56%</w:t>
            </w:r>
          </w:p>
        </w:tc>
        <w:tc>
          <w:tcPr>
            <w:tcW w:type="dxa" w:w="3345"/>
          </w:tcPr>
          <w:p>
            <w:pPr>
              <w:spacing w:after="0"/>
            </w:pPr>
            <w:r>
              <w:rPr>
                <w:b w:val="0"/>
                <w:sz w:val="13"/>
              </w:rPr>
              <w:t>Transparent biomarker derivation was offset by image-level allocation and circular surrogate-outcome classification.</w:t>
            </w:r>
          </w:p>
        </w:tc>
      </w:tr>
      <w:tr>
        <w:trPr>
          <w:cantSplit/>
        </w:trPr>
        <w:tc>
          <w:tcPr>
            <w:tcW w:type="dxa" w:w="1814"/>
          </w:tcPr>
          <w:p>
            <w:pPr>
              <w:spacing w:after="0"/>
            </w:pPr>
            <w:r>
              <w:rPr>
                <w:b w:val="0"/>
                <w:sz w:val="13"/>
              </w:rPr>
              <w:t>S24; Liao et al., 2025 [59]</w:t>
            </w:r>
          </w:p>
        </w:tc>
        <w:tc>
          <w:tcPr>
            <w:tcW w:type="dxa" w:w="1531"/>
          </w:tcPr>
          <w:p>
            <w:pPr>
              <w:spacing w:after="0"/>
            </w:pPr>
            <w:r>
              <w:rPr>
                <w:b w:val="0"/>
                <w:sz w:val="13"/>
              </w:rPr>
              <w:t>Referable-glaucoma classification under synthetic augmentation</w:t>
            </w:r>
          </w:p>
        </w:tc>
        <w:tc>
          <w:tcPr>
            <w:tcW w:type="dxa" w:w="2041"/>
          </w:tcPr>
          <w:p>
            <w:pPr>
              <w:spacing w:after="0"/>
            </w:pPr>
            <w:r>
              <w:rPr>
                <w:b w:val="0"/>
                <w:sz w:val="13"/>
              </w:rPr>
              <w:t>(a) Glaucoma-only task: Referable-glaucoma classification under synthetic augmentation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Sensitivity 0.8182 real-only, 0.8615 with 10% synthetic, and 0.8788 with 50%; specificity, accuracy, and AUC declined beyond 10%</w:t>
            </w:r>
          </w:p>
        </w:tc>
        <w:tc>
          <w:tcPr>
            <w:tcW w:type="dxa" w:w="3345"/>
          </w:tcPr>
          <w:p>
            <w:pPr>
              <w:spacing w:after="0"/>
            </w:pPr>
            <w:r>
              <w:rPr>
                <w:b w:val="0"/>
                <w:sz w:val="13"/>
              </w:rPr>
              <w:t>The study isolates augmentation effects but does not establish independent clinical performance; synthetic fraction trades sensitivity against other metrics.</w:t>
            </w:r>
          </w:p>
        </w:tc>
      </w:tr>
      <w:tr>
        <w:trPr>
          <w:cantSplit/>
        </w:trPr>
        <w:tc>
          <w:tcPr>
            <w:tcW w:type="dxa" w:w="1814"/>
          </w:tcPr>
          <w:p>
            <w:pPr>
              <w:spacing w:after="0"/>
            </w:pPr>
            <w:r>
              <w:rPr>
                <w:b w:val="0"/>
                <w:sz w:val="13"/>
              </w:rPr>
              <w:t>S25; Lv et al., 2025 [60]</w:t>
            </w:r>
          </w:p>
        </w:tc>
        <w:tc>
          <w:tcPr>
            <w:tcW w:type="dxa" w:w="1531"/>
          </w:tcPr>
          <w:p>
            <w:pPr>
              <w:spacing w:after="0"/>
            </w:pPr>
            <w:r>
              <w:rPr>
                <w:b w:val="0"/>
                <w:sz w:val="13"/>
              </w:rPr>
              <w:t>Disc/cup segmentation and vCDR-based binary screening</w:t>
            </w:r>
          </w:p>
        </w:tc>
        <w:tc>
          <w:tcPr>
            <w:tcW w:type="dxa" w:w="2041"/>
          </w:tcPr>
          <w:p>
            <w:pPr>
              <w:spacing w:after="0"/>
            </w:pPr>
            <w:r>
              <w:rPr>
                <w:b w:val="0"/>
                <w:sz w:val="13"/>
              </w:rPr>
              <w:t>(a) Glaucoma-only task: Disc/cup segmentation and vCDR-based binary screening</w:t>
            </w:r>
          </w:p>
        </w:tc>
        <w:tc>
          <w:tcPr>
            <w:tcW w:type="dxa" w:w="1304"/>
          </w:tcPr>
          <w:p>
            <w:pPr>
              <w:spacing w:after="0"/>
            </w:pPr>
            <w:r>
              <w:rPr>
                <w:b w:val="0"/>
                <w:sz w:val="13"/>
              </w:rPr>
              <w:t>Same-source held-out/fixed partition</w:t>
            </w:r>
          </w:p>
        </w:tc>
        <w:tc>
          <w:tcPr>
            <w:tcW w:type="dxa" w:w="1928"/>
          </w:tcPr>
          <w:p>
            <w:pPr>
              <w:spacing w:after="0"/>
            </w:pPr>
            <w:r>
              <w:rPr>
                <w:b w:val="0"/>
                <w:sz w:val="13"/>
              </w:rPr>
              <w:t>Internal classification; external biomarker segmentation only; participant separation: Unclear; domain shift: No</w:t>
            </w:r>
          </w:p>
        </w:tc>
        <w:tc>
          <w:tcPr>
            <w:tcW w:type="dxa" w:w="2948"/>
          </w:tcPr>
          <w:p>
            <w:pPr>
              <w:spacing w:after="0"/>
            </w:pPr>
            <w:r>
              <w:rPr>
                <w:b w:val="0"/>
                <w:sz w:val="13"/>
              </w:rPr>
              <w:t>Classification accuracy 84.09%, recall 97.37%, F1 90.24%; CDR correlation 0.919 and MAE 0.0387</w:t>
            </w:r>
          </w:p>
        </w:tc>
        <w:tc>
          <w:tcPr>
            <w:tcW w:type="dxa" w:w="3345"/>
          </w:tcPr>
          <w:p>
            <w:pPr>
              <w:spacing w:after="0"/>
            </w:pPr>
            <w:r>
              <w:rPr>
                <w:b w:val="0"/>
                <w:sz w:val="13"/>
              </w:rPr>
              <w:t>Strong biomarker agreement does not validate a clinical glaucoma outcome; external testing concerned segmentation rather than diagnosis.</w:t>
            </w:r>
          </w:p>
        </w:tc>
      </w:tr>
      <w:tr>
        <w:trPr>
          <w:cantSplit/>
        </w:trPr>
        <w:tc>
          <w:tcPr>
            <w:tcW w:type="dxa" w:w="1814"/>
          </w:tcPr>
          <w:p>
            <w:pPr>
              <w:spacing w:after="0"/>
            </w:pPr>
            <w:r>
              <w:rPr>
                <w:b w:val="0"/>
                <w:sz w:val="13"/>
              </w:rPr>
              <w:t>S26; Prakash and Vinoth Kumar, 2025 [61]</w:t>
            </w:r>
          </w:p>
        </w:tc>
        <w:tc>
          <w:tcPr>
            <w:tcW w:type="dxa" w:w="1531"/>
          </w:tcPr>
          <w:p>
            <w:pPr>
              <w:spacing w:after="0"/>
            </w:pPr>
            <w:r>
              <w:rPr>
                <w:b w:val="0"/>
                <w:sz w:val="13"/>
              </w:rPr>
              <w:t>Disc/cup segmentation and binary glaucoma classification</w:t>
            </w:r>
          </w:p>
        </w:tc>
        <w:tc>
          <w:tcPr>
            <w:tcW w:type="dxa" w:w="2041"/>
          </w:tcPr>
          <w:p>
            <w:pPr>
              <w:spacing w:after="0"/>
            </w:pPr>
            <w:r>
              <w:rPr>
                <w:b w:val="0"/>
                <w:sz w:val="13"/>
              </w:rPr>
              <w:t>(a) Glaucoma-only task: Disc/cup segmentation and binary 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and cross-dataset evaluation; participant separation: Image/eye-level; domain shift: Yes</w:t>
            </w:r>
          </w:p>
        </w:tc>
        <w:tc>
          <w:tcPr>
            <w:tcW w:type="dxa" w:w="2948"/>
          </w:tcPr>
          <w:p>
            <w:pPr>
              <w:spacing w:after="0"/>
            </w:pPr>
            <w:r>
              <w:rPr>
                <w:b w:val="0"/>
                <w:sz w:val="13"/>
              </w:rPr>
              <w:t>RIM-ONE accuracy 98.7%, AUC 98.32%; ORIGA-Light accuracy 99.1%; reciprocal cross-dataset accuracy approximately 97%</w:t>
            </w:r>
          </w:p>
        </w:tc>
        <w:tc>
          <w:tcPr>
            <w:tcW w:type="dxa" w:w="3345"/>
          </w:tcPr>
          <w:p>
            <w:pPr>
              <w:spacing w:after="0"/>
            </w:pPr>
            <w:r>
              <w:rPr>
                <w:b w:val="0"/>
                <w:sz w:val="13"/>
              </w:rPr>
              <w:t>Cross-dataset experiments were valuable, but very small repositories, surrogate labels, and internal table inconsistencies imply substantial optimism.</w:t>
            </w:r>
          </w:p>
        </w:tc>
      </w:tr>
      <w:tr>
        <w:trPr>
          <w:cantSplit/>
        </w:trPr>
        <w:tc>
          <w:tcPr>
            <w:tcW w:type="dxa" w:w="1814"/>
          </w:tcPr>
          <w:p>
            <w:pPr>
              <w:spacing w:after="0"/>
            </w:pPr>
            <w:r>
              <w:rPr>
                <w:b w:val="0"/>
                <w:sz w:val="13"/>
              </w:rPr>
              <w:t>S27; AlMohimeed, 2025 [62]</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precision, recall, and F1</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97.163%; glaucoma precision 95.588%, recall 96.535%, F1 96.059%</w:t>
            </w:r>
          </w:p>
        </w:tc>
        <w:tc>
          <w:tcPr>
            <w:tcW w:type="dxa" w:w="3345"/>
          </w:tcPr>
          <w:p>
            <w:pPr>
              <w:spacing w:after="0"/>
            </w:pPr>
            <w:r>
              <w:rPr>
                <w:b w:val="0"/>
                <w:sz w:val="13"/>
              </w:rPr>
              <w:t>Class-specific metrics were extractable, but image-level benchmark evaluation cannot establish clinical screening performance.</w:t>
            </w:r>
          </w:p>
        </w:tc>
      </w:tr>
      <w:tr>
        <w:trPr>
          <w:cantSplit/>
        </w:trPr>
        <w:tc>
          <w:tcPr>
            <w:tcW w:type="dxa" w:w="1814"/>
          </w:tcPr>
          <w:p>
            <w:pPr>
              <w:spacing w:after="0"/>
            </w:pPr>
            <w:r>
              <w:rPr>
                <w:b w:val="0"/>
                <w:sz w:val="13"/>
              </w:rPr>
              <w:t>S28; Lin, 2025 [63]</w:t>
            </w:r>
          </w:p>
        </w:tc>
        <w:tc>
          <w:tcPr>
            <w:tcW w:type="dxa" w:w="1531"/>
          </w:tcPr>
          <w:p>
            <w:pPr>
              <w:spacing w:after="0"/>
            </w:pPr>
            <w:r>
              <w:rPr>
                <w:b w:val="0"/>
                <w:sz w:val="13"/>
              </w:rPr>
              <w:t>Four-class eye-disease classification</w:t>
            </w:r>
          </w:p>
        </w:tc>
        <w:tc>
          <w:tcPr>
            <w:tcW w:type="dxa" w:w="2041"/>
          </w:tcPr>
          <w:p>
            <w:pPr>
              <w:spacing w:after="0"/>
            </w:pPr>
            <w:r>
              <w:rPr>
                <w:b w:val="0"/>
                <w:sz w:val="13"/>
              </w:rPr>
              <w:t>(b) Glaucoma-class sensitivity, specificity, precision, F1, and AUC</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95.97%; reported glaucoma sensitivity 98.85%, specificity 97.87%, precision 97.73%, F1 approximately 98.29%, AUC 1.00; class counts are inconsistent</w:t>
            </w:r>
          </w:p>
        </w:tc>
        <w:tc>
          <w:tcPr>
            <w:tcW w:type="dxa" w:w="3345"/>
          </w:tcPr>
          <w:p>
            <w:pPr>
              <w:spacing w:after="0"/>
            </w:pPr>
            <w:r>
              <w:rPr>
                <w:b w:val="0"/>
                <w:sz w:val="13"/>
              </w:rPr>
              <w:t>Glaucoma confusion-matrix totals do not reconcile with the stated test set; performance is therefore descriptive only.</w:t>
            </w:r>
          </w:p>
        </w:tc>
      </w:tr>
      <w:tr>
        <w:trPr>
          <w:cantSplit/>
        </w:trPr>
        <w:tc>
          <w:tcPr>
            <w:tcW w:type="dxa" w:w="1814"/>
          </w:tcPr>
          <w:p>
            <w:pPr>
              <w:spacing w:after="0"/>
            </w:pPr>
            <w:r>
              <w:rPr>
                <w:b w:val="0"/>
                <w:sz w:val="13"/>
              </w:rPr>
              <w:t>S29; Gandhi et al., 2025 [64]</w:t>
            </w:r>
          </w:p>
        </w:tc>
        <w:tc>
          <w:tcPr>
            <w:tcW w:type="dxa" w:w="1531"/>
          </w:tcPr>
          <w:p>
            <w:pPr>
              <w:spacing w:after="0"/>
            </w:pPr>
            <w:r>
              <w:rPr>
                <w:b w:val="0"/>
                <w:sz w:val="13"/>
              </w:rPr>
              <w:t>Binary glaucoma diagnosis</w:t>
            </w:r>
          </w:p>
        </w:tc>
        <w:tc>
          <w:tcPr>
            <w:tcW w:type="dxa" w:w="2041"/>
          </w:tcPr>
          <w:p>
            <w:pPr>
              <w:spacing w:after="0"/>
            </w:pPr>
            <w:r>
              <w:rPr>
                <w:b w:val="0"/>
                <w:sz w:val="13"/>
              </w:rPr>
              <w:t>(a) Glaucoma-only task: Binary glaucoma diagnosis</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96%; sensitivity 94%; specificity 96%; AUC 0.97</w:t>
            </w:r>
          </w:p>
        </w:tc>
        <w:tc>
          <w:tcPr>
            <w:tcW w:type="dxa" w:w="3345"/>
          </w:tcPr>
          <w:p>
            <w:pPr>
              <w:spacing w:after="0"/>
            </w:pPr>
            <w:r>
              <w:rPr>
                <w:b w:val="0"/>
                <w:sz w:val="13"/>
              </w:rPr>
              <w:t>Sample provenance, cross-modality matching, reference standard, and several complexity/explainability claims could not be verified.</w:t>
            </w:r>
          </w:p>
        </w:tc>
      </w:tr>
      <w:tr>
        <w:trPr>
          <w:cantSplit/>
        </w:trPr>
        <w:tc>
          <w:tcPr>
            <w:tcW w:type="dxa" w:w="1814"/>
          </w:tcPr>
          <w:p>
            <w:pPr>
              <w:spacing w:after="0"/>
            </w:pPr>
            <w:r>
              <w:rPr>
                <w:b w:val="0"/>
                <w:sz w:val="13"/>
              </w:rPr>
              <w:t>S30; Rieck et al., 2025 [65]</w:t>
            </w:r>
          </w:p>
        </w:tc>
        <w:tc>
          <w:tcPr>
            <w:tcW w:type="dxa" w:w="1531"/>
          </w:tcPr>
          <w:p>
            <w:pPr>
              <w:spacing w:after="0"/>
            </w:pPr>
            <w:r>
              <w:rPr>
                <w:b w:val="0"/>
                <w:sz w:val="13"/>
              </w:rPr>
              <w:t>Ten-class eye-disease classification</w:t>
            </w:r>
          </w:p>
        </w:tc>
        <w:tc>
          <w:tcPr>
            <w:tcW w:type="dxa" w:w="2041"/>
          </w:tcPr>
          <w:p>
            <w:pPr>
              <w:spacing w:after="0"/>
            </w:pPr>
            <w:r>
              <w:rPr>
                <w:b w:val="0"/>
                <w:sz w:val="13"/>
              </w:rPr>
              <w:t>(b) Glaucoma-class true-positive rate</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Unclear; domain shift: No</w:t>
            </w:r>
          </w:p>
        </w:tc>
        <w:tc>
          <w:tcPr>
            <w:tcW w:type="dxa" w:w="2948"/>
          </w:tcPr>
          <w:p>
            <w:pPr>
              <w:spacing w:after="0"/>
            </w:pPr>
            <w:r>
              <w:rPr>
                <w:b w:val="0"/>
                <w:sz w:val="13"/>
              </w:rPr>
              <w:t>Glaucoma true-positive rate 61.23%; no second glaucoma-specific measure or reconstructable 2×2 table</w:t>
            </w:r>
          </w:p>
        </w:tc>
        <w:tc>
          <w:tcPr>
            <w:tcW w:type="dxa" w:w="3345"/>
          </w:tcPr>
          <w:p>
            <w:pPr>
              <w:spacing w:after="0"/>
            </w:pPr>
            <w:r>
              <w:rPr>
                <w:b w:val="0"/>
                <w:sz w:val="13"/>
              </w:rPr>
              <w:t>Eligible glaucoma-specific evidence was limited to one class sensitivity estimate; the report cannot support balanced accuracy or screening utility.</w:t>
            </w:r>
          </w:p>
        </w:tc>
      </w:tr>
      <w:tr>
        <w:trPr>
          <w:cantSplit/>
        </w:trPr>
        <w:tc>
          <w:tcPr>
            <w:tcW w:type="dxa" w:w="1814"/>
          </w:tcPr>
          <w:p>
            <w:pPr>
              <w:spacing w:after="0"/>
            </w:pPr>
            <w:r>
              <w:rPr>
                <w:b w:val="0"/>
                <w:sz w:val="13"/>
              </w:rPr>
              <w:t>S31; Hou et al., 2026 [66]</w:t>
            </w:r>
          </w:p>
        </w:tc>
        <w:tc>
          <w:tcPr>
            <w:tcW w:type="dxa" w:w="1531"/>
          </w:tcPr>
          <w:p>
            <w:pPr>
              <w:spacing w:after="0"/>
            </w:pPr>
            <w:r>
              <w:rPr>
                <w:b w:val="0"/>
                <w:sz w:val="13"/>
              </w:rPr>
              <w:t>Binary glaucoma classification within a multidisease study</w:t>
            </w:r>
          </w:p>
        </w:tc>
        <w:tc>
          <w:tcPr>
            <w:tcW w:type="dxa" w:w="2041"/>
          </w:tcPr>
          <w:p>
            <w:pPr>
              <w:spacing w:after="0"/>
            </w:pPr>
            <w:r>
              <w:rPr>
                <w:b w:val="0"/>
                <w:sz w:val="13"/>
              </w:rPr>
              <w:t>(a) Glaucoma-only task: Binary glaucoma classification within a multidisease study</w:t>
            </w:r>
          </w:p>
        </w:tc>
        <w:tc>
          <w:tcPr>
            <w:tcW w:type="dxa" w:w="1304"/>
          </w:tcPr>
          <w:p>
            <w:pPr>
              <w:spacing w:after="0"/>
            </w:pPr>
            <w:r>
              <w:rPr>
                <w:b w:val="0"/>
                <w:sz w:val="13"/>
              </w:rPr>
              <w:t>External/cross-dataset evaluation</w:t>
            </w:r>
          </w:p>
        </w:tc>
        <w:tc>
          <w:tcPr>
            <w:tcW w:type="dxa" w:w="1928"/>
          </w:tcPr>
          <w:p>
            <w:pPr>
              <w:spacing w:after="0"/>
            </w:pPr>
            <w:r>
              <w:rPr>
                <w:b w:val="0"/>
                <w:sz w:val="13"/>
              </w:rPr>
              <w:t>External cross-dataset evaluation; participant separation: Unclear; domain shift: Yes</w:t>
            </w:r>
          </w:p>
        </w:tc>
        <w:tc>
          <w:tcPr>
            <w:tcW w:type="dxa" w:w="2948"/>
          </w:tcPr>
          <w:p>
            <w:pPr>
              <w:spacing w:after="0"/>
            </w:pPr>
            <w:r>
              <w:rPr>
                <w:b w:val="0"/>
                <w:sz w:val="13"/>
              </w:rPr>
              <w:t>Internal DINOv2-B/S AUC 0.958 (0.955–0.961) vs RETFound 0.940 (0.936–0.945); external DINOv2-L AUC 0.625 vs RETFound 0.558</w:t>
            </w:r>
          </w:p>
        </w:tc>
        <w:tc>
          <w:tcPr>
            <w:tcW w:type="dxa" w:w="3345"/>
          </w:tcPr>
          <w:p>
            <w:pPr>
              <w:spacing w:after="0"/>
            </w:pPr>
            <w:r>
              <w:rPr>
                <w:b w:val="0"/>
                <w:sz w:val="13"/>
              </w:rPr>
              <w:t>The large external domain drop demonstrates that excellent internal discrimination did not transport across datasets.</w:t>
            </w:r>
          </w:p>
        </w:tc>
      </w:tr>
      <w:tr>
        <w:trPr>
          <w:cantSplit/>
        </w:trPr>
        <w:tc>
          <w:tcPr>
            <w:tcW w:type="dxa" w:w="1814"/>
          </w:tcPr>
          <w:p>
            <w:pPr>
              <w:spacing w:after="0"/>
            </w:pPr>
            <w:r>
              <w:rPr>
                <w:b w:val="0"/>
                <w:sz w:val="13"/>
              </w:rPr>
              <w:t>S32; Abramovich et al., 2026 [67]</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Internal–external/leave-one-domain-out</w:t>
            </w:r>
          </w:p>
        </w:tc>
        <w:tc>
          <w:tcPr>
            <w:tcW w:type="dxa" w:w="1928"/>
          </w:tcPr>
          <w:p>
            <w:pPr>
              <w:spacing w:after="0"/>
            </w:pPr>
            <w:r>
              <w:rPr>
                <w:b w:val="0"/>
                <w:sz w:val="13"/>
              </w:rPr>
              <w:t>Internal-external/leave-one-domain-out validation; participant separation: Participant-level; domain shift: Yes</w:t>
            </w:r>
          </w:p>
        </w:tc>
        <w:tc>
          <w:tcPr>
            <w:tcW w:type="dxa" w:w="2948"/>
          </w:tcPr>
          <w:p>
            <w:pPr>
              <w:spacing w:after="0"/>
            </w:pPr>
            <w:r>
              <w:rPr>
                <w:b w:val="0"/>
                <w:sz w:val="13"/>
              </w:rPr>
              <w:t>AUC across domains approximately 0.88–0.99</w:t>
            </w:r>
          </w:p>
        </w:tc>
        <w:tc>
          <w:tcPr>
            <w:tcW w:type="dxa" w:w="3345"/>
          </w:tcPr>
          <w:p>
            <w:pPr>
              <w:spacing w:after="0"/>
            </w:pPr>
            <w:r>
              <w:rPr>
                <w:b w:val="0"/>
                <w:sz w:val="13"/>
              </w:rPr>
              <w:t>Large, multidomain evaluation and participant grouping were strengths, but target-label heterogeneity and missing identifiers in some sources remain important.</w:t>
            </w:r>
          </w:p>
        </w:tc>
      </w:tr>
      <w:tr>
        <w:trPr>
          <w:cantSplit/>
        </w:trPr>
        <w:tc>
          <w:tcPr>
            <w:tcW w:type="dxa" w:w="1814"/>
          </w:tcPr>
          <w:p>
            <w:pPr>
              <w:spacing w:after="0"/>
            </w:pPr>
            <w:r>
              <w:rPr>
                <w:b w:val="0"/>
                <w:sz w:val="13"/>
              </w:rPr>
              <w:t>S33; Geetha and Hema, 2026 [68]</w:t>
            </w:r>
          </w:p>
        </w:tc>
        <w:tc>
          <w:tcPr>
            <w:tcW w:type="dxa" w:w="1531"/>
          </w:tcPr>
          <w:p>
            <w:pPr>
              <w:spacing w:after="0"/>
            </w:pPr>
            <w:r>
              <w:rPr>
                <w:b w:val="0"/>
                <w:sz w:val="13"/>
              </w:rPr>
              <w:t>Joint disease and glaucoma-stage classification</w:t>
            </w:r>
          </w:p>
        </w:tc>
        <w:tc>
          <w:tcPr>
            <w:tcW w:type="dxa" w:w="2041"/>
          </w:tcPr>
          <w:p>
            <w:pPr>
              <w:spacing w:after="0"/>
            </w:pPr>
            <w:r>
              <w:rPr>
                <w:b w:val="0"/>
                <w:sz w:val="13"/>
              </w:rPr>
              <w:t>(b) Glaucoma-stage values (early, moderate, advanced) of unclear metric type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98.4%, F1 0.94; class AUCs &gt;0.97; stage values reported as early 96.8%, moderate 97.9%, advanced 98.3% without clear metric identity</w:t>
            </w:r>
          </w:p>
        </w:tc>
        <w:tc>
          <w:tcPr>
            <w:tcW w:type="dxa" w:w="3345"/>
          </w:tcPr>
          <w:p>
            <w:pPr>
              <w:spacing w:after="0"/>
            </w:pPr>
            <w:r>
              <w:rPr>
                <w:b w:val="0"/>
                <w:sz w:val="13"/>
              </w:rPr>
              <w:t>Claimed glaucoma composition and stage labels cannot be reconstructed from the named source datasets; results were retained only narratively.</w:t>
            </w:r>
          </w:p>
        </w:tc>
      </w:tr>
      <w:tr>
        <w:trPr>
          <w:cantSplit/>
        </w:trPr>
        <w:tc>
          <w:tcPr>
            <w:tcW w:type="dxa" w:w="1814"/>
          </w:tcPr>
          <w:p>
            <w:pPr>
              <w:spacing w:after="0"/>
            </w:pPr>
            <w:r>
              <w:rPr>
                <w:b w:val="0"/>
                <w:sz w:val="13"/>
              </w:rPr>
              <w:t>S34; Bolo et al., 2026 [69]</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clinical set; participant separation: Participant-level; domain shift: Yes</w:t>
            </w:r>
          </w:p>
        </w:tc>
        <w:tc>
          <w:tcPr>
            <w:tcW w:type="dxa" w:w="2948"/>
          </w:tcPr>
          <w:p>
            <w:pPr>
              <w:spacing w:after="0"/>
            </w:pPr>
            <w:r>
              <w:rPr>
                <w:b w:val="0"/>
                <w:sz w:val="13"/>
              </w:rPr>
              <w:t>RETFound full-image internal AUC 0.915 (0.898–0.930); cropped AUC 0.911; external performance reported separately</w:t>
            </w:r>
          </w:p>
        </w:tc>
        <w:tc>
          <w:tcPr>
            <w:tcW w:type="dxa" w:w="3345"/>
          </w:tcPr>
          <w:p>
            <w:pPr>
              <w:spacing w:after="0"/>
            </w:pPr>
            <w:r>
              <w:rPr>
                <w:b w:val="0"/>
                <w:sz w:val="13"/>
              </w:rPr>
              <w:t>Robust evaluation design, but the target was a morphologic referral threshold rather than clinical glaucoma.</w:t>
            </w:r>
          </w:p>
        </w:tc>
      </w:tr>
      <w:tr>
        <w:trPr>
          <w:cantSplit/>
        </w:trPr>
        <w:tc>
          <w:tcPr>
            <w:tcW w:type="dxa" w:w="1814"/>
          </w:tcPr>
          <w:p>
            <w:pPr>
              <w:spacing w:after="0"/>
            </w:pPr>
            <w:r>
              <w:rPr>
                <w:b w:val="0"/>
                <w:sz w:val="13"/>
              </w:rPr>
              <w:t>S35; Chuter et al., 2026 [70]</w:t>
            </w:r>
          </w:p>
        </w:tc>
        <w:tc>
          <w:tcPr>
            <w:tcW w:type="dxa" w:w="1531"/>
          </w:tcPr>
          <w:p>
            <w:pPr>
              <w:spacing w:after="0"/>
            </w:pPr>
            <w:r>
              <w:rPr>
                <w:b w:val="0"/>
                <w:sz w:val="13"/>
              </w:rPr>
              <w:t>Binary GON detection with severity analysis</w:t>
            </w:r>
          </w:p>
        </w:tc>
        <w:tc>
          <w:tcPr>
            <w:tcW w:type="dxa" w:w="2041"/>
          </w:tcPr>
          <w:p>
            <w:pPr>
              <w:spacing w:after="0"/>
            </w:pPr>
            <w:r>
              <w:rPr>
                <w:b w:val="0"/>
                <w:sz w:val="13"/>
              </w:rPr>
              <w:t>(a) Glaucoma-only task: Binary GON detection with severity analysis</w:t>
            </w:r>
          </w:p>
        </w:tc>
        <w:tc>
          <w:tcPr>
            <w:tcW w:type="dxa" w:w="1304"/>
          </w:tcPr>
          <w:p>
            <w:pPr>
              <w:spacing w:after="0"/>
            </w:pPr>
            <w:r>
              <w:rPr>
                <w:b w:val="0"/>
                <w:sz w:val="13"/>
              </w:rPr>
              <w:t>Same-source held-out/fixed partition</w:t>
            </w:r>
          </w:p>
        </w:tc>
        <w:tc>
          <w:tcPr>
            <w:tcW w:type="dxa" w:w="1928"/>
          </w:tcPr>
          <w:p>
            <w:pPr>
              <w:spacing w:after="0"/>
            </w:pPr>
            <w:r>
              <w:rPr>
                <w:b w:val="0"/>
                <w:sz w:val="13"/>
              </w:rPr>
              <w:t>Held-out clinical test from the same study network; participant separation: Participant-level; domain shift: No</w:t>
            </w:r>
          </w:p>
        </w:tc>
        <w:tc>
          <w:tcPr>
            <w:tcW w:type="dxa" w:w="2948"/>
          </w:tcPr>
          <w:p>
            <w:pPr>
              <w:spacing w:after="0"/>
            </w:pPr>
            <w:r>
              <w:rPr>
                <w:b w:val="0"/>
                <w:sz w:val="13"/>
              </w:rPr>
              <w:t>Multimodal AUC 0.94 (0.91–0.97), precision 0.96, recall 0.87; OCT AUC 0.93; photograph AUC 0.86</w:t>
            </w:r>
          </w:p>
        </w:tc>
        <w:tc>
          <w:tcPr>
            <w:tcW w:type="dxa" w:w="3345"/>
          </w:tcPr>
          <w:p>
            <w:pPr>
              <w:spacing w:after="0"/>
            </w:pPr>
            <w:r>
              <w:rPr>
                <w:b w:val="0"/>
                <w:sz w:val="13"/>
              </w:rPr>
              <w:t>Patient-level multimodal evaluation and a clinical outcome were strong; independent-centre transportability was not tested.</w:t>
            </w:r>
          </w:p>
        </w:tc>
      </w:tr>
      <w:tr>
        <w:trPr>
          <w:cantSplit/>
        </w:trPr>
        <w:tc>
          <w:tcPr>
            <w:tcW w:type="dxa" w:w="1814"/>
          </w:tcPr>
          <w:p>
            <w:pPr>
              <w:spacing w:after="0"/>
            </w:pPr>
            <w:r>
              <w:rPr>
                <w:b w:val="0"/>
                <w:sz w:val="13"/>
              </w:rPr>
              <w:t>S36; Li et al., 2026 [71]</w:t>
            </w:r>
          </w:p>
        </w:tc>
        <w:tc>
          <w:tcPr>
            <w:tcW w:type="dxa" w:w="1531"/>
          </w:tcPr>
          <w:p>
            <w:pPr>
              <w:spacing w:after="0"/>
            </w:pPr>
            <w:r>
              <w:rPr>
                <w:b w:val="0"/>
                <w:sz w:val="13"/>
              </w:rPr>
              <w:t>Binary POAG screening</w:t>
            </w:r>
          </w:p>
        </w:tc>
        <w:tc>
          <w:tcPr>
            <w:tcW w:type="dxa" w:w="2041"/>
          </w:tcPr>
          <w:p>
            <w:pPr>
              <w:spacing w:after="0"/>
            </w:pPr>
            <w:r>
              <w:rPr>
                <w:b w:val="0"/>
                <w:sz w:val="13"/>
              </w:rPr>
              <w:t>(a) Glaucoma-only task: Binary POAG screening</w:t>
            </w:r>
          </w:p>
        </w:tc>
        <w:tc>
          <w:tcPr>
            <w:tcW w:type="dxa" w:w="1304"/>
          </w:tcPr>
          <w:p>
            <w:pPr>
              <w:spacing w:after="0"/>
            </w:pPr>
            <w:r>
              <w:rPr>
                <w:b w:val="0"/>
                <w:sz w:val="13"/>
              </w:rPr>
              <w:t>External/cross-dataset evaluation</w:t>
            </w:r>
          </w:p>
        </w:tc>
        <w:tc>
          <w:tcPr>
            <w:tcW w:type="dxa" w:w="1928"/>
          </w:tcPr>
          <w:p>
            <w:pPr>
              <w:spacing w:after="0"/>
            </w:pPr>
            <w:r>
              <w:rPr>
                <w:b w:val="0"/>
                <w:sz w:val="13"/>
              </w:rPr>
              <w:t>Internal test plus external Chinese cohort; participant separation: Participant-level; domain shift: Yes</w:t>
            </w:r>
          </w:p>
        </w:tc>
        <w:tc>
          <w:tcPr>
            <w:tcW w:type="dxa" w:w="2948"/>
          </w:tcPr>
          <w:p>
            <w:pPr>
              <w:spacing w:after="0"/>
            </w:pPr>
            <w:r>
              <w:rPr>
                <w:b w:val="0"/>
                <w:sz w:val="13"/>
              </w:rPr>
              <w:t>Final visit-level AUC 0.925 in POAAGG; external AUC 0.920</w:t>
            </w:r>
          </w:p>
        </w:tc>
        <w:tc>
          <w:tcPr>
            <w:tcW w:type="dxa" w:w="3345"/>
          </w:tcPr>
          <w:p>
            <w:pPr>
              <w:spacing w:after="0"/>
            </w:pPr>
            <w:r>
              <w:rPr>
                <w:b w:val="0"/>
                <w:sz w:val="13"/>
              </w:rPr>
              <w:t>Large ancestry-focused clinical cohort, participant separation, and external evaluation support validity; early-stage and calibration evidence remained limited.</w:t>
            </w:r>
          </w:p>
        </w:tc>
      </w:tr>
      <w:tr>
        <w:trPr>
          <w:cantSplit/>
        </w:trPr>
        <w:tc>
          <w:tcPr>
            <w:tcW w:type="dxa" w:w="1814"/>
          </w:tcPr>
          <w:p>
            <w:pPr>
              <w:spacing w:after="0"/>
            </w:pPr>
            <w:r>
              <w:rPr>
                <w:b w:val="0"/>
                <w:sz w:val="13"/>
              </w:rPr>
              <w:t>S37; Tariq et al., 2026 [72]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Review-derived from confusion matrix: accuracy 99.756%, sensitivity 99.464%, specificity 99.943%, F1 99.686%; paper reports accuracy 99.8%</w:t>
            </w:r>
          </w:p>
        </w:tc>
        <w:tc>
          <w:tcPr>
            <w:tcW w:type="dxa" w:w="3345"/>
          </w:tcPr>
          <w:p>
            <w:pPr>
              <w:spacing w:after="0"/>
            </w:pPr>
            <w:r>
              <w:rPr>
                <w:b w:val="0"/>
                <w:sz w:val="13"/>
              </w:rPr>
              <w:t>Composite-source leakage risk and inconsistent class totals make the near-perfect internal estimates unlikely to transport.</w:t>
            </w:r>
          </w:p>
        </w:tc>
      </w:tr>
      <w:tr>
        <w:trPr>
          <w:cantSplit/>
        </w:trPr>
        <w:tc>
          <w:tcPr>
            <w:tcW w:type="dxa" w:w="1814"/>
          </w:tcPr>
          <w:p>
            <w:pPr>
              <w:spacing w:after="0"/>
            </w:pPr>
            <w:r>
              <w:rPr>
                <w:b w:val="0"/>
                <w:sz w:val="13"/>
              </w:rPr>
              <w:t>S38; Bharathi and Shaik, 2026 [73]</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Accuracy 98.68%; precision 97.06%; sensitivity 97.07%; specificity 98.57%; F1 98.31%</w:t>
            </w:r>
          </w:p>
        </w:tc>
        <w:tc>
          <w:tcPr>
            <w:tcW w:type="dxa" w:w="3345"/>
          </w:tcPr>
          <w:p>
            <w:pPr>
              <w:spacing w:after="0"/>
            </w:pPr>
            <w:r>
              <w:rPr>
                <w:b w:val="0"/>
                <w:sz w:val="13"/>
              </w:rPr>
              <w:t>Exact sample, allocation, threshold, and reference-standard details were not reported sufficiently for independent reconstruction.</w:t>
            </w:r>
          </w:p>
        </w:tc>
      </w:tr>
      <w:tr>
        <w:trPr>
          <w:cantSplit/>
        </w:trPr>
        <w:tc>
          <w:tcPr>
            <w:tcW w:type="dxa" w:w="1814"/>
          </w:tcPr>
          <w:p>
            <w:pPr>
              <w:spacing w:after="0"/>
            </w:pPr>
            <w:r>
              <w:rPr>
                <w:b w:val="0"/>
                <w:sz w:val="13"/>
              </w:rPr>
              <w:t>S39; Okuwobi et al., 2026 [74]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multi-dataset evaluation; participant separation: Unclear; domain shift: No</w:t>
            </w:r>
          </w:p>
        </w:tc>
        <w:tc>
          <w:tcPr>
            <w:tcW w:type="dxa" w:w="2948"/>
          </w:tcPr>
          <w:p>
            <w:pPr>
              <w:spacing w:after="0"/>
            </w:pPr>
            <w:r>
              <w:rPr>
                <w:b w:val="0"/>
                <w:sz w:val="13"/>
              </w:rPr>
              <w:t>Reported AUC 0.972–0.991 and accuracy 94.8–97.3% across sources</w:t>
            </w:r>
          </w:p>
        </w:tc>
        <w:tc>
          <w:tcPr>
            <w:tcW w:type="dxa" w:w="3345"/>
          </w:tcPr>
          <w:p>
            <w:pPr>
              <w:spacing w:after="0"/>
            </w:pPr>
            <w:r>
              <w:rPr>
                <w:b w:val="0"/>
                <w:sz w:val="13"/>
              </w:rPr>
              <w:t>Dataset counts, labels, and confusion-matrix metrics materially conflict with source resources; no quantitative conclusion relies on this study.</w:t>
            </w:r>
          </w:p>
        </w:tc>
      </w:tr>
      <w:tr>
        <w:trPr>
          <w:cantSplit/>
        </w:trPr>
        <w:tc>
          <w:tcPr>
            <w:tcW w:type="dxa" w:w="1814"/>
          </w:tcPr>
          <w:p>
            <w:pPr>
              <w:spacing w:after="0"/>
            </w:pPr>
            <w:r>
              <w:rPr>
                <w:b w:val="0"/>
                <w:sz w:val="13"/>
              </w:rPr>
              <w:t>S40; Gandhi et al., 2026 [75]</w:t>
            </w:r>
          </w:p>
        </w:tc>
        <w:tc>
          <w:tcPr>
            <w:tcW w:type="dxa" w:w="1531"/>
          </w:tcPr>
          <w:p>
            <w:pPr>
              <w:spacing w:after="0"/>
            </w:pPr>
            <w:r>
              <w:rPr>
                <w:b w:val="0"/>
                <w:sz w:val="13"/>
              </w:rPr>
              <w:t>Binary/stage glaucoma classification</w:t>
            </w:r>
          </w:p>
        </w:tc>
        <w:tc>
          <w:tcPr>
            <w:tcW w:type="dxa" w:w="2041"/>
          </w:tcPr>
          <w:p>
            <w:pPr>
              <w:spacing w:after="0"/>
            </w:pPr>
            <w:r>
              <w:rPr>
                <w:b w:val="0"/>
                <w:sz w:val="13"/>
              </w:rPr>
              <w:t>(a) Glaucoma-only task: Binary/stage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Benchmark/internal evaluation; participant separation: Unclear; domain shift: No</w:t>
            </w:r>
          </w:p>
        </w:tc>
        <w:tc>
          <w:tcPr>
            <w:tcW w:type="dxa" w:w="2948"/>
          </w:tcPr>
          <w:p>
            <w:pPr>
              <w:spacing w:after="0"/>
            </w:pPr>
            <w:r>
              <w:rPr>
                <w:b w:val="0"/>
                <w:sz w:val="13"/>
              </w:rPr>
              <w:t>Accuracy 94.5%; sensitivity 92.8%; specificity 94.9%; F1 0.93; AUC reported inconsistently as 0.917 and 0.93</w:t>
            </w:r>
          </w:p>
        </w:tc>
        <w:tc>
          <w:tcPr>
            <w:tcW w:type="dxa" w:w="3345"/>
          </w:tcPr>
          <w:p>
            <w:pPr>
              <w:spacing w:after="0"/>
            </w:pPr>
            <w:r>
              <w:rPr>
                <w:b w:val="0"/>
                <w:sz w:val="13"/>
              </w:rPr>
              <w:t>Named sources do not establish paired OCT data, and sample, split, outcome, and metric inconsistencies preclude clinical interpretation.</w:t>
            </w:r>
          </w:p>
        </w:tc>
      </w:tr>
      <w:tr>
        <w:trPr>
          <w:cantSplit/>
        </w:trPr>
        <w:tc>
          <w:tcPr>
            <w:tcW w:type="dxa" w:w="1814"/>
          </w:tcPr>
          <w:p>
            <w:pPr>
              <w:spacing w:after="0"/>
            </w:pPr>
            <w:r>
              <w:rPr>
                <w:b w:val="0"/>
                <w:sz w:val="13"/>
              </w:rPr>
              <w:t>S41; Chilukuri et al., 2026 [76]</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multi-dataset evaluation; participant separation: Image/eye-level; domain shift: No</w:t>
            </w:r>
          </w:p>
        </w:tc>
        <w:tc>
          <w:tcPr>
            <w:tcW w:type="dxa" w:w="2948"/>
          </w:tcPr>
          <w:p>
            <w:pPr>
              <w:spacing w:after="0"/>
            </w:pPr>
            <w:r>
              <w:rPr>
                <w:b w:val="0"/>
                <w:sz w:val="13"/>
              </w:rPr>
              <w:t>Accuracy/F1: LAG 99.02%/97.20%; ACRIMA 98.97%/96.50%; DRISHTI-GS 98.75%/95.80%</w:t>
            </w:r>
          </w:p>
        </w:tc>
        <w:tc>
          <w:tcPr>
            <w:tcW w:type="dxa" w:w="3345"/>
          </w:tcPr>
          <w:p>
            <w:pPr>
              <w:spacing w:after="0"/>
            </w:pPr>
            <w:r>
              <w:rPr>
                <w:b w:val="0"/>
                <w:sz w:val="13"/>
              </w:rPr>
              <w:t>The report is inconsistent about pooled versus dataset-specific training and does not provide truly independent external testing.</w:t>
            </w:r>
          </w:p>
        </w:tc>
      </w:tr>
      <w:tr>
        <w:trPr>
          <w:cantSplit/>
        </w:trPr>
        <w:tc>
          <w:tcPr>
            <w:tcW w:type="dxa" w:w="1814"/>
          </w:tcPr>
          <w:p>
            <w:pPr>
              <w:spacing w:after="0"/>
            </w:pPr>
            <w:r>
              <w:rPr>
                <w:b w:val="0"/>
                <w:sz w:val="13"/>
              </w:rPr>
              <w:t>S42; Hernández et al., 2026 [77]</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Internal resampling only</w:t>
            </w:r>
          </w:p>
        </w:tc>
        <w:tc>
          <w:tcPr>
            <w:tcW w:type="dxa" w:w="1928"/>
          </w:tcPr>
          <w:p>
            <w:pPr>
              <w:spacing w:after="0"/>
            </w:pPr>
            <w:r>
              <w:rPr>
                <w:b w:val="0"/>
                <w:sz w:val="13"/>
              </w:rPr>
              <w:t>Internal mixed-source resampling; participant separation: Unclear; domain shift: No</w:t>
            </w:r>
          </w:p>
        </w:tc>
        <w:tc>
          <w:tcPr>
            <w:tcW w:type="dxa" w:w="2948"/>
          </w:tcPr>
          <w:p>
            <w:pPr>
              <w:spacing w:after="0"/>
            </w:pPr>
            <w:r>
              <w:rPr>
                <w:b w:val="0"/>
                <w:sz w:val="13"/>
              </w:rPr>
              <w:t>Balanced accuracy 92.5% for ViT-B/16 and 91.89% for SpxViT-var</w:t>
            </w:r>
          </w:p>
        </w:tc>
        <w:tc>
          <w:tcPr>
            <w:tcW w:type="dxa" w:w="3345"/>
          </w:tcPr>
          <w:p>
            <w:pPr>
              <w:spacing w:after="0"/>
            </w:pPr>
            <w:r>
              <w:rPr>
                <w:b w:val="0"/>
                <w:sz w:val="13"/>
              </w:rPr>
              <w:t>Clinically informed labels and interpretable tokenisation were strengths, but combined-source cross-validation is not independent external validation.</w:t>
            </w:r>
          </w:p>
        </w:tc>
      </w:tr>
      <w:tr>
        <w:trPr>
          <w:cantSplit/>
        </w:trPr>
        <w:tc>
          <w:tcPr>
            <w:tcW w:type="dxa" w:w="1814"/>
          </w:tcPr>
          <w:p>
            <w:pPr>
              <w:spacing w:after="0"/>
            </w:pPr>
            <w:r>
              <w:rPr>
                <w:b w:val="0"/>
                <w:sz w:val="13"/>
              </w:rPr>
              <w:t>S43; Bouris et al., 2026 [78]</w:t>
            </w:r>
          </w:p>
        </w:tc>
        <w:tc>
          <w:tcPr>
            <w:tcW w:type="dxa" w:w="1531"/>
          </w:tcPr>
          <w:p>
            <w:pPr>
              <w:spacing w:after="0"/>
            </w:pPr>
            <w:r>
              <w:rPr>
                <w:b w:val="0"/>
                <w:sz w:val="13"/>
              </w:rPr>
              <w:t>Binary GON detection</w:t>
            </w:r>
          </w:p>
        </w:tc>
        <w:tc>
          <w:tcPr>
            <w:tcW w:type="dxa" w:w="2041"/>
          </w:tcPr>
          <w:p>
            <w:pPr>
              <w:spacing w:after="0"/>
            </w:pPr>
            <w:r>
              <w:rPr>
                <w:b w:val="0"/>
                <w:sz w:val="13"/>
              </w:rPr>
              <w:t>(a) Glaucoma-only task: Binary GON detection</w:t>
            </w:r>
          </w:p>
        </w:tc>
        <w:tc>
          <w:tcPr>
            <w:tcW w:type="dxa" w:w="1304"/>
          </w:tcPr>
          <w:p>
            <w:pPr>
              <w:spacing w:after="0"/>
            </w:pPr>
            <w:r>
              <w:rPr>
                <w:b w:val="0"/>
                <w:sz w:val="13"/>
              </w:rPr>
              <w:t>Same-source held-out/fixed partition</w:t>
            </w:r>
          </w:p>
        </w:tc>
        <w:tc>
          <w:tcPr>
            <w:tcW w:type="dxa" w:w="1928"/>
          </w:tcPr>
          <w:p>
            <w:pPr>
              <w:spacing w:after="0"/>
            </w:pPr>
            <w:r>
              <w:rPr>
                <w:b w:val="0"/>
                <w:sz w:val="13"/>
              </w:rPr>
              <w:t>Internal mixed-source evaluation; participant separation: Image/eye-level; domain shift: No</w:t>
            </w:r>
          </w:p>
        </w:tc>
        <w:tc>
          <w:tcPr>
            <w:tcW w:type="dxa" w:w="2948"/>
          </w:tcPr>
          <w:p>
            <w:pPr>
              <w:spacing w:after="0"/>
            </w:pPr>
            <w:r>
              <w:rPr>
                <w:b w:val="0"/>
                <w:sz w:val="13"/>
              </w:rPr>
              <w:t>Abstract test AUC 1.00, accuracy 0.987, sensitivity 0.994, specificity 0.969; advanced cohort accuracy 99.9%; table-derived values differ</w:t>
            </w:r>
          </w:p>
        </w:tc>
        <w:tc>
          <w:tcPr>
            <w:tcW w:type="dxa" w:w="3345"/>
          </w:tcPr>
          <w:p>
            <w:pPr>
              <w:spacing w:after="0"/>
            </w:pPr>
            <w:r>
              <w:rPr>
                <w:b w:val="0"/>
                <w:sz w:val="13"/>
              </w:rPr>
              <w:t>Explicit early disease and specialist grading are major strengths, but all glaucoma originated from one clinic while most controls were public, creating near-complete site/class confounding.</w:t>
            </w:r>
          </w:p>
        </w:tc>
      </w:tr>
      <w:tr>
        <w:trPr>
          <w:cantSplit/>
        </w:trPr>
        <w:tc>
          <w:tcPr>
            <w:tcW w:type="dxa" w:w="1814"/>
          </w:tcPr>
          <w:p>
            <w:pPr>
              <w:spacing w:after="0"/>
            </w:pPr>
            <w:r>
              <w:rPr>
                <w:b w:val="0"/>
                <w:sz w:val="13"/>
              </w:rPr>
              <w:t>S44; Hasan et al., 2026 [79]</w:t>
            </w:r>
          </w:p>
        </w:tc>
        <w:tc>
          <w:tcPr>
            <w:tcW w:type="dxa" w:w="1531"/>
          </w:tcPr>
          <w:p>
            <w:pPr>
              <w:spacing w:after="0"/>
            </w:pPr>
            <w:r>
              <w:rPr>
                <w:b w:val="0"/>
                <w:sz w:val="13"/>
              </w:rPr>
              <w:t>Binary glaucoma diagnosis and severity staging</w:t>
            </w:r>
          </w:p>
        </w:tc>
        <w:tc>
          <w:tcPr>
            <w:tcW w:type="dxa" w:w="2041"/>
          </w:tcPr>
          <w:p>
            <w:pPr>
              <w:spacing w:after="0"/>
            </w:pPr>
            <w:r>
              <w:rPr>
                <w:b w:val="0"/>
                <w:sz w:val="13"/>
              </w:rPr>
              <w:t>(a) Glaucoma-only task: Binary glaucoma diagnosis and severity staging</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Participant-level; domain shift: No</w:t>
            </w:r>
          </w:p>
        </w:tc>
        <w:tc>
          <w:tcPr>
            <w:tcW w:type="dxa" w:w="2948"/>
          </w:tcPr>
          <w:p>
            <w:pPr>
              <w:spacing w:after="0"/>
            </w:pPr>
            <w:r>
              <w:rPr>
                <w:b w:val="0"/>
                <w:sz w:val="13"/>
              </w:rPr>
              <w:t>Fundus + visual-field + OCT model: AUC 0.981 (0.966–0.996) for glaucoma versus non-glaucoma</w:t>
            </w:r>
          </w:p>
        </w:tc>
        <w:tc>
          <w:tcPr>
            <w:tcW w:type="dxa" w:w="3345"/>
          </w:tcPr>
          <w:p>
            <w:pPr>
              <w:spacing w:after="0"/>
            </w:pPr>
            <w:r>
              <w:rPr>
                <w:b w:val="0"/>
                <w:sz w:val="13"/>
              </w:rPr>
              <w:t>Explicit clinical staging, participant-grouped folds, and multimodal fusion were informative, but the case-control design and lack of independent evaluation limit deployment inference.</w:t>
            </w:r>
          </w:p>
        </w:tc>
      </w:tr>
      <w:tr>
        <w:trPr>
          <w:cantSplit/>
        </w:trPr>
        <w:tc>
          <w:tcPr>
            <w:tcW w:type="dxa" w:w="1814"/>
          </w:tcPr>
          <w:p>
            <w:pPr>
              <w:spacing w:after="0"/>
            </w:pPr>
            <w:r>
              <w:rPr>
                <w:b w:val="0"/>
                <w:sz w:val="13"/>
              </w:rPr>
              <w:t>S45; Wu et al., 2026 [80]</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External/cross-dataset evaluation</w:t>
            </w:r>
          </w:p>
        </w:tc>
        <w:tc>
          <w:tcPr>
            <w:tcW w:type="dxa" w:w="1928"/>
          </w:tcPr>
          <w:p>
            <w:pPr>
              <w:spacing w:after="0"/>
            </w:pPr>
            <w:r>
              <w:rPr>
                <w:b w:val="0"/>
                <w:sz w:val="13"/>
              </w:rPr>
              <w:t>Internal testing plus external cross-dataset evaluation; participant separation: Image/eye-level; domain shift: Yes</w:t>
            </w:r>
          </w:p>
        </w:tc>
        <w:tc>
          <w:tcPr>
            <w:tcW w:type="dxa" w:w="2948"/>
          </w:tcPr>
          <w:p>
            <w:pPr>
              <w:spacing w:after="0"/>
            </w:pPr>
            <w:r>
              <w:rPr>
                <w:b w:val="0"/>
                <w:sz w:val="13"/>
              </w:rPr>
              <w:t>Internal AUC 0.992 and sensitivity 0.969 at 95% specificity; zero-shot AUCs 0.806–0.981 across ten external datasets; fine-tuned AUCs 0.887–0.988 on three further datasets</w:t>
            </w:r>
          </w:p>
        </w:tc>
        <w:tc>
          <w:tcPr>
            <w:tcW w:type="dxa" w:w="3345"/>
          </w:tcPr>
          <w:p>
            <w:pPr>
              <w:spacing w:after="0"/>
            </w:pPr>
            <w:r>
              <w:rPr>
                <w:b w:val="0"/>
                <w:sz w:val="13"/>
              </w:rPr>
              <w:t>Breadth of cross-dataset evaluation was a major strength, but source-label heterogeneity and image-level allocation leave residual bias and applicability concerns.</w:t>
            </w:r>
          </w:p>
        </w:tc>
      </w:tr>
      <w:tr>
        <w:trPr>
          <w:cantSplit/>
        </w:trPr>
        <w:tc>
          <w:tcPr>
            <w:tcW w:type="dxa" w:w="1814"/>
          </w:tcPr>
          <w:p>
            <w:pPr>
              <w:spacing w:after="0"/>
            </w:pPr>
            <w:r>
              <w:rPr>
                <w:b w:val="0"/>
                <w:sz w:val="13"/>
              </w:rPr>
              <w:t>S46; Moorthy et al., 2026 [81]</w:t>
            </w:r>
          </w:p>
        </w:tc>
        <w:tc>
          <w:tcPr>
            <w:tcW w:type="dxa" w:w="1531"/>
          </w:tcPr>
          <w:p>
            <w:pPr>
              <w:spacing w:after="0"/>
            </w:pPr>
            <w:r>
              <w:rPr>
                <w:b w:val="0"/>
                <w:sz w:val="13"/>
              </w:rPr>
              <w:t>Disc/cup segmentation followed by binary glaucoma classification</w:t>
            </w:r>
          </w:p>
        </w:tc>
        <w:tc>
          <w:tcPr>
            <w:tcW w:type="dxa" w:w="2041"/>
          </w:tcPr>
          <w:p>
            <w:pPr>
              <w:spacing w:after="0"/>
            </w:pPr>
            <w:r>
              <w:rPr>
                <w:b w:val="0"/>
                <w:sz w:val="13"/>
              </w:rPr>
              <w:t>(a) Glaucoma-only task: Disc/cup segmentation followed by binary glaucoma classification</w:t>
            </w:r>
          </w:p>
        </w:tc>
        <w:tc>
          <w:tcPr>
            <w:tcW w:type="dxa" w:w="1304"/>
          </w:tcPr>
          <w:p>
            <w:pPr>
              <w:spacing w:after="0"/>
            </w:pPr>
            <w:r>
              <w:rPr>
                <w:b w:val="0"/>
                <w:sz w:val="13"/>
              </w:rPr>
              <w:t>Internal evaluation; allocation unclear</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Reported classification accuracy 98.63% on RIM-ONE and 98.96% on ORIGA</w:t>
            </w:r>
          </w:p>
        </w:tc>
        <w:tc>
          <w:tcPr>
            <w:tcW w:type="dxa" w:w="3345"/>
          </w:tcPr>
          <w:p>
            <w:pPr>
              <w:spacing w:after="0"/>
            </w:pPr>
            <w:r>
              <w:rPr>
                <w:b w:val="0"/>
                <w:sz w:val="13"/>
              </w:rPr>
              <w:t>High reported accuracy could not be linked to a fully reconstructable test denominator, patient split, threshold, or independent reference standard.</w:t>
            </w:r>
          </w:p>
        </w:tc>
      </w:tr>
      <w:tr>
        <w:trPr>
          <w:cantSplit/>
        </w:trPr>
        <w:tc>
          <w:tcPr>
            <w:tcW w:type="dxa" w:w="1814"/>
          </w:tcPr>
          <w:p>
            <w:pPr>
              <w:spacing w:after="0"/>
            </w:pPr>
            <w:r>
              <w:rPr>
                <w:b w:val="0"/>
                <w:sz w:val="13"/>
              </w:rPr>
              <w:t>S47; Noh et al., 2026 [82]</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RIM-ONE/REFUGE/DRISHTI-GS accuracy 95.8%/96.0%/92.0%; AUC 96.80%/91.11%/91.32%; sensitivity 100%/85%/93.75%; specificity 93.6%/97.22%/88.88%</w:t>
            </w:r>
          </w:p>
        </w:tc>
        <w:tc>
          <w:tcPr>
            <w:tcW w:type="dxa" w:w="3345"/>
          </w:tcPr>
          <w:p>
            <w:pPr>
              <w:spacing w:after="0"/>
            </w:pPr>
            <w:r>
              <w:rPr>
                <w:b w:val="0"/>
                <w:sz w:val="13"/>
              </w:rPr>
              <w:t>Multiple benchmarks were evaluated, but no frozen external test was demonstrated and the data-availability description was internally inconsistent.</w:t>
            </w:r>
          </w:p>
        </w:tc>
      </w:tr>
      <w:tr>
        <w:trPr>
          <w:cantSplit/>
        </w:trPr>
        <w:tc>
          <w:tcPr>
            <w:tcW w:type="dxa" w:w="1814"/>
          </w:tcPr>
          <w:p>
            <w:pPr>
              <w:spacing w:after="0"/>
            </w:pPr>
            <w:r>
              <w:rPr>
                <w:b w:val="0"/>
                <w:sz w:val="13"/>
              </w:rPr>
              <w:t>S48; Pramanik and Bag, 2026 [83]</w:t>
            </w:r>
          </w:p>
        </w:tc>
        <w:tc>
          <w:tcPr>
            <w:tcW w:type="dxa" w:w="1531"/>
          </w:tcPr>
          <w:p>
            <w:pPr>
              <w:spacing w:after="0"/>
            </w:pPr>
            <w:r>
              <w:rPr>
                <w:b w:val="0"/>
                <w:sz w:val="13"/>
              </w:rPr>
              <w:t>Glaucoma detection and severity classification</w:t>
            </w:r>
          </w:p>
        </w:tc>
        <w:tc>
          <w:tcPr>
            <w:tcW w:type="dxa" w:w="2041"/>
          </w:tcPr>
          <w:p>
            <w:pPr>
              <w:spacing w:after="0"/>
            </w:pPr>
            <w:r>
              <w:rPr>
                <w:b w:val="0"/>
                <w:sz w:val="13"/>
              </w:rPr>
              <w:t>(a) Glaucoma-only task: Glaucoma detection and severity classification; task-level results reported, point estimates not transcribed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Unclear; domain shift: No</w:t>
            </w:r>
          </w:p>
        </w:tc>
        <w:tc>
          <w:tcPr>
            <w:tcW w:type="dxa" w:w="2948"/>
          </w:tcPr>
          <w:p>
            <w:pPr>
              <w:spacing w:after="0"/>
            </w:pPr>
            <w:r>
              <w:rPr>
                <w:b w:val="0"/>
                <w:sz w:val="13"/>
              </w:rPr>
              <w:t>Classification results were reported, but exact glaucoma-specific denominators and comparable point estimates were not sufficiently extractable</w:t>
            </w:r>
          </w:p>
        </w:tc>
        <w:tc>
          <w:tcPr>
            <w:tcW w:type="dxa" w:w="3345"/>
          </w:tcPr>
          <w:p>
            <w:pPr>
              <w:spacing w:after="0"/>
            </w:pPr>
            <w:r>
              <w:rPr>
                <w:b w:val="0"/>
                <w:sz w:val="13"/>
              </w:rPr>
              <w:t>Incomplete reporting of dataset identity, allocation, staging reference, and glaucoma-specific results prevents quantitative interpretation.</w:t>
            </w:r>
          </w:p>
        </w:tc>
      </w:tr>
      <w:tr>
        <w:trPr>
          <w:cantSplit/>
        </w:trPr>
        <w:tc>
          <w:tcPr>
            <w:tcW w:type="dxa" w:w="1814"/>
          </w:tcPr>
          <w:p>
            <w:pPr>
              <w:spacing w:after="0"/>
            </w:pPr>
            <w:r>
              <w:rPr>
                <w:b w:val="0"/>
                <w:sz w:val="13"/>
              </w:rPr>
              <w:t>S49; Roopalakshmi et al., 2026 [84]</w:t>
            </w:r>
          </w:p>
        </w:tc>
        <w:tc>
          <w:tcPr>
            <w:tcW w:type="dxa" w:w="1531"/>
          </w:tcPr>
          <w:p>
            <w:pPr>
              <w:spacing w:after="0"/>
            </w:pPr>
            <w:r>
              <w:rPr>
                <w:b w:val="0"/>
                <w:sz w:val="13"/>
              </w:rPr>
              <w:t>Binary glaucoma classification</w:t>
            </w:r>
          </w:p>
        </w:tc>
        <w:tc>
          <w:tcPr>
            <w:tcW w:type="dxa" w:w="2041"/>
          </w:tcPr>
          <w:p>
            <w:pPr>
              <w:spacing w:after="0"/>
            </w:pPr>
            <w:r>
              <w:rPr>
                <w:b w:val="0"/>
                <w:sz w:val="13"/>
              </w:rPr>
              <w:t>(a) Glaucoma-only task: Binary glaucoma classification</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accuracy 87.91%; glaucoma sensitivity 70.3%, precision 79.6%, F1 74.5%, and specificity 82.1%; source tables contain inconsistencies</w:t>
            </w:r>
          </w:p>
        </w:tc>
        <w:tc>
          <w:tcPr>
            <w:tcW w:type="dxa" w:w="3345"/>
          </w:tcPr>
          <w:p>
            <w:pPr>
              <w:spacing w:after="0"/>
            </w:pPr>
            <w:r>
              <w:rPr>
                <w:b w:val="0"/>
                <w:sz w:val="13"/>
              </w:rPr>
              <w:t>Pooling heterogeneous repositories before an image-level split and conflicting tabular values limit both independence and reproducibility.</w:t>
            </w:r>
          </w:p>
        </w:tc>
      </w:tr>
      <w:tr>
        <w:trPr>
          <w:cantSplit/>
        </w:trPr>
        <w:tc>
          <w:tcPr>
            <w:tcW w:type="dxa" w:w="1814"/>
          </w:tcPr>
          <w:p>
            <w:pPr>
              <w:spacing w:after="0"/>
            </w:pPr>
            <w:r>
              <w:rPr>
                <w:b w:val="0"/>
                <w:sz w:val="13"/>
              </w:rPr>
              <w:t>S50; Abdelbaki et al., 2026 [85]</w:t>
            </w:r>
          </w:p>
        </w:tc>
        <w:tc>
          <w:tcPr>
            <w:tcW w:type="dxa" w:w="1531"/>
          </w:tcPr>
          <w:p>
            <w:pPr>
              <w:spacing w:after="0"/>
            </w:pPr>
            <w:r>
              <w:rPr>
                <w:b w:val="0"/>
                <w:sz w:val="13"/>
              </w:rPr>
              <w:t>Multilabel retinal-disease classification</w:t>
            </w:r>
          </w:p>
        </w:tc>
        <w:tc>
          <w:tcPr>
            <w:tcW w:type="dxa" w:w="2041"/>
          </w:tcPr>
          <w:p>
            <w:pPr>
              <w:spacing w:after="0"/>
            </w:pPr>
            <w:r>
              <w:rPr>
                <w:b w:val="0"/>
                <w:sz w:val="13"/>
              </w:rPr>
              <w:t>(b) Glaucoma-class accuracy, F1, sensitivity,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Glaucoma accuracy 93.6% ± 0.7%, F1 81.9% ± 0.8%, sensitivity 79.8% ± 0.9%, and specificity 96.1% ± 0.5%</w:t>
            </w:r>
          </w:p>
        </w:tc>
        <w:tc>
          <w:tcPr>
            <w:tcW w:type="dxa" w:w="3345"/>
          </w:tcPr>
          <w:p>
            <w:pPr>
              <w:spacing w:after="0"/>
            </w:pPr>
            <w:r>
              <w:rPr>
                <w:b w:val="0"/>
                <w:sz w:val="13"/>
              </w:rPr>
              <w:t>Glaucoma-specific estimates were available, but a single image-level repository split and inherited labels limit clinical transportability.</w:t>
            </w:r>
          </w:p>
        </w:tc>
      </w:tr>
      <w:tr>
        <w:trPr>
          <w:cantSplit/>
        </w:trPr>
        <w:tc>
          <w:tcPr>
            <w:tcW w:type="dxa" w:w="1814"/>
          </w:tcPr>
          <w:p>
            <w:pPr>
              <w:spacing w:after="0"/>
            </w:pPr>
            <w:r>
              <w:rPr>
                <w:b w:val="0"/>
                <w:sz w:val="13"/>
              </w:rPr>
              <w:t>S51; Malik et al., 2026 [86]</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AUC and specificity</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95.27–95.51%; glaucoma AUC 0.99 with specificity above 95%</w:t>
            </w:r>
          </w:p>
        </w:tc>
        <w:tc>
          <w:tcPr>
            <w:tcW w:type="dxa" w:w="3345"/>
          </w:tcPr>
          <w:p>
            <w:pPr>
              <w:spacing w:after="0"/>
            </w:pPr>
            <w:r>
              <w:rPr>
                <w:b w:val="0"/>
                <w:sz w:val="13"/>
              </w:rPr>
              <w:t>Class-specific AUC was high, but the evidence remained an image-level benchmark evaluation with inherited labels and no independent test.</w:t>
            </w:r>
          </w:p>
        </w:tc>
      </w:tr>
      <w:tr>
        <w:trPr>
          <w:cantSplit/>
        </w:trPr>
        <w:tc>
          <w:tcPr>
            <w:tcW w:type="dxa" w:w="1814"/>
          </w:tcPr>
          <w:p>
            <w:pPr>
              <w:spacing w:after="0"/>
            </w:pPr>
            <w:r>
              <w:rPr>
                <w:b w:val="0"/>
                <w:sz w:val="13"/>
              </w:rPr>
              <w:t>S52; Malik et al., 2026 [87]</w:t>
            </w:r>
          </w:p>
        </w:tc>
        <w:tc>
          <w:tcPr>
            <w:tcW w:type="dxa" w:w="1531"/>
          </w:tcPr>
          <w:p>
            <w:pPr>
              <w:spacing w:after="0"/>
            </w:pPr>
            <w:r>
              <w:rPr>
                <w:b w:val="0"/>
                <w:sz w:val="13"/>
              </w:rPr>
              <w:t>Four-class ocular-disease classification</w:t>
            </w:r>
          </w:p>
        </w:tc>
        <w:tc>
          <w:tcPr>
            <w:tcW w:type="dxa" w:w="2041"/>
          </w:tcPr>
          <w:p>
            <w:pPr>
              <w:spacing w:after="0"/>
            </w:pPr>
            <w:r>
              <w:rPr>
                <w:b w:val="0"/>
                <w:sz w:val="13"/>
              </w:rPr>
              <w:t>(b) Per-class AUCs for all four classes, including glaucoma, reported within 0.99–1.00; glaucoma value not transcribed separately †</w:t>
            </w:r>
          </w:p>
        </w:tc>
        <w:tc>
          <w:tcPr>
            <w:tcW w:type="dxa" w:w="1304"/>
          </w:tcPr>
          <w:p>
            <w:pPr>
              <w:spacing w:after="0"/>
            </w:pPr>
            <w:r>
              <w:rPr>
                <w:b w:val="0"/>
                <w:sz w:val="13"/>
              </w:rPr>
              <w:t>Same-source held-out/fixed partition</w:t>
            </w:r>
          </w:p>
        </w:tc>
        <w:tc>
          <w:tcPr>
            <w:tcW w:type="dxa" w:w="1928"/>
          </w:tcPr>
          <w:p>
            <w:pPr>
              <w:spacing w:after="0"/>
            </w:pPr>
            <w:r>
              <w:rPr>
                <w:b w:val="0"/>
                <w:sz w:val="13"/>
              </w:rPr>
              <w:t>Internal evaluation; participant separation: Image/eye-level; domain shift: No</w:t>
            </w:r>
          </w:p>
        </w:tc>
        <w:tc>
          <w:tcPr>
            <w:tcW w:type="dxa" w:w="2948"/>
          </w:tcPr>
          <w:p>
            <w:pPr>
              <w:spacing w:after="0"/>
            </w:pPr>
            <w:r>
              <w:rPr>
                <w:b w:val="0"/>
                <w:sz w:val="13"/>
              </w:rPr>
              <w:t>Overall accuracy 96.45%, F1 96.40%, and kappa 0.9527; class AUCs ranged from 0.99 to 1.00, but the exact glaucoma-specific AUC was not isolated</w:t>
            </w:r>
          </w:p>
        </w:tc>
        <w:tc>
          <w:tcPr>
            <w:tcW w:type="dxa" w:w="3345"/>
          </w:tcPr>
          <w:p>
            <w:pPr>
              <w:spacing w:after="0"/>
            </w:pPr>
            <w:r>
              <w:rPr>
                <w:b w:val="0"/>
                <w:sz w:val="13"/>
              </w:rPr>
              <w:t>The same small public corpus was reused in a distinct model analysis; glaucoma-specific discrimination was incompletely separated from overall performance.</w:t>
            </w:r>
          </w:p>
        </w:tc>
      </w:tr>
      <w:tr>
        <w:trPr>
          <w:cantSplit/>
        </w:trPr>
        <w:tc>
          <w:tcPr>
            <w:tcW w:type="dxa" w:w="1814"/>
          </w:tcPr>
          <w:p>
            <w:pPr>
              <w:spacing w:after="0"/>
            </w:pPr>
            <w:r>
              <w:rPr>
                <w:b w:val="0"/>
                <w:sz w:val="13"/>
              </w:rPr>
              <w:t>S53; Santo et al., 2026 [88]</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results reported; complete metric set not transcribable †</w:t>
            </w:r>
          </w:p>
        </w:tc>
        <w:tc>
          <w:tcPr>
            <w:tcW w:type="dxa" w:w="1304"/>
          </w:tcPr>
          <w:p>
            <w:pPr>
              <w:spacing w:after="0"/>
            </w:pPr>
            <w:r>
              <w:rPr>
                <w:b w:val="0"/>
                <w:sz w:val="13"/>
              </w:rPr>
              <w:t>Internal resampling only</w:t>
            </w:r>
          </w:p>
        </w:tc>
        <w:tc>
          <w:tcPr>
            <w:tcW w:type="dxa" w:w="1928"/>
          </w:tcPr>
          <w:p>
            <w:pPr>
              <w:spacing w:after="0"/>
            </w:pPr>
            <w:r>
              <w:rPr>
                <w:b w:val="0"/>
                <w:sz w:val="13"/>
              </w:rPr>
              <w:t>Internal resampling; participant separation: Image/eye-level; domain shift: No</w:t>
            </w:r>
          </w:p>
        </w:tc>
        <w:tc>
          <w:tcPr>
            <w:tcW w:type="dxa" w:w="2948"/>
          </w:tcPr>
          <w:p>
            <w:pPr>
              <w:spacing w:after="0"/>
            </w:pPr>
            <w:r>
              <w:rPr>
                <w:b w:val="0"/>
                <w:sz w:val="13"/>
              </w:rPr>
              <w:t>Glaucoma-specific performance was reported in the source but exact denominators and a comparable complete metric set were not extractable</w:t>
            </w:r>
          </w:p>
        </w:tc>
        <w:tc>
          <w:tcPr>
            <w:tcW w:type="dxa" w:w="3345"/>
          </w:tcPr>
          <w:p>
            <w:pPr>
              <w:spacing w:after="0"/>
            </w:pPr>
            <w:r>
              <w:rPr>
                <w:b w:val="0"/>
                <w:sz w:val="13"/>
              </w:rPr>
              <w:t>Reuse of the same repository, image-level resampling, and incomplete class-specific reporting constrain inference.</w:t>
            </w:r>
          </w:p>
        </w:tc>
      </w:tr>
      <w:tr>
        <w:trPr>
          <w:cantSplit/>
        </w:trPr>
        <w:tc>
          <w:tcPr>
            <w:tcW w:type="dxa" w:w="1814"/>
          </w:tcPr>
          <w:p>
            <w:pPr>
              <w:spacing w:after="0"/>
            </w:pPr>
            <w:r>
              <w:rPr>
                <w:b w:val="0"/>
                <w:sz w:val="13"/>
              </w:rPr>
              <w:t>S54; Rahman et al., 2026 [89]</w:t>
            </w:r>
          </w:p>
        </w:tc>
        <w:tc>
          <w:tcPr>
            <w:tcW w:type="dxa" w:w="1531"/>
          </w:tcPr>
          <w:p>
            <w:pPr>
              <w:spacing w:after="0"/>
            </w:pPr>
            <w:r>
              <w:rPr>
                <w:b w:val="0"/>
                <w:sz w:val="13"/>
              </w:rPr>
              <w:t>Four-class ocular-disease classification</w:t>
            </w:r>
          </w:p>
        </w:tc>
        <w:tc>
          <w:tcPr>
            <w:tcW w:type="dxa" w:w="2041"/>
          </w:tcPr>
          <w:p>
            <w:pPr>
              <w:spacing w:after="0"/>
            </w:pPr>
            <w:r>
              <w:rPr>
                <w:b w:val="0"/>
                <w:sz w:val="13"/>
              </w:rPr>
              <w:t>(b) Glaucoma-class F1</w:t>
            </w:r>
          </w:p>
        </w:tc>
        <w:tc>
          <w:tcPr>
            <w:tcW w:type="dxa" w:w="1304"/>
          </w:tcPr>
          <w:p>
            <w:pPr>
              <w:spacing w:after="0"/>
            </w:pPr>
            <w:r>
              <w:rPr>
                <w:b w:val="0"/>
                <w:sz w:val="13"/>
              </w:rPr>
              <w:t>Same-source held-out/fixed partition</w:t>
            </w:r>
          </w:p>
        </w:tc>
        <w:tc>
          <w:tcPr>
            <w:tcW w:type="dxa" w:w="1928"/>
          </w:tcPr>
          <w:p>
            <w:pPr>
              <w:spacing w:after="0"/>
            </w:pPr>
            <w:r>
              <w:rPr>
                <w:b w:val="0"/>
                <w:sz w:val="13"/>
              </w:rPr>
              <w:t>Internal held-out evaluation; participant separation: Image/eye-level; domain shift: No</w:t>
            </w:r>
          </w:p>
        </w:tc>
        <w:tc>
          <w:tcPr>
            <w:tcW w:type="dxa" w:w="2948"/>
          </w:tcPr>
          <w:p>
            <w:pPr>
              <w:spacing w:after="0"/>
            </w:pPr>
            <w:r>
              <w:rPr>
                <w:b w:val="0"/>
                <w:sz w:val="13"/>
              </w:rPr>
              <w:t>Overall ViT accuracy 71.56% and F1 70.04%; glaucoma F1 62.83%</w:t>
            </w:r>
          </w:p>
        </w:tc>
        <w:tc>
          <w:tcPr>
            <w:tcW w:type="dxa" w:w="3345"/>
          </w:tcPr>
          <w:p>
            <w:pPr>
              <w:spacing w:after="0"/>
            </w:pPr>
            <w:r>
              <w:rPr>
                <w:b w:val="0"/>
                <w:sz w:val="13"/>
              </w:rPr>
              <w:t>The modest glaucoma F1 illustrates task difficulty, but image-level evaluation and inherited labels still prevent clinical interpretation.</w:t>
            </w:r>
          </w:p>
        </w:tc>
      </w:tr>
      <w:tr>
        <w:trPr>
          <w:cantSplit/>
        </w:trPr>
        <w:tc>
          <w:tcPr>
            <w:tcW w:type="dxa" w:w="1814"/>
          </w:tcPr>
          <w:p>
            <w:pPr>
              <w:spacing w:after="0"/>
            </w:pPr>
            <w:r>
              <w:rPr>
                <w:b w:val="0"/>
                <w:sz w:val="13"/>
              </w:rPr>
              <w:t>S55; Zaib, 2026 [90]</w:t>
            </w:r>
          </w:p>
        </w:tc>
        <w:tc>
          <w:tcPr>
            <w:tcW w:type="dxa" w:w="1531"/>
          </w:tcPr>
          <w:p>
            <w:pPr>
              <w:spacing w:after="0"/>
            </w:pPr>
            <w:r>
              <w:rPr>
                <w:b w:val="0"/>
                <w:sz w:val="13"/>
              </w:rPr>
              <w:t>Referable-glaucoma classification</w:t>
            </w:r>
          </w:p>
        </w:tc>
        <w:tc>
          <w:tcPr>
            <w:tcW w:type="dxa" w:w="2041"/>
          </w:tcPr>
          <w:p>
            <w:pPr>
              <w:spacing w:after="0"/>
            </w:pPr>
            <w:r>
              <w:rPr>
                <w:b w:val="0"/>
                <w:sz w:val="13"/>
              </w:rPr>
              <w:t>(a) Glaucoma-only task: Referable-glaucoma classification</w:t>
            </w:r>
          </w:p>
        </w:tc>
        <w:tc>
          <w:tcPr>
            <w:tcW w:type="dxa" w:w="1304"/>
          </w:tcPr>
          <w:p>
            <w:pPr>
              <w:spacing w:after="0"/>
            </w:pPr>
            <w:r>
              <w:rPr>
                <w:b w:val="0"/>
                <w:sz w:val="13"/>
              </w:rPr>
              <w:t>Development-derived/validation-only result</w:t>
            </w:r>
          </w:p>
        </w:tc>
        <w:tc>
          <w:tcPr>
            <w:tcW w:type="dxa" w:w="1928"/>
          </w:tcPr>
          <w:p>
            <w:pPr>
              <w:spacing w:after="0"/>
            </w:pPr>
            <w:r>
              <w:rPr>
                <w:b w:val="0"/>
                <w:sz w:val="13"/>
              </w:rPr>
              <w:t>Internal validation; participant separation: Unclear; domain shift: No</w:t>
            </w:r>
          </w:p>
        </w:tc>
        <w:tc>
          <w:tcPr>
            <w:tcW w:type="dxa" w:w="2948"/>
          </w:tcPr>
          <w:p>
            <w:pPr>
              <w:spacing w:after="0"/>
            </w:pPr>
            <w:r>
              <w:rPr>
                <w:b w:val="0"/>
                <w:sz w:val="13"/>
              </w:rPr>
              <w:t>Validation accuracy 98.2%, F1 0.83, sensitivity 0.87, specificity 0.97, and AUC 0.982</w:t>
            </w:r>
          </w:p>
        </w:tc>
        <w:tc>
          <w:tcPr>
            <w:tcW w:type="dxa" w:w="3345"/>
          </w:tcPr>
          <w:p>
            <w:pPr>
              <w:spacing w:after="0"/>
            </w:pPr>
            <w:r>
              <w:rPr>
                <w:b w:val="0"/>
                <w:sz w:val="13"/>
              </w:rPr>
              <w:t>A large source repository was available, but validation-only reporting, uncertain participant separation, and limited methodological reporting increase optimism risk.</w:t>
            </w:r>
          </w:p>
        </w:tc>
      </w:tr>
    </w:tbl>
    <w:p>
      <w:pPr>
        <w:spacing w:after="160" w:before="60"/>
      </w:pPr>
      <w:r>
        <w:rPr>
          <w:b w:val="0"/>
          <w:i w:val="0"/>
          <w:sz w:val="16"/>
        </w:rPr>
        <w:t>Eligibility basis: (a) glaucoma-only task, so the task-level result is glaucoma-specific; (b) multidisease or multilabel task with a result reported for the glaucoma class. Reports marked with a dagger (†) had no glaucoma-specific point estimate of identifiable metric type that could be transcribed and were excluded in the sensitivity analysis (Table S8). Values are transcribed as reported and are not pooled. Review-derived values were calculated only from an unambiguous confusion matrix. Cross-dataset evaluation does not automatically constitute independent clinical validation.</w:t>
      </w:r>
    </w:p>
    <w:p>
      <w:r>
        <w:br w:type="page"/>
      </w:r>
    </w:p>
    <w:p>
      <w:pPr>
        <w:keepNext/>
        <w:spacing w:after="80" w:before="200"/>
      </w:pPr>
      <w:r>
        <w:rPr>
          <w:b/>
        </w:rPr>
        <w:t xml:space="preserve">Table S5. </w:t>
      </w:r>
      <w:r>
        <w:t>Early-disease definitions, reference standards, imaging biomarkers, and explanation methods.</w:t>
      </w:r>
    </w:p>
    <w:tbl>
      <w:tblPr>
        <w:tblStyle w:val="TableGrid"/>
        <w:tblW w:type="auto" w:w="0"/>
        <w:jc w:val="center"/>
        <w:tblLayout w:type="fixed"/>
        <w:tblLook w:firstColumn="1" w:firstRow="1" w:lastColumn="0" w:lastRow="0" w:noHBand="0" w:noVBand="1" w:val="04A0"/>
      </w:tblPr>
      <w:tblGrid>
        <w:gridCol w:w="1927"/>
        <w:gridCol w:w="1701"/>
        <w:gridCol w:w="2608"/>
        <w:gridCol w:w="1020"/>
        <w:gridCol w:w="2835"/>
        <w:gridCol w:w="2268"/>
        <w:gridCol w:w="2608"/>
      </w:tblGrid>
      <w:tr>
        <w:trPr>
          <w:tblHeader/>
        </w:trPr>
        <w:tc>
          <w:tcPr>
            <w:tcW w:type="dxa" w:w="1928"/>
            <w:shd w:val="clear" w:color="auto" w:fill="E7ECF3"/>
          </w:tcPr>
          <w:p>
            <w:pPr>
              <w:spacing w:after="0"/>
              <w:jc w:val="center"/>
            </w:pPr>
            <w:r>
              <w:rPr>
                <w:b/>
                <w:sz w:val="14"/>
              </w:rPr>
              <w:t>Report</w:t>
            </w:r>
          </w:p>
        </w:tc>
        <w:tc>
          <w:tcPr>
            <w:tcW w:type="dxa" w:w="1701"/>
            <w:shd w:val="clear" w:color="auto" w:fill="E7ECF3"/>
          </w:tcPr>
          <w:p>
            <w:pPr>
              <w:spacing w:after="0"/>
              <w:jc w:val="center"/>
            </w:pPr>
            <w:r>
              <w:rPr>
                <w:b/>
                <w:sz w:val="14"/>
              </w:rPr>
              <w:t>Early-disease category</w:t>
            </w:r>
          </w:p>
        </w:tc>
        <w:tc>
          <w:tcPr>
            <w:tcW w:type="dxa" w:w="2608"/>
            <w:shd w:val="clear" w:color="auto" w:fill="E7ECF3"/>
          </w:tcPr>
          <w:p>
            <w:pPr>
              <w:spacing w:after="0"/>
              <w:jc w:val="center"/>
            </w:pPr>
            <w:r>
              <w:rPr>
                <w:b/>
                <w:sz w:val="14"/>
              </w:rPr>
              <w:t>Operational definition or source detail</w:t>
            </w:r>
          </w:p>
        </w:tc>
        <w:tc>
          <w:tcPr>
            <w:tcW w:type="dxa" w:w="1020"/>
            <w:shd w:val="clear" w:color="auto" w:fill="E7ECF3"/>
          </w:tcPr>
          <w:p>
            <w:pPr>
              <w:spacing w:after="0"/>
              <w:jc w:val="center"/>
            </w:pPr>
            <w:r>
              <w:rPr>
                <w:b/>
                <w:sz w:val="14"/>
              </w:rPr>
              <w:t>Early-disease estimate (extractable; credible)</w:t>
            </w:r>
          </w:p>
        </w:tc>
        <w:tc>
          <w:tcPr>
            <w:tcW w:type="dxa" w:w="2835"/>
            <w:shd w:val="clear" w:color="auto" w:fill="E7ECF3"/>
          </w:tcPr>
          <w:p>
            <w:pPr>
              <w:spacing w:after="0"/>
              <w:jc w:val="center"/>
            </w:pPr>
            <w:r>
              <w:rPr>
                <w:b/>
                <w:sz w:val="14"/>
              </w:rPr>
              <w:t>Reference standard</w:t>
            </w:r>
          </w:p>
        </w:tc>
        <w:tc>
          <w:tcPr>
            <w:tcW w:type="dxa" w:w="2268"/>
            <w:shd w:val="clear" w:color="auto" w:fill="E7ECF3"/>
          </w:tcPr>
          <w:p>
            <w:pPr>
              <w:spacing w:after="0"/>
              <w:jc w:val="center"/>
            </w:pPr>
            <w:r>
              <w:rPr>
                <w:b/>
                <w:sz w:val="14"/>
              </w:rPr>
              <w:t>Biomarker representation</w:t>
            </w:r>
          </w:p>
        </w:tc>
        <w:tc>
          <w:tcPr>
            <w:tcW w:type="dxa" w:w="2608"/>
            <w:shd w:val="clear" w:color="auto" w:fill="E7ECF3"/>
          </w:tcPr>
          <w:p>
            <w:pPr>
              <w:spacing w:after="0"/>
              <w:jc w:val="center"/>
            </w:pPr>
            <w:r>
              <w:rPr>
                <w:b/>
                <w:sz w:val="14"/>
              </w:rPr>
              <w:t>Explanation method</w:t>
            </w:r>
          </w:p>
        </w:tc>
      </w:tr>
      <w:tr>
        <w:trPr>
          <w:cantSplit/>
        </w:trPr>
        <w:tc>
          <w:tcPr>
            <w:tcW w:type="dxa" w:w="1928"/>
          </w:tcPr>
          <w:p>
            <w:pPr>
              <w:spacing w:after="0"/>
            </w:pPr>
            <w:r>
              <w:rPr>
                <w:b w:val="0"/>
                <w:sz w:val="14"/>
              </w:rPr>
              <w:t>S01; Song et al., 2021 [36]</w:t>
            </w:r>
          </w:p>
        </w:tc>
        <w:tc>
          <w:tcPr>
            <w:tcW w:type="dxa" w:w="1701"/>
          </w:tcPr>
          <w:p>
            <w:pPr>
              <w:spacing w:after="0"/>
            </w:pPr>
            <w:r>
              <w:rPr>
                <w:b w:val="0"/>
                <w:sz w:val="14"/>
              </w:rPr>
              <w:t>Author-labelled early/stage; criteria inadequate</w:t>
            </w:r>
          </w:p>
        </w:tc>
        <w:tc>
          <w:tcPr>
            <w:tcW w:type="dxa" w:w="2608"/>
          </w:tcPr>
          <w:p>
            <w:pPr>
              <w:spacing w:after="0"/>
            </w:pPr>
            <w:r>
              <w:rPr>
                <w:b w:val="0"/>
                <w:sz w:val="14"/>
              </w:rPr>
              <w:t>447 early, 140 moderate, and 110 advanced cases reported; the report did not give a reproducible early cut-off</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diagnosis integrating OCT and visual field</w:t>
            </w:r>
          </w:p>
        </w:tc>
        <w:tc>
          <w:tcPr>
            <w:tcW w:type="dxa" w:w="2268"/>
          </w:tcPr>
          <w:p>
            <w:pPr>
              <w:spacing w:after="0"/>
            </w:pPr>
            <w:r>
              <w:rPr>
                <w:b w:val="0"/>
                <w:sz w:val="14"/>
              </w:rPr>
              <w:t>OCT structural pattern and visual-field function, learned jointly</w:t>
            </w:r>
          </w:p>
        </w:tc>
        <w:tc>
          <w:tcPr>
            <w:tcW w:type="dxa" w:w="2608"/>
          </w:tcPr>
          <w:p>
            <w:pPr>
              <w:spacing w:after="0"/>
            </w:pPr>
            <w:r>
              <w:rPr>
                <w:b w:val="0"/>
                <w:sz w:val="14"/>
              </w:rPr>
              <w:t>NR</w:t>
            </w:r>
          </w:p>
        </w:tc>
      </w:tr>
      <w:tr>
        <w:trPr>
          <w:cantSplit/>
        </w:trPr>
        <w:tc>
          <w:tcPr>
            <w:tcW w:type="dxa" w:w="1928"/>
          </w:tcPr>
          <w:p>
            <w:pPr>
              <w:spacing w:after="0"/>
            </w:pPr>
            <w:r>
              <w:rPr>
                <w:b w:val="0"/>
                <w:sz w:val="14"/>
              </w:rPr>
              <w:t>S02; Fan et al., 2023 [37]</w:t>
            </w:r>
          </w:p>
        </w:tc>
        <w:tc>
          <w:tcPr>
            <w:tcW w:type="dxa" w:w="1701"/>
          </w:tcPr>
          <w:p>
            <w:pPr>
              <w:spacing w:after="0"/>
            </w:pPr>
            <w:r>
              <w:rPr>
                <w:b w:val="0"/>
                <w:sz w:val="14"/>
              </w:rPr>
              <w:t>Operational mild/early perimetric</w:t>
            </w:r>
          </w:p>
        </w:tc>
        <w:tc>
          <w:tcPr>
            <w:tcW w:type="dxa" w:w="2608"/>
          </w:tcPr>
          <w:p>
            <w:pPr>
              <w:spacing w:after="0"/>
            </w:pPr>
            <w:r>
              <w:rPr>
                <w:b w:val="0"/>
                <w:sz w:val="14"/>
              </w:rPr>
              <w:t>Early glaucoma defined as visual-field mean deviation ≥ −6 dB and reported separately</w:t>
            </w:r>
          </w:p>
        </w:tc>
        <w:tc>
          <w:tcPr>
            <w:tcW w:type="dxa" w:w="1020"/>
          </w:tcPr>
          <w:p>
            <w:pPr>
              <w:spacing w:after="0"/>
              <w:jc w:val="center"/>
            </w:pPr>
            <w:r>
              <w:rPr>
                <w:b w:val="0"/>
                <w:sz w:val="14"/>
              </w:rPr>
              <w:t>Extractable; credible</w:t>
            </w:r>
          </w:p>
        </w:tc>
        <w:tc>
          <w:tcPr>
            <w:tcW w:type="dxa" w:w="2835"/>
          </w:tcPr>
          <w:p>
            <w:pPr>
              <w:spacing w:after="0"/>
            </w:pPr>
            <w:r>
              <w:rPr>
                <w:b w:val="0"/>
                <w:sz w:val="14"/>
              </w:rPr>
              <w:t>Adjudicated/reading-centre/multiple-expert reference: OHTS endpoint committee and reading-centre determinations using disc and/or reproducible visual-field change</w:t>
            </w:r>
          </w:p>
        </w:tc>
        <w:tc>
          <w:tcPr>
            <w:tcW w:type="dxa" w:w="2268"/>
          </w:tcPr>
          <w:p>
            <w:pPr>
              <w:spacing w:after="0"/>
            </w:pPr>
            <w:r>
              <w:rPr>
                <w:b w:val="0"/>
                <w:sz w:val="14"/>
              </w:rPr>
              <w:t>Neuroretinal rim and localised rim thinning; direct attention maps</w:t>
            </w:r>
          </w:p>
        </w:tc>
        <w:tc>
          <w:tcPr>
            <w:tcW w:type="dxa" w:w="2608"/>
          </w:tcPr>
          <w:p>
            <w:pPr>
              <w:spacing w:after="0"/>
            </w:pPr>
            <w:r>
              <w:rPr>
                <w:b w:val="0"/>
                <w:sz w:val="14"/>
              </w:rPr>
              <w:t>Transformer attention maps; rim localisation</w:t>
            </w:r>
          </w:p>
        </w:tc>
      </w:tr>
      <w:tr>
        <w:trPr>
          <w:cantSplit/>
        </w:trPr>
        <w:tc>
          <w:tcPr>
            <w:tcW w:type="dxa" w:w="1928"/>
          </w:tcPr>
          <w:p>
            <w:pPr>
              <w:spacing w:after="0"/>
            </w:pPr>
            <w:r>
              <w:rPr>
                <w:b w:val="0"/>
                <w:sz w:val="14"/>
              </w:rPr>
              <w:t>S03; Wang et al., 2023 [38]</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ODIR labels</w:t>
            </w:r>
          </w:p>
        </w:tc>
        <w:tc>
          <w:tcPr>
            <w:tcW w:type="dxa" w:w="2268"/>
          </w:tcPr>
          <w:p>
            <w:pPr>
              <w:spacing w:after="0"/>
            </w:pPr>
            <w:r>
              <w:rPr>
                <w:b w:val="0"/>
                <w:sz w:val="14"/>
              </w:rPr>
              <w:t>Implicit whole-retina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S04; Alayón et al., 2023 [39]</w:t>
            </w:r>
          </w:p>
        </w:tc>
        <w:tc>
          <w:tcPr>
            <w:tcW w:type="dxa" w:w="1701"/>
          </w:tcPr>
          <w:p>
            <w:pPr>
              <w:spacing w:after="0"/>
            </w:pPr>
            <w:r>
              <w:rPr>
                <w:b w:val="0"/>
                <w:sz w:val="14"/>
              </w:rPr>
              <w:t>No early/preperimetric definition</w:t>
            </w:r>
          </w:p>
        </w:tc>
        <w:tc>
          <w:tcPr>
            <w:tcW w:type="dxa" w:w="2608"/>
          </w:tcPr>
          <w:p>
            <w:pPr>
              <w:spacing w:after="0"/>
            </w:pPr>
            <w:r>
              <w:rPr>
                <w:b w:val="0"/>
                <w:sz w:val="14"/>
              </w:rPr>
              <w:t>No early or preperimetric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S05; Hwang et al., 2023 [40]</w:t>
            </w:r>
          </w:p>
        </w:tc>
        <w:tc>
          <w:tcPr>
            <w:tcW w:type="dxa" w:w="1701"/>
          </w:tcPr>
          <w:p>
            <w:pPr>
              <w:spacing w:after="0"/>
            </w:pPr>
            <w:r>
              <w:rPr>
                <w:b w:val="0"/>
                <w:sz w:val="14"/>
              </w:rPr>
              <w:t>No early/preperimetric definition</w:t>
            </w:r>
          </w:p>
        </w:tc>
        <w:tc>
          <w:tcPr>
            <w:tcW w:type="dxa" w:w="2608"/>
          </w:tcPr>
          <w:p>
            <w:pPr>
              <w:spacing w:after="0"/>
            </w:pPr>
            <w:r>
              <w:rPr>
                <w:b w:val="0"/>
                <w:sz w:val="14"/>
              </w:rPr>
              <w:t>No severity stratification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Labels inherited from each repository; ORIGA algorithmic and sjchoi86-HRF provenance unknown</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S06; Singh et al., 2023 [41]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 label; provenance NR</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S07; D’Souza et al., 2024 [42]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AIROGS repository labels</w:t>
            </w:r>
          </w:p>
        </w:tc>
        <w:tc>
          <w:tcPr>
            <w:tcW w:type="dxa" w:w="2268"/>
          </w:tcPr>
          <w:p>
            <w:pPr>
              <w:spacing w:after="0"/>
            </w:pPr>
            <w:r>
              <w:rPr>
                <w:b w:val="0"/>
                <w:sz w:val="14"/>
              </w:rPr>
              <w:t>Implicit optic-nerve-head appearance</w:t>
            </w:r>
          </w:p>
        </w:tc>
        <w:tc>
          <w:tcPr>
            <w:tcW w:type="dxa" w:w="2608"/>
          </w:tcPr>
          <w:p>
            <w:pPr>
              <w:spacing w:after="0"/>
            </w:pPr>
            <w:r>
              <w:rPr>
                <w:b w:val="0"/>
                <w:sz w:val="14"/>
              </w:rPr>
              <w:t>NR</w:t>
            </w:r>
          </w:p>
        </w:tc>
      </w:tr>
      <w:tr>
        <w:trPr>
          <w:cantSplit/>
        </w:trPr>
        <w:tc>
          <w:tcPr>
            <w:tcW w:type="dxa" w:w="1928"/>
          </w:tcPr>
          <w:p>
            <w:pPr>
              <w:spacing w:after="0"/>
            </w:pPr>
            <w:r>
              <w:rPr>
                <w:b w:val="0"/>
                <w:sz w:val="14"/>
              </w:rPr>
              <w:t>S08; Wang et al., 2023 [43]</w:t>
            </w:r>
          </w:p>
        </w:tc>
        <w:tc>
          <w:tcPr>
            <w:tcW w:type="dxa" w:w="1701"/>
          </w:tcPr>
          <w:p>
            <w:pPr>
              <w:spacing w:after="0"/>
            </w:pPr>
            <w:r>
              <w:rPr>
                <w:b w:val="0"/>
                <w:sz w:val="14"/>
              </w:rPr>
              <w:t>Operational mild/early perimetric</w:t>
            </w:r>
          </w:p>
        </w:tc>
        <w:tc>
          <w:tcPr>
            <w:tcW w:type="dxa" w:w="2608"/>
          </w:tcPr>
          <w:p>
            <w:pPr>
              <w:spacing w:after="0"/>
            </w:pPr>
            <w:r>
              <w:rPr>
                <w:b w:val="0"/>
                <w:sz w:val="14"/>
              </w:rPr>
              <w:t>Early: visual-field mean deviation &gt; −6 dB; intermediate −6 to −12 dB; advanced &lt; −12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GAMMA labels integrating fundus, OCT, and visual field</w:t>
            </w:r>
          </w:p>
        </w:tc>
        <w:tc>
          <w:tcPr>
            <w:tcW w:type="dxa" w:w="2268"/>
          </w:tcPr>
          <w:p>
            <w:pPr>
              <w:spacing w:after="0"/>
            </w:pPr>
            <w:r>
              <w:rPr>
                <w:b w:val="0"/>
                <w:sz w:val="14"/>
              </w:rPr>
              <w:t>RNFL/OCT spatial structure and fundus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S09; Wu et al., 2023 [44]</w:t>
            </w:r>
          </w:p>
        </w:tc>
        <w:tc>
          <w:tcPr>
            <w:tcW w:type="dxa" w:w="1701"/>
          </w:tcPr>
          <w:p>
            <w:pPr>
              <w:spacing w:after="0"/>
            </w:pPr>
            <w:r>
              <w:rPr>
                <w:b w:val="0"/>
                <w:sz w:val="14"/>
              </w:rPr>
              <w:t>Operational mild/early perimetric</w:t>
            </w:r>
          </w:p>
        </w:tc>
        <w:tc>
          <w:tcPr>
            <w:tcW w:type="dxa" w:w="2608"/>
          </w:tcPr>
          <w:p>
            <w:pPr>
              <w:spacing w:after="0"/>
            </w:pPr>
            <w:r>
              <w:rPr>
                <w:b w:val="0"/>
                <w:sz w:val="14"/>
              </w:rPr>
              <w:t>Early/mild category based on visual-field mean deviation &gt; −6 dB</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Challenge reference integrating structural and functional information</w:t>
            </w:r>
          </w:p>
        </w:tc>
        <w:tc>
          <w:tcPr>
            <w:tcW w:type="dxa" w:w="2268"/>
          </w:tcPr>
          <w:p>
            <w:pPr>
              <w:spacing w:after="0"/>
            </w:pPr>
            <w:r>
              <w:rPr>
                <w:b w:val="0"/>
                <w:sz w:val="14"/>
              </w:rPr>
              <w:t>vCDR from fundus and RNFL thickness from OCT</w:t>
            </w:r>
          </w:p>
        </w:tc>
        <w:tc>
          <w:tcPr>
            <w:tcW w:type="dxa" w:w="2608"/>
          </w:tcPr>
          <w:p>
            <w:pPr>
              <w:spacing w:after="0"/>
            </w:pPr>
            <w:r>
              <w:rPr>
                <w:b w:val="0"/>
                <w:sz w:val="14"/>
              </w:rPr>
              <w:t>NR</w:t>
            </w:r>
          </w:p>
        </w:tc>
      </w:tr>
      <w:tr>
        <w:trPr>
          <w:cantSplit/>
        </w:trPr>
        <w:tc>
          <w:tcPr>
            <w:tcW w:type="dxa" w:w="1928"/>
          </w:tcPr>
          <w:p>
            <w:pPr>
              <w:spacing w:after="0"/>
            </w:pPr>
            <w:r>
              <w:rPr>
                <w:b w:val="0"/>
                <w:sz w:val="14"/>
              </w:rPr>
              <w:t>S10; Tohye et al., 2024 [45]</w:t>
            </w:r>
          </w:p>
        </w:tc>
        <w:tc>
          <w:tcPr>
            <w:tcW w:type="dxa" w:w="1701"/>
          </w:tcPr>
          <w:p>
            <w:pPr>
              <w:spacing w:after="0"/>
            </w:pPr>
            <w:r>
              <w:rPr>
                <w:b w:val="0"/>
                <w:sz w:val="14"/>
              </w:rPr>
              <w:t>Suspect/OHT risk state</w:t>
            </w:r>
          </w:p>
        </w:tc>
        <w:tc>
          <w:tcPr>
            <w:tcW w:type="dxa" w:w="2608"/>
          </w:tcPr>
          <w:p>
            <w:pPr>
              <w:spacing w:after="0"/>
            </w:pPr>
            <w:r>
              <w:rPr>
                <w:b w:val="0"/>
                <w:sz w:val="14"/>
              </w:rPr>
              <w:t>A suspect class was included, but its inherited label was not supported by a reproducible clinical definition and was not equated with established early glaucoma</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labels from aggregated repositories</w:t>
            </w:r>
          </w:p>
        </w:tc>
        <w:tc>
          <w:tcPr>
            <w:tcW w:type="dxa" w:w="2268"/>
          </w:tcPr>
          <w:p>
            <w:pPr>
              <w:spacing w:after="0"/>
            </w:pPr>
            <w:r>
              <w:rPr>
                <w:b w:val="0"/>
                <w:sz w:val="14"/>
              </w:rPr>
              <w:t>Explicit optic-disc and optic-cup contours supplied as a second stream</w:t>
            </w:r>
          </w:p>
        </w:tc>
        <w:tc>
          <w:tcPr>
            <w:tcW w:type="dxa" w:w="2608"/>
          </w:tcPr>
          <w:p>
            <w:pPr>
              <w:spacing w:after="0"/>
            </w:pPr>
            <w:r>
              <w:rPr>
                <w:b w:val="0"/>
                <w:sz w:val="14"/>
              </w:rPr>
              <w:t>Attention heat maps for CA-ViT and transformer comparators</w:t>
            </w:r>
          </w:p>
        </w:tc>
      </w:tr>
      <w:tr>
        <w:trPr>
          <w:cantSplit/>
        </w:trPr>
        <w:tc>
          <w:tcPr>
            <w:tcW w:type="dxa" w:w="1928"/>
          </w:tcPr>
          <w:p>
            <w:pPr>
              <w:spacing w:after="0"/>
            </w:pPr>
            <w:r>
              <w:rPr>
                <w:b w:val="0"/>
                <w:sz w:val="14"/>
              </w:rPr>
              <w:t>S11; Wang et al., 2024 [46]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Specialist clinical diagnosis incorporating OCT/RNFL and visual field; exact criteria NR</w:t>
            </w:r>
          </w:p>
        </w:tc>
        <w:tc>
          <w:tcPr>
            <w:tcW w:type="dxa" w:w="2268"/>
          </w:tcPr>
          <w:p>
            <w:pPr>
              <w:spacing w:after="0"/>
            </w:pPr>
            <w:r>
              <w:rPr>
                <w:b w:val="0"/>
                <w:sz w:val="14"/>
              </w:rPr>
              <w:t>Spectral-band signal; vCDR and retinal regions discussed but not independently validated</w:t>
            </w:r>
          </w:p>
        </w:tc>
        <w:tc>
          <w:tcPr>
            <w:tcW w:type="dxa" w:w="2608"/>
          </w:tcPr>
          <w:p>
            <w:pPr>
              <w:spacing w:after="0"/>
            </w:pPr>
            <w:r>
              <w:rPr>
                <w:b w:val="0"/>
                <w:sz w:val="14"/>
              </w:rPr>
              <w:t>NR</w:t>
            </w:r>
          </w:p>
        </w:tc>
      </w:tr>
      <w:tr>
        <w:trPr>
          <w:cantSplit/>
        </w:trPr>
        <w:tc>
          <w:tcPr>
            <w:tcW w:type="dxa" w:w="1928"/>
          </w:tcPr>
          <w:p>
            <w:pPr>
              <w:spacing w:after="0"/>
            </w:pPr>
            <w:r>
              <w:rPr>
                <w:b w:val="0"/>
                <w:sz w:val="14"/>
              </w:rPr>
              <w:t>S12; Chincholi and Koestler, 2024 [47]</w:t>
            </w:r>
          </w:p>
        </w:tc>
        <w:tc>
          <w:tcPr>
            <w:tcW w:type="dxa" w:w="1701"/>
          </w:tcPr>
          <w:p>
            <w:pPr>
              <w:spacing w:after="0"/>
            </w:pPr>
            <w:r>
              <w:rPr>
                <w:b w:val="0"/>
                <w:sz w:val="14"/>
              </w:rPr>
              <w:t>No early/preperimetric definition</w:t>
            </w:r>
          </w:p>
        </w:tc>
        <w:tc>
          <w:tcPr>
            <w:tcW w:type="dxa" w:w="2608"/>
          </w:tcPr>
          <w:p>
            <w:pPr>
              <w:spacing w:after="0"/>
            </w:pPr>
            <w:r>
              <w:rPr>
                <w:b w:val="0"/>
                <w:sz w:val="14"/>
              </w:rPr>
              <w:t>vCDR &gt; 0.6 identifies a structural risk marker, not an operational early-glaucoma state</w:t>
            </w:r>
          </w:p>
        </w:tc>
        <w:tc>
          <w:tcPr>
            <w:tcW w:type="dxa" w:w="1020"/>
          </w:tcPr>
          <w:p>
            <w:pPr>
              <w:spacing w:after="0"/>
              <w:jc w:val="center"/>
            </w:pPr>
            <w:r>
              <w:rPr>
                <w:b w:val="0"/>
                <w:sz w:val="14"/>
              </w:rPr>
              <w:t>No</w:t>
            </w:r>
          </w:p>
        </w:tc>
        <w:tc>
          <w:tcPr>
            <w:tcW w:type="dxa" w:w="2835"/>
          </w:tcPr>
          <w:p>
            <w:pPr>
              <w:spacing w:after="0"/>
            </w:pPr>
            <w:r>
              <w:rPr>
                <w:b w:val="0"/>
                <w:sz w:val="14"/>
              </w:rPr>
              <w:t>Surrogate/algorithmic threshold: Cup-to-disc ratio &gt; 0.6 with expert validation</w:t>
            </w:r>
          </w:p>
        </w:tc>
        <w:tc>
          <w:tcPr>
            <w:tcW w:type="dxa" w:w="2268"/>
          </w:tcPr>
          <w:p>
            <w:pPr>
              <w:spacing w:after="0"/>
            </w:pPr>
            <w:r>
              <w:rPr>
                <w:b w:val="0"/>
                <w:sz w:val="14"/>
              </w:rPr>
              <w:t>Explicit vCDR and vertical neuroretinal-rim thinning</w:t>
            </w:r>
          </w:p>
        </w:tc>
        <w:tc>
          <w:tcPr>
            <w:tcW w:type="dxa" w:w="2608"/>
          </w:tcPr>
          <w:p>
            <w:pPr>
              <w:spacing w:after="0"/>
            </w:pPr>
            <w:r>
              <w:rPr>
                <w:b w:val="0"/>
                <w:sz w:val="14"/>
              </w:rPr>
              <w:t>NR</w:t>
            </w:r>
          </w:p>
        </w:tc>
      </w:tr>
      <w:tr>
        <w:trPr>
          <w:cantSplit/>
        </w:trPr>
        <w:tc>
          <w:tcPr>
            <w:tcW w:type="dxa" w:w="1928"/>
          </w:tcPr>
          <w:p>
            <w:pPr>
              <w:spacing w:after="0"/>
            </w:pPr>
            <w:r>
              <w:rPr>
                <w:b w:val="0"/>
                <w:sz w:val="14"/>
              </w:rPr>
              <w:t>S13; Almeshrky and Karacı, 2024 [48]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Optic-disc localisation/segmentation; cup morphology implicit</w:t>
            </w:r>
          </w:p>
        </w:tc>
        <w:tc>
          <w:tcPr>
            <w:tcW w:type="dxa" w:w="2608"/>
          </w:tcPr>
          <w:p>
            <w:pPr>
              <w:spacing w:after="0"/>
            </w:pPr>
            <w:r>
              <w:rPr>
                <w:b w:val="0"/>
                <w:sz w:val="14"/>
              </w:rPr>
              <w:t>NR</w:t>
            </w:r>
          </w:p>
        </w:tc>
      </w:tr>
      <w:tr>
        <w:trPr>
          <w:cantSplit/>
        </w:trPr>
        <w:tc>
          <w:tcPr>
            <w:tcW w:type="dxa" w:w="1928"/>
          </w:tcPr>
          <w:p>
            <w:pPr>
              <w:spacing w:after="0"/>
            </w:pPr>
            <w:r>
              <w:rPr>
                <w:b w:val="0"/>
                <w:sz w:val="14"/>
              </w:rPr>
              <w:t>S14; Sangchocanonta et al., 2025 [49]</w:t>
            </w:r>
          </w:p>
        </w:tc>
        <w:tc>
          <w:tcPr>
            <w:tcW w:type="dxa" w:w="1701"/>
          </w:tcPr>
          <w:p>
            <w:pPr>
              <w:spacing w:after="0"/>
            </w:pPr>
            <w:r>
              <w:rPr>
                <w:b w:val="0"/>
                <w:sz w:val="14"/>
              </w:rPr>
              <w:t>Suspect/OHT risk state</w:t>
            </w:r>
          </w:p>
        </w:tc>
        <w:tc>
          <w:tcPr>
            <w:tcW w:type="dxa" w:w="2608"/>
          </w:tcPr>
          <w:p>
            <w:pPr>
              <w:spacing w:after="0"/>
            </w:pPr>
            <w:r>
              <w:rPr>
                <w:b w:val="0"/>
                <w:sz w:val="14"/>
              </w:rPr>
              <w:t>Glaucoma suspect was a separate consensus class and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Consensus of three ophthalmologists, analysed by agreement stratum</w:t>
            </w:r>
          </w:p>
        </w:tc>
        <w:tc>
          <w:tcPr>
            <w:tcW w:type="dxa" w:w="2268"/>
          </w:tcPr>
          <w:p>
            <w:pPr>
              <w:spacing w:after="0"/>
            </w:pPr>
            <w:r>
              <w:rPr>
                <w:b w:val="0"/>
                <w:sz w:val="14"/>
              </w:rPr>
              <w:t>ISNT sectors, disc rim, notching, and cup; direct attention maps</w:t>
            </w:r>
          </w:p>
        </w:tc>
        <w:tc>
          <w:tcPr>
            <w:tcW w:type="dxa" w:w="2608"/>
          </w:tcPr>
          <w:p>
            <w:pPr>
              <w:spacing w:after="0"/>
            </w:pPr>
            <w:r>
              <w:rPr>
                <w:b w:val="0"/>
                <w:sz w:val="14"/>
              </w:rPr>
              <w:t>Attention maps localised rim/notching</w:t>
            </w:r>
          </w:p>
        </w:tc>
      </w:tr>
      <w:tr>
        <w:trPr>
          <w:cantSplit/>
        </w:trPr>
        <w:tc>
          <w:tcPr>
            <w:tcW w:type="dxa" w:w="1928"/>
          </w:tcPr>
          <w:p>
            <w:pPr>
              <w:spacing w:after="0"/>
            </w:pPr>
            <w:r>
              <w:rPr>
                <w:b w:val="0"/>
                <w:sz w:val="14"/>
              </w:rPr>
              <w:t>S15; Ashtari-Majlan and Masip, 2025 [50]</w:t>
            </w:r>
          </w:p>
        </w:tc>
        <w:tc>
          <w:tcPr>
            <w:tcW w:type="dxa" w:w="1701"/>
          </w:tcPr>
          <w:p>
            <w:pPr>
              <w:spacing w:after="0"/>
            </w:pPr>
            <w:r>
              <w:rPr>
                <w:b w:val="0"/>
                <w:sz w:val="14"/>
              </w:rPr>
              <w:t>No early/preperimetric definition</w:t>
            </w:r>
          </w:p>
        </w:tc>
        <w:tc>
          <w:tcPr>
            <w:tcW w:type="dxa" w:w="2608"/>
          </w:tcPr>
          <w:p>
            <w:pPr>
              <w:spacing w:after="0"/>
            </w:pPr>
            <w:r>
              <w:rPr>
                <w:b w:val="0"/>
                <w:sz w:val="14"/>
              </w:rPr>
              <w:t>Mean glaucoma MD −6.8 ± 8.1 dB; no separately defined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POAG with reproducible visual-field defects on at least two tests</w:t>
            </w:r>
          </w:p>
        </w:tc>
        <w:tc>
          <w:tcPr>
            <w:tcW w:type="dxa" w:w="2268"/>
          </w:tcPr>
          <w:p>
            <w:pPr>
              <w:spacing w:after="0"/>
            </w:pPr>
            <w:r>
              <w:rPr>
                <w:b w:val="0"/>
                <w:sz w:val="14"/>
              </w:rPr>
              <w:t>Slice-wise OCT representation and inter-slice dependencies; attention rollout</w:t>
            </w:r>
          </w:p>
        </w:tc>
        <w:tc>
          <w:tcPr>
            <w:tcW w:type="dxa" w:w="2608"/>
          </w:tcPr>
          <w:p>
            <w:pPr>
              <w:spacing w:after="0"/>
            </w:pPr>
            <w:r>
              <w:rPr>
                <w:b w:val="0"/>
                <w:sz w:val="14"/>
              </w:rPr>
              <w:t>Attention rollout</w:t>
            </w:r>
          </w:p>
        </w:tc>
      </w:tr>
      <w:tr>
        <w:trPr>
          <w:cantSplit/>
        </w:trPr>
        <w:tc>
          <w:tcPr>
            <w:tcW w:type="dxa" w:w="1928"/>
          </w:tcPr>
          <w:p>
            <w:pPr>
              <w:spacing w:after="0"/>
            </w:pPr>
            <w:r>
              <w:rPr>
                <w:b w:val="0"/>
                <w:sz w:val="14"/>
              </w:rPr>
              <w:t>S16; Yurdakul et al., 2025 [51]</w:t>
            </w:r>
          </w:p>
        </w:tc>
        <w:tc>
          <w:tcPr>
            <w:tcW w:type="dxa" w:w="1701"/>
          </w:tcPr>
          <w:p>
            <w:pPr>
              <w:spacing w:after="0"/>
            </w:pPr>
            <w:r>
              <w:rPr>
                <w:b w:val="0"/>
                <w:sz w:val="14"/>
              </w:rPr>
              <w:t>Author-labelled early/stage; criteria inadequate</w:t>
            </w:r>
          </w:p>
        </w:tc>
        <w:tc>
          <w:tcPr>
            <w:tcW w:type="dxa" w:w="2608"/>
          </w:tcPr>
          <w:p>
            <w:pPr>
              <w:spacing w:after="0"/>
            </w:pPr>
            <w:r>
              <w:rPr>
                <w:b w:val="0"/>
                <w:sz w:val="14"/>
              </w:rPr>
              <w:t>An early class was used, but the report did not provide an independently reproducible clinical staging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HDV1 stage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S17; Das et al., 2025 [52]</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were evaluated, but reproducible clinical cutoffs were not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Dataset-specific stage labels</w:t>
            </w:r>
          </w:p>
        </w:tc>
        <w:tc>
          <w:tcPr>
            <w:tcW w:type="dxa" w:w="2268"/>
          </w:tcPr>
          <w:p>
            <w:pPr>
              <w:spacing w:after="0"/>
            </w:pPr>
            <w:r>
              <w:rPr>
                <w:b w:val="0"/>
                <w:sz w:val="14"/>
              </w:rPr>
              <w:t>Spatial- and frequency-domain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S18; Naidana et al., 2025 [53]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Inherited dataset labels and a small clinical source</w:t>
            </w:r>
          </w:p>
        </w:tc>
        <w:tc>
          <w:tcPr>
            <w:tcW w:type="dxa" w:w="2268"/>
          </w:tcPr>
          <w:p>
            <w:pPr>
              <w:spacing w:after="0"/>
            </w:pPr>
            <w:r>
              <w:rPr>
                <w:b w:val="0"/>
                <w:sz w:val="14"/>
              </w:rPr>
              <w:t>Implicit optic-disc/cup morphology</w:t>
            </w:r>
          </w:p>
        </w:tc>
        <w:tc>
          <w:tcPr>
            <w:tcW w:type="dxa" w:w="2608"/>
          </w:tcPr>
          <w:p>
            <w:pPr>
              <w:spacing w:after="0"/>
            </w:pPr>
            <w:r>
              <w:rPr>
                <w:b w:val="0"/>
                <w:sz w:val="14"/>
              </w:rPr>
              <w:t>NR</w:t>
            </w:r>
          </w:p>
        </w:tc>
      </w:tr>
      <w:tr>
        <w:trPr>
          <w:cantSplit/>
        </w:trPr>
        <w:tc>
          <w:tcPr>
            <w:tcW w:type="dxa" w:w="1928"/>
          </w:tcPr>
          <w:p>
            <w:pPr>
              <w:spacing w:after="0"/>
            </w:pPr>
            <w:r>
              <w:rPr>
                <w:b w:val="0"/>
                <w:sz w:val="14"/>
              </w:rPr>
              <w:t>S19; Guntreddi and Sivakumar, 2025 [54]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ORIGA labels</w:t>
            </w:r>
          </w:p>
        </w:tc>
        <w:tc>
          <w:tcPr>
            <w:tcW w:type="dxa" w:w="2268"/>
          </w:tcPr>
          <w:p>
            <w:pPr>
              <w:spacing w:after="0"/>
            </w:pPr>
            <w:r>
              <w:rPr>
                <w:b w:val="0"/>
                <w:sz w:val="14"/>
              </w:rPr>
              <w:t>CDR metadata and implicit disc appearance</w:t>
            </w:r>
          </w:p>
        </w:tc>
        <w:tc>
          <w:tcPr>
            <w:tcW w:type="dxa" w:w="2608"/>
          </w:tcPr>
          <w:p>
            <w:pPr>
              <w:spacing w:after="0"/>
            </w:pPr>
            <w:r>
              <w:rPr>
                <w:b w:val="0"/>
                <w:sz w:val="14"/>
              </w:rPr>
              <w:t>NR</w:t>
            </w:r>
          </w:p>
        </w:tc>
      </w:tr>
      <w:tr>
        <w:trPr>
          <w:cantSplit/>
        </w:trPr>
        <w:tc>
          <w:tcPr>
            <w:tcW w:type="dxa" w:w="1928"/>
          </w:tcPr>
          <w:p>
            <w:pPr>
              <w:spacing w:after="0"/>
            </w:pPr>
            <w:r>
              <w:rPr>
                <w:b w:val="0"/>
                <w:sz w:val="14"/>
              </w:rPr>
              <w:t>S20; Jisy et al., 2025 [55]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Clinical dataset labels; criteria and masking NR</w:t>
            </w:r>
          </w:p>
        </w:tc>
        <w:tc>
          <w:tcPr>
            <w:tcW w:type="dxa" w:w="2268"/>
          </w:tcPr>
          <w:p>
            <w:pPr>
              <w:spacing w:after="0"/>
            </w:pPr>
            <w:r>
              <w:rPr>
                <w:b w:val="0"/>
                <w:sz w:val="14"/>
              </w:rPr>
              <w:t>Optic disc/cup and RNFL regions assessed with explanations</w:t>
            </w:r>
          </w:p>
        </w:tc>
        <w:tc>
          <w:tcPr>
            <w:tcW w:type="dxa" w:w="2608"/>
          </w:tcPr>
          <w:p>
            <w:pPr>
              <w:spacing w:after="0"/>
            </w:pPr>
            <w:r>
              <w:rPr>
                <w:b w:val="0"/>
                <w:sz w:val="14"/>
              </w:rPr>
              <w:t>Grad-CAM/attention visualisations</w:t>
            </w:r>
          </w:p>
        </w:tc>
      </w:tr>
      <w:tr>
        <w:trPr>
          <w:cantSplit/>
        </w:trPr>
        <w:tc>
          <w:tcPr>
            <w:tcW w:type="dxa" w:w="1928"/>
          </w:tcPr>
          <w:p>
            <w:pPr>
              <w:spacing w:after="0"/>
            </w:pPr>
            <w:r>
              <w:rPr>
                <w:b w:val="0"/>
                <w:sz w:val="14"/>
              </w:rPr>
              <w:t>S21; Krishnamoorthy et al., 2025 [56]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Inherited/unspecified labels</w:t>
            </w:r>
          </w:p>
        </w:tc>
        <w:tc>
          <w:tcPr>
            <w:tcW w:type="dxa" w:w="2268"/>
          </w:tcPr>
          <w:p>
            <w:pPr>
              <w:spacing w:after="0"/>
            </w:pPr>
            <w:r>
              <w:rPr>
                <w:b w:val="0"/>
                <w:sz w:val="14"/>
              </w:rPr>
              <w:t>Optic disc/cup boundaries and multiscale texture</w:t>
            </w:r>
          </w:p>
        </w:tc>
        <w:tc>
          <w:tcPr>
            <w:tcW w:type="dxa" w:w="2608"/>
          </w:tcPr>
          <w:p>
            <w:pPr>
              <w:spacing w:after="0"/>
            </w:pPr>
            <w:r>
              <w:rPr>
                <w:b w:val="0"/>
                <w:sz w:val="14"/>
              </w:rPr>
              <w:t>NR</w:t>
            </w:r>
          </w:p>
        </w:tc>
      </w:tr>
      <w:tr>
        <w:trPr>
          <w:cantSplit/>
        </w:trPr>
        <w:tc>
          <w:tcPr>
            <w:tcW w:type="dxa" w:w="1928"/>
          </w:tcPr>
          <w:p>
            <w:pPr>
              <w:spacing w:after="0"/>
            </w:pPr>
            <w:r>
              <w:rPr>
                <w:b w:val="0"/>
                <w:sz w:val="14"/>
              </w:rPr>
              <w:t>S22; Sivakumar and Penkova, 2025 [57]</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Reference diagnosis and clinical-variable linkage NR</w:t>
            </w:r>
          </w:p>
        </w:tc>
        <w:tc>
          <w:tcPr>
            <w:tcW w:type="dxa" w:w="2268"/>
          </w:tcPr>
          <w:p>
            <w:pPr>
              <w:spacing w:after="0"/>
            </w:pPr>
            <w:r>
              <w:rPr>
                <w:b w:val="0"/>
                <w:sz w:val="14"/>
              </w:rPr>
              <w:t>Fundus representation plus clinical biomarkers; exact variables incompletely reported</w:t>
            </w:r>
          </w:p>
        </w:tc>
        <w:tc>
          <w:tcPr>
            <w:tcW w:type="dxa" w:w="2608"/>
          </w:tcPr>
          <w:p>
            <w:pPr>
              <w:spacing w:after="0"/>
            </w:pPr>
            <w:r>
              <w:rPr>
                <w:b w:val="0"/>
                <w:sz w:val="14"/>
              </w:rPr>
              <w:t>NR</w:t>
            </w:r>
          </w:p>
        </w:tc>
      </w:tr>
      <w:tr>
        <w:trPr>
          <w:cantSplit/>
        </w:trPr>
        <w:tc>
          <w:tcPr>
            <w:tcW w:type="dxa" w:w="1928"/>
          </w:tcPr>
          <w:p>
            <w:pPr>
              <w:spacing w:after="0"/>
            </w:pPr>
            <w:r>
              <w:rPr>
                <w:b w:val="0"/>
                <w:sz w:val="14"/>
              </w:rPr>
              <w:t>S23; Alasmari et al., 2025 [58]</w:t>
            </w:r>
          </w:p>
        </w:tc>
        <w:tc>
          <w:tcPr>
            <w:tcW w:type="dxa" w:w="1701"/>
          </w:tcPr>
          <w:p>
            <w:pPr>
              <w:spacing w:after="0"/>
            </w:pPr>
            <w:r>
              <w:rPr>
                <w:b w:val="0"/>
                <w:sz w:val="14"/>
              </w:rPr>
              <w:t>No early/preperimetric definition</w:t>
            </w:r>
          </w:p>
        </w:tc>
        <w:tc>
          <w:tcPr>
            <w:tcW w:type="dxa" w:w="2608"/>
          </w:tcPr>
          <w:p>
            <w:pPr>
              <w:spacing w:after="0"/>
            </w:pPr>
            <w:r>
              <w:rPr>
                <w:b w:val="0"/>
                <w:sz w:val="14"/>
              </w:rPr>
              <w:t>vCDR-based risk classification was not treated as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REFUGE expert annotation; ORIGA/G1020 inherited labels; glaucoma defined by vCDR</w:t>
            </w:r>
          </w:p>
        </w:tc>
        <w:tc>
          <w:tcPr>
            <w:tcW w:type="dxa" w:w="2268"/>
          </w:tcPr>
          <w:p>
            <w:pPr>
              <w:spacing w:after="0"/>
            </w:pPr>
            <w:r>
              <w:rPr>
                <w:b w:val="0"/>
                <w:sz w:val="14"/>
              </w:rPr>
              <w:t>Explicit vertical cup-to-disc ratio from segmented disc and cup</w:t>
            </w:r>
          </w:p>
        </w:tc>
        <w:tc>
          <w:tcPr>
            <w:tcW w:type="dxa" w:w="2608"/>
          </w:tcPr>
          <w:p>
            <w:pPr>
              <w:spacing w:after="0"/>
            </w:pPr>
            <w:r>
              <w:rPr>
                <w:b w:val="0"/>
                <w:sz w:val="14"/>
              </w:rPr>
              <w:t>Explicit vCDR pathway</w:t>
            </w:r>
          </w:p>
        </w:tc>
      </w:tr>
      <w:tr>
        <w:trPr>
          <w:cantSplit/>
        </w:trPr>
        <w:tc>
          <w:tcPr>
            <w:tcW w:type="dxa" w:w="1928"/>
          </w:tcPr>
          <w:p>
            <w:pPr>
              <w:spacing w:after="0"/>
            </w:pPr>
            <w:r>
              <w:rPr>
                <w:b w:val="0"/>
                <w:sz w:val="14"/>
              </w:rPr>
              <w:t>S24; Liao et al., 2025 [59]</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labels</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S25; Lv et al., 2025 [60]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Expert masks; glaucoma threshold vCDR &gt; 0.6</w:t>
            </w:r>
          </w:p>
        </w:tc>
        <w:tc>
          <w:tcPr>
            <w:tcW w:type="dxa" w:w="2268"/>
          </w:tcPr>
          <w:p>
            <w:pPr>
              <w:spacing w:after="0"/>
            </w:pPr>
            <w:r>
              <w:rPr>
                <w:b w:val="0"/>
                <w:sz w:val="14"/>
              </w:rPr>
              <w:t>Explicit vCDR from optic disc/cup segmentation</w:t>
            </w:r>
          </w:p>
        </w:tc>
        <w:tc>
          <w:tcPr>
            <w:tcW w:type="dxa" w:w="2608"/>
          </w:tcPr>
          <w:p>
            <w:pPr>
              <w:spacing w:after="0"/>
            </w:pPr>
            <w:r>
              <w:rPr>
                <w:b w:val="0"/>
                <w:sz w:val="14"/>
              </w:rPr>
              <w:t>NR</w:t>
            </w:r>
          </w:p>
        </w:tc>
      </w:tr>
      <w:tr>
        <w:trPr>
          <w:cantSplit/>
        </w:trPr>
        <w:tc>
          <w:tcPr>
            <w:tcW w:type="dxa" w:w="1928"/>
          </w:tcPr>
          <w:p>
            <w:pPr>
              <w:spacing w:after="0"/>
            </w:pPr>
            <w:r>
              <w:rPr>
                <w:b w:val="0"/>
                <w:sz w:val="14"/>
              </w:rPr>
              <w:t>S26; Prakash and Vinoth Kumar, 2025 [61]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dataset labels and masks</w:t>
            </w:r>
          </w:p>
        </w:tc>
        <w:tc>
          <w:tcPr>
            <w:tcW w:type="dxa" w:w="2268"/>
          </w:tcPr>
          <w:p>
            <w:pPr>
              <w:spacing w:after="0"/>
            </w:pPr>
            <w:r>
              <w:rPr>
                <w:b w:val="0"/>
                <w:sz w:val="14"/>
              </w:rPr>
              <w:t>Explicit disc/cup segmentation and CDR</w:t>
            </w:r>
          </w:p>
        </w:tc>
        <w:tc>
          <w:tcPr>
            <w:tcW w:type="dxa" w:w="2608"/>
          </w:tcPr>
          <w:p>
            <w:pPr>
              <w:spacing w:after="0"/>
            </w:pPr>
            <w:r>
              <w:rPr>
                <w:b w:val="0"/>
                <w:sz w:val="14"/>
              </w:rPr>
              <w:t>NR</w:t>
            </w:r>
          </w:p>
        </w:tc>
      </w:tr>
      <w:tr>
        <w:trPr>
          <w:cantSplit/>
        </w:trPr>
        <w:tc>
          <w:tcPr>
            <w:tcW w:type="dxa" w:w="1928"/>
          </w:tcPr>
          <w:p>
            <w:pPr>
              <w:spacing w:after="0"/>
            </w:pPr>
            <w:r>
              <w:rPr>
                <w:b w:val="0"/>
                <w:sz w:val="14"/>
              </w:rPr>
              <w:t>S27; AlMohimeed, 2025 [62]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S28; Lin, 2025 [63]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features</w:t>
            </w:r>
          </w:p>
        </w:tc>
        <w:tc>
          <w:tcPr>
            <w:tcW w:type="dxa" w:w="2608"/>
          </w:tcPr>
          <w:p>
            <w:pPr>
              <w:spacing w:after="0"/>
            </w:pPr>
            <w:r>
              <w:rPr>
                <w:b w:val="0"/>
                <w:sz w:val="14"/>
              </w:rPr>
              <w:t>NR</w:t>
            </w:r>
          </w:p>
        </w:tc>
      </w:tr>
      <w:tr>
        <w:trPr>
          <w:cantSplit/>
        </w:trPr>
        <w:tc>
          <w:tcPr>
            <w:tcW w:type="dxa" w:w="1928"/>
          </w:tcPr>
          <w:p>
            <w:pPr>
              <w:spacing w:after="0"/>
            </w:pPr>
            <w:r>
              <w:rPr>
                <w:b w:val="0"/>
                <w:sz w:val="14"/>
              </w:rPr>
              <w:t>S29; Gandhi et al., 2025 [64]</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Source-specific labels; linkage and criteria NR</w:t>
            </w:r>
          </w:p>
        </w:tc>
        <w:tc>
          <w:tcPr>
            <w:tcW w:type="dxa" w:w="2268"/>
          </w:tcPr>
          <w:p>
            <w:pPr>
              <w:spacing w:after="0"/>
            </w:pPr>
            <w:r>
              <w:rPr>
                <w:b w:val="0"/>
                <w:sz w:val="14"/>
              </w:rPr>
              <w:t>Fundus/OCT structural features and clinical variables; simulated explanations</w:t>
            </w:r>
          </w:p>
        </w:tc>
        <w:tc>
          <w:tcPr>
            <w:tcW w:type="dxa" w:w="2608"/>
          </w:tcPr>
          <w:p>
            <w:pPr>
              <w:spacing w:after="0"/>
            </w:pPr>
            <w:r>
              <w:rPr>
                <w:b w:val="0"/>
                <w:sz w:val="14"/>
              </w:rPr>
              <w:t>Grad-CAM/SHAP/LIME claims include simulated examples</w:t>
            </w:r>
          </w:p>
        </w:tc>
      </w:tr>
      <w:tr>
        <w:trPr>
          <w:cantSplit/>
        </w:trPr>
        <w:tc>
          <w:tcPr>
            <w:tcW w:type="dxa" w:w="1928"/>
          </w:tcPr>
          <w:p>
            <w:pPr>
              <w:spacing w:after="0"/>
            </w:pPr>
            <w:r>
              <w:rPr>
                <w:b w:val="0"/>
                <w:sz w:val="14"/>
              </w:rPr>
              <w:t>S30; Rieck et al., 2025 [65]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S31; Hou et al., 2026 [66]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Dataset-native labels</w:t>
            </w:r>
          </w:p>
        </w:tc>
        <w:tc>
          <w:tcPr>
            <w:tcW w:type="dxa" w:w="2268"/>
          </w:tcPr>
          <w:p>
            <w:pPr>
              <w:spacing w:after="0"/>
            </w:pPr>
            <w:r>
              <w:rPr>
                <w:b w:val="0"/>
                <w:sz w:val="14"/>
              </w:rPr>
              <w:t>Implicit whole-fundus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S32; Abramovich et al., 2026 [67]</w:t>
            </w:r>
          </w:p>
        </w:tc>
        <w:tc>
          <w:tcPr>
            <w:tcW w:type="dxa" w:w="1701"/>
          </w:tcPr>
          <w:p>
            <w:pPr>
              <w:spacing w:after="0"/>
            </w:pPr>
            <w:r>
              <w:rPr>
                <w:b w:val="0"/>
                <w:sz w:val="14"/>
              </w:rPr>
              <w:t>No early/preperimetric definition</w:t>
            </w:r>
          </w:p>
        </w:tc>
        <w:tc>
          <w:tcPr>
            <w:tcW w:type="dxa" w:w="2608"/>
          </w:tcPr>
          <w:p>
            <w:pPr>
              <w:spacing w:after="0"/>
            </w:pPr>
            <w:r>
              <w:rPr>
                <w:b w:val="0"/>
                <w:sz w:val="14"/>
              </w:rPr>
              <w:t>No uniform early definition</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specialist/repository labels; suspects/OHT excluded</w:t>
            </w:r>
          </w:p>
        </w:tc>
        <w:tc>
          <w:tcPr>
            <w:tcW w:type="dxa" w:w="2268"/>
          </w:tcPr>
          <w:p>
            <w:pPr>
              <w:spacing w:after="0"/>
            </w:pPr>
            <w:r>
              <w:rPr>
                <w:b w:val="0"/>
                <w:sz w:val="14"/>
              </w:rPr>
              <w:t>Implicit optic-nerve-head morphology</w:t>
            </w:r>
          </w:p>
        </w:tc>
        <w:tc>
          <w:tcPr>
            <w:tcW w:type="dxa" w:w="2608"/>
          </w:tcPr>
          <w:p>
            <w:pPr>
              <w:spacing w:after="0"/>
            </w:pPr>
            <w:r>
              <w:rPr>
                <w:b w:val="0"/>
                <w:sz w:val="14"/>
              </w:rPr>
              <w:t>NR</w:t>
            </w:r>
          </w:p>
        </w:tc>
      </w:tr>
      <w:tr>
        <w:trPr>
          <w:cantSplit/>
        </w:trPr>
        <w:tc>
          <w:tcPr>
            <w:tcW w:type="dxa" w:w="1928"/>
          </w:tcPr>
          <w:p>
            <w:pPr>
              <w:spacing w:after="0"/>
            </w:pPr>
            <w:r>
              <w:rPr>
                <w:b w:val="0"/>
                <w:sz w:val="14"/>
              </w:rPr>
              <w:t>S33; Geetha and Hema, 2026 [68]</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 moderate, and advanced stages reported without an operational staging reference</w:t>
            </w:r>
          </w:p>
        </w:tc>
        <w:tc>
          <w:tcPr>
            <w:tcW w:type="dxa" w:w="1020"/>
          </w:tcPr>
          <w:p>
            <w:pPr>
              <w:spacing w:after="0"/>
              <w:jc w:val="center"/>
            </w:pPr>
            <w:r>
              <w:rPr>
                <w:b w:val="0"/>
                <w:sz w:val="14"/>
              </w:rPr>
              <w:t>No</w:t>
            </w:r>
          </w:p>
        </w:tc>
        <w:tc>
          <w:tcPr>
            <w:tcW w:type="dxa" w:w="2835"/>
          </w:tcPr>
          <w:p>
            <w:pPr>
              <w:spacing w:after="0"/>
            </w:pPr>
            <w:r>
              <w:rPr>
                <w:b w:val="0"/>
                <w:sz w:val="14"/>
              </w:rPr>
              <w:t>Inherited repository label: Source labels; stated class composition could not be reconciled with the named source datasets</w:t>
            </w:r>
          </w:p>
        </w:tc>
        <w:tc>
          <w:tcPr>
            <w:tcW w:type="dxa" w:w="2268"/>
          </w:tcPr>
          <w:p>
            <w:pPr>
              <w:spacing w:after="0"/>
            </w:pPr>
            <w:r>
              <w:rPr>
                <w:b w:val="0"/>
                <w:sz w:val="14"/>
              </w:rPr>
              <w:t>Implicit retinal representation</w:t>
            </w:r>
          </w:p>
        </w:tc>
        <w:tc>
          <w:tcPr>
            <w:tcW w:type="dxa" w:w="2608"/>
          </w:tcPr>
          <w:p>
            <w:pPr>
              <w:spacing w:after="0"/>
            </w:pPr>
            <w:r>
              <w:rPr>
                <w:b w:val="0"/>
                <w:sz w:val="14"/>
              </w:rPr>
              <w:t>NR</w:t>
            </w:r>
          </w:p>
        </w:tc>
      </w:tr>
      <w:tr>
        <w:trPr>
          <w:cantSplit/>
        </w:trPr>
        <w:tc>
          <w:tcPr>
            <w:tcW w:type="dxa" w:w="1928"/>
          </w:tcPr>
          <w:p>
            <w:pPr>
              <w:spacing w:after="0"/>
            </w:pPr>
            <w:r>
              <w:rPr>
                <w:b w:val="0"/>
                <w:sz w:val="14"/>
              </w:rPr>
              <w:t>S34; Bolo et al., 2026 [69]</w:t>
            </w:r>
          </w:p>
        </w:tc>
        <w:tc>
          <w:tcPr>
            <w:tcW w:type="dxa" w:w="1701"/>
          </w:tcPr>
          <w:p>
            <w:pPr>
              <w:spacing w:after="0"/>
            </w:pPr>
            <w:r>
              <w:rPr>
                <w:b w:val="0"/>
                <w:sz w:val="14"/>
              </w:rPr>
              <w:t>No early/preperimetric definition</w:t>
            </w:r>
          </w:p>
        </w:tc>
        <w:tc>
          <w:tcPr>
            <w:tcW w:type="dxa" w:w="2608"/>
          </w:tcPr>
          <w:p>
            <w:pPr>
              <w:spacing w:after="0"/>
            </w:pPr>
            <w:r>
              <w:rPr>
                <w:b w:val="0"/>
                <w:sz w:val="14"/>
              </w:rPr>
              <w:t>Referable morphology was not treated as established early glaucoma</w:t>
            </w:r>
          </w:p>
        </w:tc>
        <w:tc>
          <w:tcPr>
            <w:tcW w:type="dxa" w:w="1020"/>
          </w:tcPr>
          <w:p>
            <w:pPr>
              <w:spacing w:after="0"/>
              <w:jc w:val="center"/>
            </w:pPr>
            <w:r>
              <w:rPr>
                <w:b w:val="0"/>
                <w:sz w:val="14"/>
              </w:rPr>
              <w:t>No</w:t>
            </w:r>
          </w:p>
        </w:tc>
        <w:tc>
          <w:tcPr>
            <w:tcW w:type="dxa" w:w="2835"/>
          </w:tcPr>
          <w:p>
            <w:pPr>
              <w:spacing w:after="0"/>
            </w:pPr>
            <w:r>
              <w:rPr>
                <w:b w:val="0"/>
                <w:sz w:val="14"/>
              </w:rPr>
              <w:t>Surrogate/algorithmic threshold: CDR ≥ 0.6; optometrist development labels and specialist test labels</w:t>
            </w:r>
          </w:p>
        </w:tc>
        <w:tc>
          <w:tcPr>
            <w:tcW w:type="dxa" w:w="2268"/>
          </w:tcPr>
          <w:p>
            <w:pPr>
              <w:spacing w:after="0"/>
            </w:pPr>
            <w:r>
              <w:rPr>
                <w:b w:val="0"/>
                <w:sz w:val="14"/>
              </w:rPr>
              <w:t>Optic-disc morphology and vCDR</w:t>
            </w:r>
          </w:p>
        </w:tc>
        <w:tc>
          <w:tcPr>
            <w:tcW w:type="dxa" w:w="2608"/>
          </w:tcPr>
          <w:p>
            <w:pPr>
              <w:spacing w:after="0"/>
            </w:pPr>
            <w:r>
              <w:rPr>
                <w:b w:val="0"/>
                <w:sz w:val="14"/>
              </w:rPr>
              <w:t>NR</w:t>
            </w:r>
          </w:p>
        </w:tc>
      </w:tr>
      <w:tr>
        <w:trPr>
          <w:cantSplit/>
        </w:trPr>
        <w:tc>
          <w:tcPr>
            <w:tcW w:type="dxa" w:w="1928"/>
          </w:tcPr>
          <w:p>
            <w:pPr>
              <w:spacing w:after="0"/>
            </w:pPr>
            <w:r>
              <w:rPr>
                <w:b w:val="0"/>
                <w:sz w:val="14"/>
              </w:rPr>
              <w:t>S35; Chuter et al., 2026 [70]</w:t>
            </w:r>
          </w:p>
        </w:tc>
        <w:tc>
          <w:tcPr>
            <w:tcW w:type="dxa" w:w="1701"/>
          </w:tcPr>
          <w:p>
            <w:pPr>
              <w:spacing w:after="0"/>
            </w:pPr>
            <w:r>
              <w:rPr>
                <w:b w:val="0"/>
                <w:sz w:val="14"/>
              </w:rPr>
              <w:t>Operational mild/early perimetric</w:t>
            </w:r>
          </w:p>
        </w:tc>
        <w:tc>
          <w:tcPr>
            <w:tcW w:type="dxa" w:w="2608"/>
          </w:tcPr>
          <w:p>
            <w:pPr>
              <w:spacing w:after="0"/>
            </w:pPr>
            <w:r>
              <w:rPr>
                <w:b w:val="0"/>
                <w:sz w:val="14"/>
              </w:rPr>
              <w:t>Mild versus moderate–severe defined using visual-field staging in the source report</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Photographic GON with or without repeatable visual-field loss</w:t>
            </w:r>
          </w:p>
        </w:tc>
        <w:tc>
          <w:tcPr>
            <w:tcW w:type="dxa" w:w="2268"/>
          </w:tcPr>
          <w:p>
            <w:pPr>
              <w:spacing w:after="0"/>
            </w:pPr>
            <w:r>
              <w:rPr>
                <w:b w:val="0"/>
                <w:sz w:val="14"/>
              </w:rPr>
              <w:t>Optic-nerve-head morphology and OCT structural information</w:t>
            </w:r>
          </w:p>
        </w:tc>
        <w:tc>
          <w:tcPr>
            <w:tcW w:type="dxa" w:w="2608"/>
          </w:tcPr>
          <w:p>
            <w:pPr>
              <w:spacing w:after="0"/>
            </w:pPr>
            <w:r>
              <w:rPr>
                <w:b w:val="0"/>
                <w:sz w:val="14"/>
              </w:rPr>
              <w:t>NR</w:t>
            </w:r>
          </w:p>
        </w:tc>
      </w:tr>
      <w:tr>
        <w:trPr>
          <w:cantSplit/>
        </w:trPr>
        <w:tc>
          <w:tcPr>
            <w:tcW w:type="dxa" w:w="1928"/>
          </w:tcPr>
          <w:p>
            <w:pPr>
              <w:spacing w:after="0"/>
            </w:pPr>
            <w:r>
              <w:rPr>
                <w:b w:val="0"/>
                <w:sz w:val="14"/>
              </w:rPr>
              <w:t>S36; Li et al., 2026 [71]</w:t>
            </w:r>
          </w:p>
        </w:tc>
        <w:tc>
          <w:tcPr>
            <w:tcW w:type="dxa" w:w="1701"/>
          </w:tcPr>
          <w:p>
            <w:pPr>
              <w:spacing w:after="0"/>
            </w:pPr>
            <w:r>
              <w:rPr>
                <w:b w:val="0"/>
                <w:sz w:val="14"/>
              </w:rPr>
              <w:t>No early/preperimetric definition</w:t>
            </w:r>
          </w:p>
        </w:tc>
        <w:tc>
          <w:tcPr>
            <w:tcW w:type="dxa" w:w="2608"/>
          </w:tcPr>
          <w:p>
            <w:pPr>
              <w:spacing w:after="0"/>
            </w:pPr>
            <w:r>
              <w:rPr>
                <w:b w:val="0"/>
                <w:sz w:val="14"/>
              </w:rPr>
              <w:t>No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Open angles, characteristic optic-nerve defects, and corresponding visual-field loss; suspects excluded</w:t>
            </w:r>
          </w:p>
        </w:tc>
        <w:tc>
          <w:tcPr>
            <w:tcW w:type="dxa" w:w="2268"/>
          </w:tcPr>
          <w:p>
            <w:pPr>
              <w:spacing w:after="0"/>
            </w:pPr>
            <w:r>
              <w:rPr>
                <w:b w:val="0"/>
                <w:sz w:val="14"/>
              </w:rPr>
              <w:t>Optic-nerve-head appearance; image quality modeled explicitly</w:t>
            </w:r>
          </w:p>
        </w:tc>
        <w:tc>
          <w:tcPr>
            <w:tcW w:type="dxa" w:w="2608"/>
          </w:tcPr>
          <w:p>
            <w:pPr>
              <w:spacing w:after="0"/>
            </w:pPr>
            <w:r>
              <w:rPr>
                <w:b w:val="0"/>
                <w:sz w:val="14"/>
              </w:rPr>
              <w:t>NR</w:t>
            </w:r>
          </w:p>
        </w:tc>
      </w:tr>
      <w:tr>
        <w:trPr>
          <w:cantSplit/>
        </w:trPr>
        <w:tc>
          <w:tcPr>
            <w:tcW w:type="dxa" w:w="1928"/>
          </w:tcPr>
          <w:p>
            <w:pPr>
              <w:spacing w:after="0"/>
            </w:pPr>
            <w:r>
              <w:rPr>
                <w:b w:val="0"/>
                <w:sz w:val="14"/>
              </w:rPr>
              <w:t>S37; Tariq et al., 2026 [72]</w:t>
            </w:r>
          </w:p>
        </w:tc>
        <w:tc>
          <w:tcPr>
            <w:tcW w:type="dxa" w:w="1701"/>
          </w:tcPr>
          <w:p>
            <w:pPr>
              <w:spacing w:after="0"/>
            </w:pPr>
            <w:r>
              <w:rPr>
                <w:b w:val="0"/>
                <w:sz w:val="14"/>
              </w:rPr>
              <w:t>Author-labelled early/stage; criteria inadequate</w:t>
            </w:r>
          </w:p>
        </w:tc>
        <w:tc>
          <w:tcPr>
            <w:tcW w:type="dxa" w:w="2608"/>
          </w:tcPr>
          <w:p>
            <w:pPr>
              <w:spacing w:after="0"/>
            </w:pPr>
            <w:r>
              <w:rPr>
                <w:b w:val="0"/>
                <w:sz w:val="14"/>
              </w:rPr>
              <w:t>The title claims early detection; no operational early-glaucoma definition was reported</w:t>
            </w:r>
          </w:p>
        </w:tc>
        <w:tc>
          <w:tcPr>
            <w:tcW w:type="dxa" w:w="1020"/>
          </w:tcPr>
          <w:p>
            <w:pPr>
              <w:spacing w:after="0"/>
              <w:jc w:val="center"/>
            </w:pPr>
            <w:r>
              <w:rPr>
                <w:b w:val="0"/>
                <w:sz w:val="14"/>
              </w:rPr>
              <w:t>No</w:t>
            </w:r>
          </w:p>
        </w:tc>
        <w:tc>
          <w:tcPr>
            <w:tcW w:type="dxa" w:w="2835"/>
          </w:tcPr>
          <w:p>
            <w:pPr>
              <w:spacing w:after="0"/>
            </w:pPr>
            <w:r>
              <w:rPr>
                <w:b w:val="0"/>
                <w:sz w:val="14"/>
              </w:rPr>
              <w:t>Inherited repository label: Aggregated dataset labels</w:t>
            </w:r>
          </w:p>
        </w:tc>
        <w:tc>
          <w:tcPr>
            <w:tcW w:type="dxa" w:w="2268"/>
          </w:tcPr>
          <w:p>
            <w:pPr>
              <w:spacing w:after="0"/>
            </w:pPr>
            <w:r>
              <w:rPr>
                <w:b w:val="0"/>
                <w:sz w:val="14"/>
              </w:rPr>
              <w:t>Green-channel/CLAHE vessel and texture information; optic-nerve-head features implicit</w:t>
            </w:r>
          </w:p>
        </w:tc>
        <w:tc>
          <w:tcPr>
            <w:tcW w:type="dxa" w:w="2608"/>
          </w:tcPr>
          <w:p>
            <w:pPr>
              <w:spacing w:after="0"/>
            </w:pPr>
            <w:r>
              <w:rPr>
                <w:b w:val="0"/>
                <w:sz w:val="14"/>
              </w:rPr>
              <w:t>NR</w:t>
            </w:r>
          </w:p>
        </w:tc>
      </w:tr>
      <w:tr>
        <w:trPr>
          <w:cantSplit/>
        </w:trPr>
        <w:tc>
          <w:tcPr>
            <w:tcW w:type="dxa" w:w="1928"/>
          </w:tcPr>
          <w:p>
            <w:pPr>
              <w:spacing w:after="0"/>
            </w:pPr>
            <w:r>
              <w:rPr>
                <w:b w:val="0"/>
                <w:sz w:val="14"/>
              </w:rPr>
              <w:t>S38; Bharathi and Shaik, 2026 [73]</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optic-disc structural deformation</w:t>
            </w:r>
          </w:p>
        </w:tc>
        <w:tc>
          <w:tcPr>
            <w:tcW w:type="dxa" w:w="2608"/>
          </w:tcPr>
          <w:p>
            <w:pPr>
              <w:spacing w:after="0"/>
            </w:pPr>
            <w:r>
              <w:rPr>
                <w:b w:val="0"/>
                <w:sz w:val="14"/>
              </w:rPr>
              <w:t>NR</w:t>
            </w:r>
          </w:p>
        </w:tc>
      </w:tr>
      <w:tr>
        <w:trPr>
          <w:cantSplit/>
        </w:trPr>
        <w:tc>
          <w:tcPr>
            <w:tcW w:type="dxa" w:w="1928"/>
          </w:tcPr>
          <w:p>
            <w:pPr>
              <w:spacing w:after="0"/>
            </w:pPr>
            <w:r>
              <w:rPr>
                <w:b w:val="0"/>
                <w:sz w:val="14"/>
              </w:rPr>
              <w:t>S39; Okuwobi et al., 2026 [74]</w:t>
            </w:r>
          </w:p>
        </w:tc>
        <w:tc>
          <w:tcPr>
            <w:tcW w:type="dxa" w:w="1701"/>
          </w:tcPr>
          <w:p>
            <w:pPr>
              <w:spacing w:after="0"/>
            </w:pPr>
            <w:r>
              <w:rPr>
                <w:b w:val="0"/>
                <w:sz w:val="14"/>
              </w:rPr>
              <w:t>Author-labelled early/stage; criteria inadequate</w:t>
            </w:r>
          </w:p>
        </w:tc>
        <w:tc>
          <w:tcPr>
            <w:tcW w:type="dxa" w:w="2608"/>
          </w:tcPr>
          <w:p>
            <w:pPr>
              <w:spacing w:after="0"/>
            </w:pPr>
            <w:r>
              <w:rPr>
                <w:b w:val="0"/>
                <w:sz w:val="14"/>
              </w:rPr>
              <w:t>No reproducible early-glaucoma definition despite title and claims</w:t>
            </w:r>
          </w:p>
        </w:tc>
        <w:tc>
          <w:tcPr>
            <w:tcW w:type="dxa" w:w="1020"/>
          </w:tcPr>
          <w:p>
            <w:pPr>
              <w:spacing w:after="0"/>
              <w:jc w:val="center"/>
            </w:pPr>
            <w:r>
              <w:rPr>
                <w:b w:val="0"/>
                <w:sz w:val="14"/>
              </w:rPr>
              <w:t>No</w:t>
            </w:r>
          </w:p>
        </w:tc>
        <w:tc>
          <w:tcPr>
            <w:tcW w:type="dxa" w:w="2835"/>
          </w:tcPr>
          <w:p>
            <w:pPr>
              <w:spacing w:after="0"/>
            </w:pPr>
            <w:r>
              <w:rPr>
                <w:b w:val="0"/>
                <w:sz w:val="14"/>
              </w:rPr>
              <w:t>Unclear or mixed-unclear: Mixed inherited/private labels; criteria NR</w:t>
            </w:r>
          </w:p>
        </w:tc>
        <w:tc>
          <w:tcPr>
            <w:tcW w:type="dxa" w:w="2268"/>
          </w:tcPr>
          <w:p>
            <w:pPr>
              <w:spacing w:after="0"/>
            </w:pPr>
            <w:r>
              <w:rPr>
                <w:b w:val="0"/>
                <w:sz w:val="14"/>
              </w:rPr>
              <w:t>Pseudo-hyperspectral signal, vascular topology, temporal texture, and peripapillary scattering</w:t>
            </w:r>
          </w:p>
        </w:tc>
        <w:tc>
          <w:tcPr>
            <w:tcW w:type="dxa" w:w="2608"/>
          </w:tcPr>
          <w:p>
            <w:pPr>
              <w:spacing w:after="0"/>
            </w:pPr>
            <w:r>
              <w:rPr>
                <w:b w:val="0"/>
                <w:sz w:val="14"/>
              </w:rPr>
              <w:t>NR</w:t>
            </w:r>
          </w:p>
        </w:tc>
      </w:tr>
      <w:tr>
        <w:trPr>
          <w:cantSplit/>
        </w:trPr>
        <w:tc>
          <w:tcPr>
            <w:tcW w:type="dxa" w:w="1928"/>
          </w:tcPr>
          <w:p>
            <w:pPr>
              <w:spacing w:after="0"/>
            </w:pPr>
            <w:r>
              <w:rPr>
                <w:b w:val="0"/>
                <w:sz w:val="14"/>
              </w:rPr>
              <w:t>S40; Gandhi et al., 2026 [75]</w:t>
            </w:r>
          </w:p>
        </w:tc>
        <w:tc>
          <w:tcPr>
            <w:tcW w:type="dxa" w:w="1701"/>
          </w:tcPr>
          <w:p>
            <w:pPr>
              <w:spacing w:after="0"/>
            </w:pPr>
            <w:r>
              <w:rPr>
                <w:b w:val="0"/>
                <w:sz w:val="14"/>
              </w:rPr>
              <w:t>Author-labelled early/stage; criteria inadequate</w:t>
            </w:r>
          </w:p>
        </w:tc>
        <w:tc>
          <w:tcPr>
            <w:tcW w:type="dxa" w:w="2608"/>
          </w:tcPr>
          <w:p>
            <w:pPr>
              <w:spacing w:after="0"/>
            </w:pPr>
            <w:r>
              <w:rPr>
                <w:b w:val="0"/>
                <w:sz w:val="14"/>
              </w:rPr>
              <w:t>Early/late language was used without an operational definition</w:t>
            </w:r>
          </w:p>
        </w:tc>
        <w:tc>
          <w:tcPr>
            <w:tcW w:type="dxa" w:w="1020"/>
          </w:tcPr>
          <w:p>
            <w:pPr>
              <w:spacing w:after="0"/>
              <w:jc w:val="center"/>
            </w:pPr>
            <w:r>
              <w:rPr>
                <w:b w:val="0"/>
                <w:sz w:val="14"/>
              </w:rPr>
              <w:t>No</w:t>
            </w:r>
          </w:p>
        </w:tc>
        <w:tc>
          <w:tcPr>
            <w:tcW w:type="dxa" w:w="2835"/>
          </w:tcPr>
          <w:p>
            <w:pPr>
              <w:spacing w:after="0"/>
            </w:pPr>
            <w:r>
              <w:rPr>
                <w:b w:val="0"/>
                <w:sz w:val="14"/>
              </w:rPr>
              <w:t>Unclear or mixed-unclear: Dataset labels; paired-modality provenance NR</w:t>
            </w:r>
          </w:p>
        </w:tc>
        <w:tc>
          <w:tcPr>
            <w:tcW w:type="dxa" w:w="2268"/>
          </w:tcPr>
          <w:p>
            <w:pPr>
              <w:spacing w:after="0"/>
            </w:pPr>
            <w:r>
              <w:rPr>
                <w:b w:val="0"/>
                <w:sz w:val="14"/>
              </w:rPr>
              <w:t>Cross-modal optic-nerve-head/OCT features</w:t>
            </w:r>
          </w:p>
        </w:tc>
        <w:tc>
          <w:tcPr>
            <w:tcW w:type="dxa" w:w="2608"/>
          </w:tcPr>
          <w:p>
            <w:pPr>
              <w:spacing w:after="0"/>
            </w:pPr>
            <w:r>
              <w:rPr>
                <w:b w:val="0"/>
                <w:sz w:val="14"/>
              </w:rPr>
              <w:t>NR</w:t>
            </w:r>
          </w:p>
        </w:tc>
      </w:tr>
      <w:tr>
        <w:trPr>
          <w:cantSplit/>
        </w:trPr>
        <w:tc>
          <w:tcPr>
            <w:tcW w:type="dxa" w:w="1928"/>
          </w:tcPr>
          <w:p>
            <w:pPr>
              <w:spacing w:after="0"/>
            </w:pPr>
            <w:r>
              <w:rPr>
                <w:b w:val="0"/>
                <w:sz w:val="14"/>
              </w:rPr>
              <w:t>S41; Chilukuri et al., 2026 [76]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Dataset-native labels</w:t>
            </w:r>
          </w:p>
        </w:tc>
        <w:tc>
          <w:tcPr>
            <w:tcW w:type="dxa" w:w="2268"/>
          </w:tcPr>
          <w:p>
            <w:pPr>
              <w:spacing w:after="0"/>
            </w:pPr>
            <w:r>
              <w:rPr>
                <w:b w:val="0"/>
                <w:sz w:val="14"/>
              </w:rPr>
              <w:t>Explicit optic disc, optic cup, and vCDR plus spectral shape descriptors</w:t>
            </w:r>
          </w:p>
        </w:tc>
        <w:tc>
          <w:tcPr>
            <w:tcW w:type="dxa" w:w="2608"/>
          </w:tcPr>
          <w:p>
            <w:pPr>
              <w:spacing w:after="0"/>
            </w:pPr>
            <w:r>
              <w:rPr>
                <w:b w:val="0"/>
                <w:sz w:val="14"/>
              </w:rPr>
              <w:t>NR</w:t>
            </w:r>
          </w:p>
        </w:tc>
      </w:tr>
      <w:tr>
        <w:trPr>
          <w:cantSplit/>
        </w:trPr>
        <w:tc>
          <w:tcPr>
            <w:tcW w:type="dxa" w:w="1928"/>
          </w:tcPr>
          <w:p>
            <w:pPr>
              <w:spacing w:after="0"/>
            </w:pPr>
            <w:r>
              <w:rPr>
                <w:b w:val="0"/>
                <w:sz w:val="14"/>
              </w:rPr>
              <w:t>S42; Hernández et al., 2026 [77]</w:t>
            </w:r>
          </w:p>
        </w:tc>
        <w:tc>
          <w:tcPr>
            <w:tcW w:type="dxa" w:w="1701"/>
          </w:tcPr>
          <w:p>
            <w:pPr>
              <w:spacing w:after="0"/>
            </w:pPr>
            <w:r>
              <w:rPr>
                <w:b w:val="0"/>
                <w:sz w:val="14"/>
              </w:rPr>
              <w:t>No early/preperimetric definition</w:t>
            </w:r>
          </w:p>
        </w:tc>
        <w:tc>
          <w:tcPr>
            <w:tcW w:type="dxa" w:w="2608"/>
          </w:tcPr>
          <w:p>
            <w:pPr>
              <w:spacing w:after="0"/>
            </w:pPr>
            <w:r>
              <w:rPr>
                <w:b w:val="0"/>
                <w:sz w:val="14"/>
              </w:rPr>
              <w:t>No severity-stratified early subgroup</w:t>
            </w:r>
          </w:p>
        </w:tc>
        <w:tc>
          <w:tcPr>
            <w:tcW w:type="dxa" w:w="1020"/>
          </w:tcPr>
          <w:p>
            <w:pPr>
              <w:spacing w:after="0"/>
              <w:jc w:val="center"/>
            </w:pPr>
            <w:r>
              <w:rPr>
                <w:b w:val="0"/>
                <w:sz w:val="14"/>
              </w:rPr>
              <w:t>No</w:t>
            </w:r>
          </w:p>
        </w:tc>
        <w:tc>
          <w:tcPr>
            <w:tcW w:type="dxa" w:w="2835"/>
          </w:tcPr>
          <w:p>
            <w:pPr>
              <w:spacing w:after="0"/>
            </w:pPr>
            <w:r>
              <w:rPr>
                <w:b w:val="0"/>
                <w:sz w:val="14"/>
              </w:rPr>
              <w:t>Clinical or clinical-composite diagnosis: Expert clinical diagnosis using CDR &gt; 0.7 plus IOP, visual-field, or optic-nerve criteria</w:t>
            </w:r>
          </w:p>
        </w:tc>
        <w:tc>
          <w:tcPr>
            <w:tcW w:type="dxa" w:w="2268"/>
          </w:tcPr>
          <w:p>
            <w:pPr>
              <w:spacing w:after="0"/>
            </w:pPr>
            <w:r>
              <w:rPr>
                <w:b w:val="0"/>
                <w:sz w:val="14"/>
              </w:rPr>
              <w:t>Semantic superpixels preserving disc/cup boundaries; attention visualisation</w:t>
            </w:r>
          </w:p>
        </w:tc>
        <w:tc>
          <w:tcPr>
            <w:tcW w:type="dxa" w:w="2608"/>
          </w:tcPr>
          <w:p>
            <w:pPr>
              <w:spacing w:after="0"/>
            </w:pPr>
            <w:r>
              <w:rPr>
                <w:b w:val="0"/>
                <w:sz w:val="14"/>
              </w:rPr>
              <w:t>Intrinsic superpixel tokens and attention maps</w:t>
            </w:r>
          </w:p>
        </w:tc>
      </w:tr>
      <w:tr>
        <w:trPr>
          <w:cantSplit/>
        </w:trPr>
        <w:tc>
          <w:tcPr>
            <w:tcW w:type="dxa" w:w="1928"/>
          </w:tcPr>
          <w:p>
            <w:pPr>
              <w:spacing w:after="0"/>
            </w:pPr>
            <w:r>
              <w:rPr>
                <w:b w:val="0"/>
                <w:sz w:val="14"/>
              </w:rPr>
              <w:t>S43; Bouris et al., 2026 [78]</w:t>
            </w:r>
          </w:p>
        </w:tc>
        <w:tc>
          <w:tcPr>
            <w:tcW w:type="dxa" w:w="1701"/>
          </w:tcPr>
          <w:p>
            <w:pPr>
              <w:spacing w:after="0"/>
            </w:pPr>
            <w:r>
              <w:rPr>
                <w:b w:val="0"/>
                <w:sz w:val="14"/>
              </w:rPr>
              <w:t>Operational mild/early perimetric</w:t>
            </w:r>
          </w:p>
        </w:tc>
        <w:tc>
          <w:tcPr>
            <w:tcW w:type="dxa" w:w="2608"/>
          </w:tcPr>
          <w:p>
            <w:pPr>
              <w:spacing w:after="0"/>
            </w:pPr>
            <w:r>
              <w:rPr>
                <w:b w:val="0"/>
                <w:sz w:val="14"/>
              </w:rPr>
              <w:t>Primary glaucoma cohort required visual-field MD &gt; −6 dB within one year</w:t>
            </w:r>
          </w:p>
        </w:tc>
        <w:tc>
          <w:tcPr>
            <w:tcW w:type="dxa" w:w="1020"/>
          </w:tcPr>
          <w:p>
            <w:pPr>
              <w:spacing w:after="0"/>
              <w:jc w:val="center"/>
            </w:pPr>
            <w:r>
              <w:rPr>
                <w:b w:val="0"/>
                <w:sz w:val="14"/>
              </w:rPr>
              <w:t>Extractable; not credible (site-by-outcome confounding; inconsistent values)</w:t>
            </w:r>
          </w:p>
        </w:tc>
        <w:tc>
          <w:tcPr>
            <w:tcW w:type="dxa" w:w="2835"/>
          </w:tcPr>
          <w:p>
            <w:pPr>
              <w:spacing w:after="0"/>
            </w:pPr>
            <w:r>
              <w:rPr>
                <w:b w:val="0"/>
                <w:sz w:val="14"/>
              </w:rPr>
              <w:t>Adjudicated/reading-centre/multiple-expert reference: Two glaucoma specialists with third adjudication</w:t>
            </w:r>
          </w:p>
        </w:tc>
        <w:tc>
          <w:tcPr>
            <w:tcW w:type="dxa" w:w="2268"/>
          </w:tcPr>
          <w:p>
            <w:pPr>
              <w:spacing w:after="0"/>
            </w:pPr>
            <w:r>
              <w:rPr>
                <w:b w:val="0"/>
                <w:sz w:val="14"/>
              </w:rPr>
              <w:t>Optic-nerve-head/rim appearance</w:t>
            </w:r>
          </w:p>
        </w:tc>
        <w:tc>
          <w:tcPr>
            <w:tcW w:type="dxa" w:w="2608"/>
          </w:tcPr>
          <w:p>
            <w:pPr>
              <w:spacing w:after="0"/>
            </w:pPr>
            <w:r>
              <w:rPr>
                <w:b w:val="0"/>
                <w:sz w:val="14"/>
              </w:rPr>
              <w:t>NR</w:t>
            </w:r>
          </w:p>
        </w:tc>
      </w:tr>
      <w:tr>
        <w:trPr>
          <w:cantSplit/>
        </w:trPr>
        <w:tc>
          <w:tcPr>
            <w:tcW w:type="dxa" w:w="1928"/>
          </w:tcPr>
          <w:p>
            <w:pPr>
              <w:spacing w:after="0"/>
            </w:pPr>
            <w:r>
              <w:rPr>
                <w:b w:val="0"/>
                <w:sz w:val="14"/>
              </w:rPr>
              <w:t>S44; Hasan et al., 2026 [79]</w:t>
            </w:r>
          </w:p>
        </w:tc>
        <w:tc>
          <w:tcPr>
            <w:tcW w:type="dxa" w:w="1701"/>
          </w:tcPr>
          <w:p>
            <w:pPr>
              <w:spacing w:after="0"/>
            </w:pPr>
            <w:r>
              <w:rPr>
                <w:b w:val="0"/>
                <w:sz w:val="14"/>
              </w:rPr>
              <w:t>Operational mild/early perimetric</w:t>
            </w:r>
          </w:p>
        </w:tc>
        <w:tc>
          <w:tcPr>
            <w:tcW w:type="dxa" w:w="2608"/>
          </w:tcPr>
          <w:p>
            <w:pPr>
              <w:spacing w:after="0"/>
            </w:pPr>
            <w:r>
              <w:rPr>
                <w:b w:val="0"/>
                <w:sz w:val="14"/>
              </w:rPr>
              <w:t>Early disease was explicitly staged using the Mills visual-field classification; a separately extractable early-stage diagnostic estimate was not reported</w:t>
            </w:r>
          </w:p>
        </w:tc>
        <w:tc>
          <w:tcPr>
            <w:tcW w:type="dxa" w:w="1020"/>
          </w:tcPr>
          <w:p>
            <w:pPr>
              <w:spacing w:after="0"/>
              <w:jc w:val="center"/>
            </w:pPr>
            <w:r>
              <w:rPr>
                <w:b w:val="0"/>
                <w:sz w:val="14"/>
              </w:rPr>
              <w:t>No</w:t>
            </w:r>
          </w:p>
        </w:tc>
        <w:tc>
          <w:tcPr>
            <w:tcW w:type="dxa" w:w="2835"/>
          </w:tcPr>
          <w:p>
            <w:pPr>
              <w:spacing w:after="0"/>
            </w:pPr>
            <w:r>
              <w:rPr>
                <w:b w:val="0"/>
                <w:sz w:val="14"/>
              </w:rPr>
              <w:t>Adjudicated/reading-centre/multiple-expert reference: Senior optometrist clinical record with second-expert review; Mills visual-field staging</w:t>
            </w:r>
          </w:p>
        </w:tc>
        <w:tc>
          <w:tcPr>
            <w:tcW w:type="dxa" w:w="2268"/>
          </w:tcPr>
          <w:p>
            <w:pPr>
              <w:spacing w:after="0"/>
            </w:pPr>
            <w:r>
              <w:rPr>
                <w:b w:val="0"/>
                <w:sz w:val="14"/>
              </w:rPr>
              <w:t>Optic-nerve-head appearance, visual-field loss, and OCT structural information integrated by cross-attention</w:t>
            </w:r>
          </w:p>
        </w:tc>
        <w:tc>
          <w:tcPr>
            <w:tcW w:type="dxa" w:w="2608"/>
          </w:tcPr>
          <w:p>
            <w:pPr>
              <w:spacing w:after="0"/>
            </w:pPr>
            <w:r>
              <w:rPr>
                <w:b w:val="0"/>
                <w:sz w:val="14"/>
              </w:rPr>
              <w:t>NR</w:t>
            </w:r>
          </w:p>
        </w:tc>
      </w:tr>
      <w:tr>
        <w:trPr>
          <w:cantSplit/>
        </w:trPr>
        <w:tc>
          <w:tcPr>
            <w:tcW w:type="dxa" w:w="1928"/>
          </w:tcPr>
          <w:p>
            <w:pPr>
              <w:spacing w:after="0"/>
            </w:pPr>
            <w:r>
              <w:rPr>
                <w:b w:val="0"/>
                <w:sz w:val="14"/>
              </w:rPr>
              <w:t>S45; Wu et al., 2026 [80]</w:t>
            </w:r>
          </w:p>
        </w:tc>
        <w:tc>
          <w:tcPr>
            <w:tcW w:type="dxa" w:w="1701"/>
          </w:tcPr>
          <w:p>
            <w:pPr>
              <w:spacing w:after="0"/>
            </w:pPr>
            <w:r>
              <w:rPr>
                <w:b w:val="0"/>
                <w:sz w:val="14"/>
              </w:rPr>
              <w:t>No early/preperimetric definition</w:t>
            </w:r>
          </w:p>
        </w:tc>
        <w:tc>
          <w:tcPr>
            <w:tcW w:type="dxa" w:w="2608"/>
          </w:tcPr>
          <w:p>
            <w:pPr>
              <w:spacing w:after="0"/>
            </w:pPr>
            <w:r>
              <w:rPr>
                <w:b w:val="0"/>
                <w:sz w:val="14"/>
              </w:rPr>
              <w:t>No operational early-glaucoma subgroup</w:t>
            </w:r>
          </w:p>
        </w:tc>
        <w:tc>
          <w:tcPr>
            <w:tcW w:type="dxa" w:w="1020"/>
          </w:tcPr>
          <w:p>
            <w:pPr>
              <w:spacing w:after="0"/>
              <w:jc w:val="center"/>
            </w:pPr>
            <w:r>
              <w:rPr>
                <w:b w:val="0"/>
                <w:sz w:val="14"/>
              </w:rPr>
              <w:t>No</w:t>
            </w:r>
          </w:p>
        </w:tc>
        <w:tc>
          <w:tcPr>
            <w:tcW w:type="dxa" w:w="2835"/>
          </w:tcPr>
          <w:p>
            <w:pPr>
              <w:spacing w:after="0"/>
            </w:pPr>
            <w:r>
              <w:rPr>
                <w:b w:val="0"/>
                <w:sz w:val="14"/>
              </w:rPr>
              <w:t>Mixed repository plus clinical/expert labels: Dataset-specific labels, including certified-grader labels in the largest source</w:t>
            </w:r>
          </w:p>
        </w:tc>
        <w:tc>
          <w:tcPr>
            <w:tcW w:type="dxa" w:w="2268"/>
          </w:tcPr>
          <w:p>
            <w:pPr>
              <w:spacing w:after="0"/>
            </w:pPr>
            <w:r>
              <w:rPr>
                <w:b w:val="0"/>
                <w:sz w:val="14"/>
              </w:rPr>
              <w:t>Implicit optic-nerve-head morphology; synthetic augmentation addressed source imbalance</w:t>
            </w:r>
          </w:p>
        </w:tc>
        <w:tc>
          <w:tcPr>
            <w:tcW w:type="dxa" w:w="2608"/>
          </w:tcPr>
          <w:p>
            <w:pPr>
              <w:spacing w:after="0"/>
            </w:pPr>
            <w:r>
              <w:rPr>
                <w:b w:val="0"/>
                <w:sz w:val="14"/>
              </w:rPr>
              <w:t>NR</w:t>
            </w:r>
          </w:p>
        </w:tc>
      </w:tr>
      <w:tr>
        <w:trPr>
          <w:cantSplit/>
        </w:trPr>
        <w:tc>
          <w:tcPr>
            <w:tcW w:type="dxa" w:w="1928"/>
          </w:tcPr>
          <w:p>
            <w:pPr>
              <w:spacing w:after="0"/>
            </w:pPr>
            <w:r>
              <w:rPr>
                <w:b w:val="0"/>
                <w:sz w:val="14"/>
              </w:rPr>
              <w:t>S46; Moorthy et al., 2026 [81]</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Surrogate/algorithmic threshold: Inherited repository labels and masks</w:t>
            </w:r>
          </w:p>
        </w:tc>
        <w:tc>
          <w:tcPr>
            <w:tcW w:type="dxa" w:w="2268"/>
          </w:tcPr>
          <w:p>
            <w:pPr>
              <w:spacing w:after="0"/>
            </w:pPr>
            <w:r>
              <w:rPr>
                <w:b w:val="0"/>
                <w:sz w:val="14"/>
              </w:rPr>
              <w:t>Explicit optic-disc and optic-cup segmentation with cup-to-disc morphology</w:t>
            </w:r>
          </w:p>
        </w:tc>
        <w:tc>
          <w:tcPr>
            <w:tcW w:type="dxa" w:w="2608"/>
          </w:tcPr>
          <w:p>
            <w:pPr>
              <w:spacing w:after="0"/>
            </w:pPr>
            <w:r>
              <w:rPr>
                <w:b w:val="0"/>
                <w:sz w:val="14"/>
              </w:rPr>
              <w:t>NR</w:t>
            </w:r>
          </w:p>
        </w:tc>
      </w:tr>
      <w:tr>
        <w:trPr>
          <w:cantSplit/>
        </w:trPr>
        <w:tc>
          <w:tcPr>
            <w:tcW w:type="dxa" w:w="1928"/>
          </w:tcPr>
          <w:p>
            <w:pPr>
              <w:spacing w:after="0"/>
            </w:pPr>
            <w:r>
              <w:rPr>
                <w:b w:val="0"/>
                <w:sz w:val="14"/>
              </w:rPr>
              <w:t>S47; Noh et al., 2026 [82]</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w:t>
            </w:r>
          </w:p>
        </w:tc>
        <w:tc>
          <w:tcPr>
            <w:tcW w:type="dxa" w:w="2268"/>
          </w:tcPr>
          <w:p>
            <w:pPr>
              <w:spacing w:after="0"/>
            </w:pPr>
            <w:r>
              <w:rPr>
                <w:b w:val="0"/>
                <w:sz w:val="14"/>
              </w:rPr>
              <w:t>Implicit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S48; Pramanik and Bag, 2026 [83]</w:t>
            </w:r>
          </w:p>
        </w:tc>
        <w:tc>
          <w:tcPr>
            <w:tcW w:type="dxa" w:w="1701"/>
          </w:tcPr>
          <w:p>
            <w:pPr>
              <w:spacing w:after="0"/>
            </w:pPr>
            <w:r>
              <w:rPr>
                <w:b w:val="0"/>
                <w:sz w:val="14"/>
              </w:rPr>
              <w:t>Author-labelled early/stage; criteria inadequate</w:t>
            </w:r>
          </w:p>
        </w:tc>
        <w:tc>
          <w:tcPr>
            <w:tcW w:type="dxa" w:w="2608"/>
          </w:tcPr>
          <w:p>
            <w:pPr>
              <w:spacing w:after="0"/>
            </w:pPr>
            <w:r>
              <w:rPr>
                <w:b w:val="0"/>
                <w:sz w:val="14"/>
              </w:rPr>
              <w:t>Stage labels included an early category, but no reproducible clinical cut-off was available</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dataset labels; staging criteria incompletely reported</w:t>
            </w:r>
          </w:p>
        </w:tc>
        <w:tc>
          <w:tcPr>
            <w:tcW w:type="dxa" w:w="2268"/>
          </w:tcPr>
          <w:p>
            <w:pPr>
              <w:spacing w:after="0"/>
            </w:pPr>
            <w:r>
              <w:rPr>
                <w:b w:val="0"/>
                <w:sz w:val="14"/>
              </w:rPr>
              <w:t>Implicit optic-nerve-head and retinal texture representation</w:t>
            </w:r>
          </w:p>
        </w:tc>
        <w:tc>
          <w:tcPr>
            <w:tcW w:type="dxa" w:w="2608"/>
          </w:tcPr>
          <w:p>
            <w:pPr>
              <w:spacing w:after="0"/>
            </w:pPr>
            <w:r>
              <w:rPr>
                <w:b w:val="0"/>
                <w:sz w:val="14"/>
              </w:rPr>
              <w:t>NR</w:t>
            </w:r>
          </w:p>
        </w:tc>
      </w:tr>
      <w:tr>
        <w:trPr>
          <w:cantSplit/>
        </w:trPr>
        <w:tc>
          <w:tcPr>
            <w:tcW w:type="dxa" w:w="1928"/>
          </w:tcPr>
          <w:p>
            <w:pPr>
              <w:spacing w:after="0"/>
            </w:pPr>
            <w:r>
              <w:rPr>
                <w:b w:val="0"/>
                <w:sz w:val="14"/>
              </w:rPr>
              <w:t>S49; Roopalakshmi et al., 2026 [84]</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Layer-wise relevance propagation heatmaps</w:t>
            </w:r>
          </w:p>
        </w:tc>
      </w:tr>
      <w:tr>
        <w:trPr>
          <w:cantSplit/>
        </w:trPr>
        <w:tc>
          <w:tcPr>
            <w:tcW w:type="dxa" w:w="1928"/>
          </w:tcPr>
          <w:p>
            <w:pPr>
              <w:spacing w:after="0"/>
            </w:pPr>
            <w:r>
              <w:rPr>
                <w:b w:val="0"/>
                <w:sz w:val="14"/>
              </w:rPr>
              <w:t>S50; Abdelbaki et al., 2026 [85]</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RFMiD labels</w:t>
            </w:r>
          </w:p>
        </w:tc>
        <w:tc>
          <w:tcPr>
            <w:tcW w:type="dxa" w:w="2268"/>
          </w:tcPr>
          <w:p>
            <w:pPr>
              <w:spacing w:after="0"/>
            </w:pPr>
            <w:r>
              <w:rPr>
                <w:b w:val="0"/>
                <w:sz w:val="14"/>
              </w:rPr>
              <w:t>Implicit whole-retina and optic-nerve-head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S51; Malik et al., 2026 [86]</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 and global fundus representation</w:t>
            </w:r>
          </w:p>
        </w:tc>
        <w:tc>
          <w:tcPr>
            <w:tcW w:type="dxa" w:w="2608"/>
          </w:tcPr>
          <w:p>
            <w:pPr>
              <w:spacing w:after="0"/>
            </w:pPr>
            <w:r>
              <w:rPr>
                <w:b w:val="0"/>
                <w:sz w:val="14"/>
              </w:rPr>
              <w:t>Gradient-based integrated attention maps</w:t>
            </w:r>
          </w:p>
        </w:tc>
      </w:tr>
      <w:tr>
        <w:trPr>
          <w:cantSplit/>
        </w:trPr>
        <w:tc>
          <w:tcPr>
            <w:tcW w:type="dxa" w:w="1928"/>
          </w:tcPr>
          <w:p>
            <w:pPr>
              <w:spacing w:after="0"/>
            </w:pPr>
            <w:r>
              <w:rPr>
                <w:b w:val="0"/>
                <w:sz w:val="14"/>
              </w:rPr>
              <w:t>S52; Malik et al., 2026 [87]</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local/global fundus representation</w:t>
            </w:r>
          </w:p>
        </w:tc>
        <w:tc>
          <w:tcPr>
            <w:tcW w:type="dxa" w:w="2608"/>
          </w:tcPr>
          <w:p>
            <w:pPr>
              <w:spacing w:after="0"/>
            </w:pPr>
            <w:r>
              <w:rPr>
                <w:b w:val="0"/>
                <w:sz w:val="14"/>
              </w:rPr>
              <w:t>Guided Grad-CAM, transformer attention maps, and prototype clustering</w:t>
            </w:r>
          </w:p>
        </w:tc>
      </w:tr>
      <w:tr>
        <w:trPr>
          <w:cantSplit/>
        </w:trPr>
        <w:tc>
          <w:tcPr>
            <w:tcW w:type="dxa" w:w="1928"/>
          </w:tcPr>
          <w:p>
            <w:pPr>
              <w:spacing w:after="0"/>
            </w:pPr>
            <w:r>
              <w:rPr>
                <w:b w:val="0"/>
                <w:sz w:val="14"/>
              </w:rPr>
              <w:t>S53; Santo et al., 2026 [88]</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Insertion/deletion evaluation of explanation maps</w:t>
            </w:r>
          </w:p>
        </w:tc>
      </w:tr>
      <w:tr>
        <w:trPr>
          <w:cantSplit/>
        </w:trPr>
        <w:tc>
          <w:tcPr>
            <w:tcW w:type="dxa" w:w="1928"/>
          </w:tcPr>
          <w:p>
            <w:pPr>
              <w:spacing w:after="0"/>
            </w:pPr>
            <w:r>
              <w:rPr>
                <w:b w:val="0"/>
                <w:sz w:val="14"/>
              </w:rPr>
              <w:t>S54; Rahman et al., 2026 [89]</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Inherited repository labels</w:t>
            </w:r>
          </w:p>
        </w:tc>
        <w:tc>
          <w:tcPr>
            <w:tcW w:type="dxa" w:w="2268"/>
          </w:tcPr>
          <w:p>
            <w:pPr>
              <w:spacing w:after="0"/>
            </w:pPr>
            <w:r>
              <w:rPr>
                <w:b w:val="0"/>
                <w:sz w:val="14"/>
              </w:rPr>
              <w:t>Implicit fundus representation</w:t>
            </w:r>
          </w:p>
        </w:tc>
        <w:tc>
          <w:tcPr>
            <w:tcW w:type="dxa" w:w="2608"/>
          </w:tcPr>
          <w:p>
            <w:pPr>
              <w:spacing w:after="0"/>
            </w:pPr>
            <w:r>
              <w:rPr>
                <w:b w:val="0"/>
                <w:sz w:val="14"/>
              </w:rPr>
              <w:t>NR</w:t>
            </w:r>
          </w:p>
        </w:tc>
      </w:tr>
      <w:tr>
        <w:trPr>
          <w:cantSplit/>
        </w:trPr>
        <w:tc>
          <w:tcPr>
            <w:tcW w:type="dxa" w:w="1928"/>
          </w:tcPr>
          <w:p>
            <w:pPr>
              <w:spacing w:after="0"/>
            </w:pPr>
            <w:r>
              <w:rPr>
                <w:b w:val="0"/>
                <w:sz w:val="14"/>
              </w:rPr>
              <w:t>S55; Zaib, 2026 [90]</w:t>
            </w:r>
          </w:p>
        </w:tc>
        <w:tc>
          <w:tcPr>
            <w:tcW w:type="dxa" w:w="1701"/>
          </w:tcPr>
          <w:p>
            <w:pPr>
              <w:spacing w:after="0"/>
            </w:pPr>
            <w:r>
              <w:rPr>
                <w:b w:val="0"/>
                <w:sz w:val="14"/>
              </w:rPr>
              <w:t>No early/preperimetric definition</w:t>
            </w:r>
          </w:p>
        </w:tc>
        <w:tc>
          <w:tcPr>
            <w:tcW w:type="dxa" w:w="2608"/>
          </w:tcPr>
          <w:p>
            <w:pPr>
              <w:spacing w:after="0"/>
            </w:pPr>
            <w:r>
              <w:rPr>
                <w:b w:val="0"/>
                <w:sz w:val="14"/>
              </w:rPr>
              <w:t>No early definition</w:t>
            </w:r>
          </w:p>
        </w:tc>
        <w:tc>
          <w:tcPr>
            <w:tcW w:type="dxa" w:w="1020"/>
          </w:tcPr>
          <w:p>
            <w:pPr>
              <w:spacing w:after="0"/>
              <w:jc w:val="center"/>
            </w:pPr>
            <w:r>
              <w:rPr>
                <w:b w:val="0"/>
                <w:sz w:val="14"/>
              </w:rPr>
              <w:t>No</w:t>
            </w:r>
          </w:p>
        </w:tc>
        <w:tc>
          <w:tcPr>
            <w:tcW w:type="dxa" w:w="2835"/>
          </w:tcPr>
          <w:p>
            <w:pPr>
              <w:spacing w:after="0"/>
            </w:pPr>
            <w:r>
              <w:rPr>
                <w:b w:val="0"/>
                <w:sz w:val="14"/>
              </w:rPr>
              <w:t>Inherited repository label: JustRAIGS repository labels</w:t>
            </w:r>
          </w:p>
        </w:tc>
        <w:tc>
          <w:tcPr>
            <w:tcW w:type="dxa" w:w="2268"/>
          </w:tcPr>
          <w:p>
            <w:pPr>
              <w:spacing w:after="0"/>
            </w:pPr>
            <w:r>
              <w:rPr>
                <w:b w:val="0"/>
                <w:sz w:val="14"/>
              </w:rPr>
              <w:t>Implicit optic-nerve-head morphology under synthetic enhancement</w:t>
            </w:r>
          </w:p>
        </w:tc>
        <w:tc>
          <w:tcPr>
            <w:tcW w:type="dxa" w:w="2608"/>
          </w:tcPr>
          <w:p>
            <w:pPr>
              <w:spacing w:after="0"/>
            </w:pPr>
            <w:r>
              <w:rPr>
                <w:b w:val="0"/>
                <w:sz w:val="14"/>
              </w:rPr>
              <w:t>NR</w:t>
            </w:r>
          </w:p>
        </w:tc>
      </w:tr>
    </w:tbl>
    <w:p>
      <w:pPr>
        <w:spacing w:after="160" w:before="60"/>
      </w:pPr>
      <w:r>
        <w:rPr>
          <w:b w:val="0"/>
          <w:i w:val="0"/>
          <w:sz w:val="16"/>
        </w:rPr>
        <w:t>Preperimetric glaucoma required structural glaucomatous damage with a normal, reliable visual field; mild/early perimetric glaucoma required an accepted staging system or a clearly applied mean-deviation threshold of approximately −6 dB or better. An early-disease estimate was extractable when discrimination of operationally defined early glaucoma from non-glaucomatous eyes was reported separately, and credible for clinical inference when the report had no critical design flaw affecting that estimate. Attention and saliency outputs were classified as explanation methods, not as validated biomarkers.</w:t>
      </w:r>
    </w:p>
    <w:p>
      <w:pPr>
        <w:keepNext/>
        <w:spacing w:after="80" w:before="200"/>
      </w:pPr>
      <w:r>
        <w:rPr>
          <w:b/>
        </w:rPr>
        <w:t xml:space="preserve">Table S6. </w:t>
      </w:r>
      <w:r>
        <w:t>Recurring public dataset families and linked reports.</w:t>
      </w:r>
    </w:p>
    <w:tbl>
      <w:tblPr>
        <w:tblStyle w:val="TableGrid"/>
        <w:tblW w:type="auto" w:w="0"/>
        <w:jc w:val="center"/>
        <w:tblLayout w:type="fixed"/>
        <w:tblLook w:firstColumn="1" w:firstRow="1" w:lastColumn="0" w:lastRow="0" w:noHBand="0" w:noVBand="1" w:val="04A0"/>
      </w:tblPr>
      <w:tblGrid>
        <w:gridCol w:w="3402"/>
        <w:gridCol w:w="1247"/>
        <w:gridCol w:w="7938"/>
      </w:tblGrid>
      <w:tr>
        <w:trPr>
          <w:tblHeader/>
        </w:trPr>
        <w:tc>
          <w:tcPr>
            <w:tcW w:type="dxa" w:w="3402"/>
            <w:shd w:val="clear" w:color="auto" w:fill="E7ECF3"/>
          </w:tcPr>
          <w:p>
            <w:pPr>
              <w:spacing w:after="0"/>
              <w:jc w:val="center"/>
            </w:pPr>
            <w:r>
              <w:rPr>
                <w:b/>
                <w:sz w:val="16"/>
              </w:rPr>
              <w:t>Dataset family</w:t>
            </w:r>
          </w:p>
        </w:tc>
        <w:tc>
          <w:tcPr>
            <w:tcW w:type="dxa" w:w="1247"/>
            <w:shd w:val="clear" w:color="auto" w:fill="E7ECF3"/>
          </w:tcPr>
          <w:p>
            <w:pPr>
              <w:spacing w:after="0"/>
              <w:jc w:val="center"/>
            </w:pPr>
            <w:r>
              <w:rPr>
                <w:b/>
                <w:sz w:val="16"/>
              </w:rPr>
              <w:t>Reports, n</w:t>
            </w:r>
          </w:p>
        </w:tc>
        <w:tc>
          <w:tcPr>
            <w:tcW w:type="dxa" w:w="7937"/>
            <w:shd w:val="clear" w:color="auto" w:fill="E7ECF3"/>
          </w:tcPr>
          <w:p>
            <w:pPr>
              <w:spacing w:after="0"/>
              <w:jc w:val="center"/>
            </w:pPr>
            <w:r>
              <w:rPr>
                <w:b/>
                <w:sz w:val="16"/>
              </w:rPr>
              <w:t>Linked reports</w:t>
            </w:r>
          </w:p>
        </w:tc>
      </w:tr>
      <w:tr>
        <w:trPr>
          <w:cantSplit/>
        </w:trPr>
        <w:tc>
          <w:tcPr>
            <w:tcW w:type="dxa" w:w="3402"/>
          </w:tcPr>
          <w:p>
            <w:pPr>
              <w:spacing w:after="0"/>
            </w:pPr>
            <w:r>
              <w:rPr>
                <w:b w:val="0"/>
                <w:sz w:val="16"/>
              </w:rPr>
              <w:t>DRISHTI-GS</w:t>
            </w:r>
          </w:p>
        </w:tc>
        <w:tc>
          <w:tcPr>
            <w:tcW w:type="dxa" w:w="1247"/>
          </w:tcPr>
          <w:p>
            <w:pPr>
              <w:spacing w:after="0"/>
              <w:jc w:val="center"/>
            </w:pPr>
            <w:r>
              <w:rPr>
                <w:b w:val="0"/>
                <w:sz w:val="16"/>
              </w:rPr>
              <w:t>13</w:t>
            </w:r>
          </w:p>
        </w:tc>
        <w:tc>
          <w:tcPr>
            <w:tcW w:type="dxa" w:w="7937"/>
          </w:tcPr>
          <w:p>
            <w:pPr>
              <w:spacing w:after="0"/>
            </w:pPr>
            <w:r>
              <w:rPr>
                <w:b w:val="0"/>
                <w:sz w:val="16"/>
              </w:rPr>
              <w:t>S04, S05, S10, S13, S18, S25, S26, S32, S33, S40, S41, S46, S47</w:t>
            </w:r>
          </w:p>
        </w:tc>
      </w:tr>
      <w:tr>
        <w:trPr>
          <w:cantSplit/>
        </w:trPr>
        <w:tc>
          <w:tcPr>
            <w:tcW w:type="dxa" w:w="3402"/>
          </w:tcPr>
          <w:p>
            <w:pPr>
              <w:spacing w:after="0"/>
            </w:pPr>
            <w:r>
              <w:rPr>
                <w:b w:val="0"/>
                <w:sz w:val="16"/>
              </w:rPr>
              <w:t>ORIGA</w:t>
            </w:r>
          </w:p>
        </w:tc>
        <w:tc>
          <w:tcPr>
            <w:tcW w:type="dxa" w:w="1247"/>
          </w:tcPr>
          <w:p>
            <w:pPr>
              <w:spacing w:after="0"/>
              <w:jc w:val="center"/>
            </w:pPr>
            <w:r>
              <w:rPr>
                <w:b w:val="0"/>
                <w:sz w:val="16"/>
              </w:rPr>
              <w:t>12</w:t>
            </w:r>
          </w:p>
        </w:tc>
        <w:tc>
          <w:tcPr>
            <w:tcW w:type="dxa" w:w="7937"/>
          </w:tcPr>
          <w:p>
            <w:pPr>
              <w:spacing w:after="0"/>
            </w:pPr>
            <w:r>
              <w:rPr>
                <w:b w:val="0"/>
                <w:sz w:val="16"/>
              </w:rPr>
              <w:t>S02, S05, S10, S13, S18, S19, S23, S26, S38, S39, S40, S46</w:t>
            </w:r>
          </w:p>
        </w:tc>
      </w:tr>
      <w:tr>
        <w:trPr>
          <w:cantSplit/>
        </w:trPr>
        <w:tc>
          <w:tcPr>
            <w:tcW w:type="dxa" w:w="3402"/>
          </w:tcPr>
          <w:p>
            <w:pPr>
              <w:spacing w:after="0"/>
            </w:pPr>
            <w:r>
              <w:rPr>
                <w:b w:val="0"/>
                <w:sz w:val="16"/>
              </w:rPr>
              <w:t>RIM-ONE</w:t>
            </w:r>
          </w:p>
        </w:tc>
        <w:tc>
          <w:tcPr>
            <w:tcW w:type="dxa" w:w="1247"/>
          </w:tcPr>
          <w:p>
            <w:pPr>
              <w:spacing w:after="0"/>
              <w:jc w:val="center"/>
            </w:pPr>
            <w:r>
              <w:rPr>
                <w:b w:val="0"/>
                <w:sz w:val="16"/>
              </w:rPr>
              <w:t>10</w:t>
            </w:r>
          </w:p>
        </w:tc>
        <w:tc>
          <w:tcPr>
            <w:tcW w:type="dxa" w:w="7937"/>
          </w:tcPr>
          <w:p>
            <w:pPr>
              <w:spacing w:after="0"/>
            </w:pPr>
            <w:r>
              <w:rPr>
                <w:b w:val="0"/>
                <w:sz w:val="16"/>
              </w:rPr>
              <w:t>S02, S04, S05, S10, S26, S38, S42, S43, S46, S47</w:t>
            </w:r>
          </w:p>
        </w:tc>
      </w:tr>
      <w:tr>
        <w:trPr>
          <w:cantSplit/>
        </w:trPr>
        <w:tc>
          <w:tcPr>
            <w:tcW w:type="dxa" w:w="3402"/>
          </w:tcPr>
          <w:p>
            <w:pPr>
              <w:spacing w:after="0"/>
            </w:pPr>
            <w:r>
              <w:rPr>
                <w:b w:val="0"/>
                <w:sz w:val="16"/>
              </w:rPr>
              <w:t>REFUGE family</w:t>
            </w:r>
          </w:p>
        </w:tc>
        <w:tc>
          <w:tcPr>
            <w:tcW w:type="dxa" w:w="1247"/>
          </w:tcPr>
          <w:p>
            <w:pPr>
              <w:spacing w:after="0"/>
              <w:jc w:val="center"/>
            </w:pPr>
            <w:r>
              <w:rPr>
                <w:b w:val="0"/>
                <w:sz w:val="16"/>
              </w:rPr>
              <w:t>9</w:t>
            </w:r>
          </w:p>
        </w:tc>
        <w:tc>
          <w:tcPr>
            <w:tcW w:type="dxa" w:w="7937"/>
          </w:tcPr>
          <w:p>
            <w:pPr>
              <w:spacing w:after="0"/>
            </w:pPr>
            <w:r>
              <w:rPr>
                <w:b w:val="0"/>
                <w:sz w:val="16"/>
              </w:rPr>
              <w:t>S04, S05, S10, S23, S25, S32, S36, S39, S47</w:t>
            </w:r>
          </w:p>
        </w:tc>
      </w:tr>
      <w:tr>
        <w:trPr>
          <w:cantSplit/>
        </w:trPr>
        <w:tc>
          <w:tcPr>
            <w:tcW w:type="dxa" w:w="3402"/>
          </w:tcPr>
          <w:p>
            <w:pPr>
              <w:spacing w:after="0"/>
            </w:pPr>
            <w:r>
              <w:rPr>
                <w:b w:val="0"/>
                <w:sz w:val="16"/>
              </w:rPr>
              <w:t>EyePACS/AIROGS/JustRAIGS</w:t>
            </w:r>
          </w:p>
        </w:tc>
        <w:tc>
          <w:tcPr>
            <w:tcW w:type="dxa" w:w="1247"/>
          </w:tcPr>
          <w:p>
            <w:pPr>
              <w:spacing w:after="0"/>
              <w:jc w:val="center"/>
            </w:pPr>
            <w:r>
              <w:rPr>
                <w:b w:val="0"/>
                <w:sz w:val="16"/>
              </w:rPr>
              <w:t>7</w:t>
            </w:r>
          </w:p>
        </w:tc>
        <w:tc>
          <w:tcPr>
            <w:tcW w:type="dxa" w:w="7937"/>
          </w:tcPr>
          <w:p>
            <w:pPr>
              <w:spacing w:after="0"/>
            </w:pPr>
            <w:r>
              <w:rPr>
                <w:b w:val="0"/>
                <w:sz w:val="16"/>
              </w:rPr>
              <w:t>S07, S10, S24, S33, S40, S45, S55</w:t>
            </w:r>
          </w:p>
        </w:tc>
      </w:tr>
      <w:tr>
        <w:trPr>
          <w:cantSplit/>
        </w:trPr>
        <w:tc>
          <w:tcPr>
            <w:tcW w:type="dxa" w:w="3402"/>
          </w:tcPr>
          <w:p>
            <w:pPr>
              <w:spacing w:after="0"/>
            </w:pPr>
            <w:r>
              <w:rPr>
                <w:b w:val="0"/>
                <w:sz w:val="16"/>
              </w:rPr>
              <w:t>Kaggle Eye Diseases/Ocular Image Hub</w:t>
            </w:r>
          </w:p>
        </w:tc>
        <w:tc>
          <w:tcPr>
            <w:tcW w:type="dxa" w:w="1247"/>
          </w:tcPr>
          <w:p>
            <w:pPr>
              <w:spacing w:after="0"/>
              <w:jc w:val="center"/>
            </w:pPr>
            <w:r>
              <w:rPr>
                <w:b w:val="0"/>
                <w:sz w:val="16"/>
              </w:rPr>
              <w:t>6</w:t>
            </w:r>
          </w:p>
        </w:tc>
        <w:tc>
          <w:tcPr>
            <w:tcW w:type="dxa" w:w="7937"/>
          </w:tcPr>
          <w:p>
            <w:pPr>
              <w:spacing w:after="0"/>
            </w:pPr>
            <w:r>
              <w:rPr>
                <w:b w:val="0"/>
                <w:sz w:val="16"/>
              </w:rPr>
              <w:t>S27, S28, S51, S52, S53, S54</w:t>
            </w:r>
          </w:p>
        </w:tc>
      </w:tr>
      <w:tr>
        <w:trPr>
          <w:cantSplit/>
        </w:trPr>
        <w:tc>
          <w:tcPr>
            <w:tcW w:type="dxa" w:w="3402"/>
          </w:tcPr>
          <w:p>
            <w:pPr>
              <w:spacing w:after="0"/>
            </w:pPr>
            <w:r>
              <w:rPr>
                <w:b w:val="0"/>
                <w:sz w:val="16"/>
              </w:rPr>
              <w:t>ACRIMA</w:t>
            </w:r>
          </w:p>
        </w:tc>
        <w:tc>
          <w:tcPr>
            <w:tcW w:type="dxa" w:w="1247"/>
          </w:tcPr>
          <w:p>
            <w:pPr>
              <w:spacing w:after="0"/>
              <w:jc w:val="center"/>
            </w:pPr>
            <w:r>
              <w:rPr>
                <w:b w:val="0"/>
                <w:sz w:val="16"/>
              </w:rPr>
              <w:t>5</w:t>
            </w:r>
          </w:p>
        </w:tc>
        <w:tc>
          <w:tcPr>
            <w:tcW w:type="dxa" w:w="7937"/>
          </w:tcPr>
          <w:p>
            <w:pPr>
              <w:spacing w:after="0"/>
            </w:pPr>
            <w:r>
              <w:rPr>
                <w:b w:val="0"/>
                <w:sz w:val="16"/>
              </w:rPr>
              <w:t>S02, S05, S18, S41, S43</w:t>
            </w:r>
          </w:p>
        </w:tc>
      </w:tr>
      <w:tr>
        <w:trPr>
          <w:cantSplit/>
        </w:trPr>
        <w:tc>
          <w:tcPr>
            <w:tcW w:type="dxa" w:w="3402"/>
          </w:tcPr>
          <w:p>
            <w:pPr>
              <w:spacing w:after="0"/>
            </w:pPr>
            <w:r>
              <w:rPr>
                <w:b w:val="0"/>
                <w:sz w:val="16"/>
              </w:rPr>
              <w:t>SMDG aggregate/family</w:t>
            </w:r>
          </w:p>
        </w:tc>
        <w:tc>
          <w:tcPr>
            <w:tcW w:type="dxa" w:w="1247"/>
          </w:tcPr>
          <w:p>
            <w:pPr>
              <w:spacing w:after="0"/>
              <w:jc w:val="center"/>
            </w:pPr>
            <w:r>
              <w:rPr>
                <w:b w:val="0"/>
                <w:sz w:val="16"/>
              </w:rPr>
              <w:t>4</w:t>
            </w:r>
          </w:p>
        </w:tc>
        <w:tc>
          <w:tcPr>
            <w:tcW w:type="dxa" w:w="7937"/>
          </w:tcPr>
          <w:p>
            <w:pPr>
              <w:spacing w:after="0"/>
            </w:pPr>
            <w:r>
              <w:rPr>
                <w:b w:val="0"/>
                <w:sz w:val="16"/>
              </w:rPr>
              <w:t>S10, S12, S37, S39</w:t>
            </w:r>
          </w:p>
        </w:tc>
      </w:tr>
      <w:tr>
        <w:trPr>
          <w:cantSplit/>
        </w:trPr>
        <w:tc>
          <w:tcPr>
            <w:tcW w:type="dxa" w:w="3402"/>
          </w:tcPr>
          <w:p>
            <w:pPr>
              <w:spacing w:after="0"/>
            </w:pPr>
            <w:r>
              <w:rPr>
                <w:b w:val="0"/>
                <w:sz w:val="16"/>
              </w:rPr>
              <w:t>GAMMA</w:t>
            </w:r>
          </w:p>
        </w:tc>
        <w:tc>
          <w:tcPr>
            <w:tcW w:type="dxa" w:w="1247"/>
          </w:tcPr>
          <w:p>
            <w:pPr>
              <w:spacing w:after="0"/>
              <w:jc w:val="center"/>
            </w:pPr>
            <w:r>
              <w:rPr>
                <w:b w:val="0"/>
                <w:sz w:val="16"/>
              </w:rPr>
              <w:t>3</w:t>
            </w:r>
          </w:p>
        </w:tc>
        <w:tc>
          <w:tcPr>
            <w:tcW w:type="dxa" w:w="7937"/>
          </w:tcPr>
          <w:p>
            <w:pPr>
              <w:spacing w:after="0"/>
            </w:pPr>
            <w:r>
              <w:rPr>
                <w:b w:val="0"/>
                <w:sz w:val="16"/>
              </w:rPr>
              <w:t>S08, S09, S32</w:t>
            </w:r>
          </w:p>
        </w:tc>
      </w:tr>
      <w:tr>
        <w:trPr>
          <w:cantSplit/>
        </w:trPr>
        <w:tc>
          <w:tcPr>
            <w:tcW w:type="dxa" w:w="3402"/>
          </w:tcPr>
          <w:p>
            <w:pPr>
              <w:spacing w:after="0"/>
            </w:pPr>
            <w:r>
              <w:rPr>
                <w:b w:val="0"/>
                <w:sz w:val="16"/>
              </w:rPr>
              <w:t>PAPILA</w:t>
            </w:r>
          </w:p>
        </w:tc>
        <w:tc>
          <w:tcPr>
            <w:tcW w:type="dxa" w:w="1247"/>
          </w:tcPr>
          <w:p>
            <w:pPr>
              <w:spacing w:after="0"/>
              <w:jc w:val="center"/>
            </w:pPr>
            <w:r>
              <w:rPr>
                <w:b w:val="0"/>
                <w:sz w:val="16"/>
              </w:rPr>
              <w:t>3</w:t>
            </w:r>
          </w:p>
        </w:tc>
        <w:tc>
          <w:tcPr>
            <w:tcW w:type="dxa" w:w="7937"/>
          </w:tcPr>
          <w:p>
            <w:pPr>
              <w:spacing w:after="0"/>
            </w:pPr>
            <w:r>
              <w:rPr>
                <w:b w:val="0"/>
                <w:sz w:val="16"/>
              </w:rPr>
              <w:t>S04, S31, S32</w:t>
            </w:r>
          </w:p>
        </w:tc>
      </w:tr>
    </w:tbl>
    <w:p>
      <w:pPr>
        <w:spacing w:after="160" w:before="60"/>
      </w:pPr>
      <w:r>
        <w:rPr>
          <w:b w:val="0"/>
          <w:i w:val="0"/>
          <w:sz w:val="16"/>
        </w:rPr>
        <w:t>Counts are report occurrences. Named constituents of an aggregate dataset were counted when the report documented their use. Linked reports are not independent replications.</w:t>
      </w:r>
    </w:p>
    <w:p>
      <w:r>
        <w:br w:type="page"/>
      </w:r>
    </w:p>
    <w:p>
      <w:pPr>
        <w:keepNext/>
        <w:spacing w:after="80" w:before="200"/>
      </w:pPr>
      <w:r>
        <w:rPr>
          <w:b/>
        </w:rPr>
        <w:t xml:space="preserve">Table S7. </w:t>
      </w:r>
      <w:r>
        <w:t>PROBAST+AI judgements for model development, model evaluation, and applicability, with report-specific rationales.</w:t>
      </w:r>
    </w:p>
    <w:tbl>
      <w:tblPr>
        <w:tblStyle w:val="TableGrid"/>
        <w:tblW w:type="auto" w:w="0"/>
        <w:jc w:val="center"/>
        <w:tblLayout w:type="fixed"/>
        <w:tblLook w:firstColumn="1" w:firstRow="1" w:lastColumn="0" w:lastRow="0" w:noHBand="0" w:noVBand="1" w:val="04A0"/>
      </w:tblPr>
      <w:tblGrid>
        <w:gridCol w:w="1927"/>
        <w:gridCol w:w="538"/>
        <w:gridCol w:w="538"/>
        <w:gridCol w:w="538"/>
        <w:gridCol w:w="538"/>
        <w:gridCol w:w="538"/>
        <w:gridCol w:w="538"/>
        <w:gridCol w:w="538"/>
        <w:gridCol w:w="538"/>
        <w:gridCol w:w="538"/>
        <w:gridCol w:w="538"/>
        <w:gridCol w:w="538"/>
        <w:gridCol w:w="538"/>
        <w:gridCol w:w="538"/>
        <w:gridCol w:w="538"/>
        <w:gridCol w:w="6180"/>
      </w:tblGrid>
      <w:tr>
        <w:trPr>
          <w:tblHeader/>
        </w:trPr>
        <w:tc>
          <w:tcPr>
            <w:tcW w:type="dxa" w:w="1928"/>
            <w:shd w:val="clear" w:color="auto" w:fill="E7ECF3"/>
          </w:tcPr>
          <w:p>
            <w:pPr>
              <w:spacing w:after="0"/>
              <w:jc w:val="center"/>
            </w:pPr>
            <w:r>
              <w:rPr>
                <w:b/>
                <w:sz w:val="13"/>
              </w:rPr>
              <w:t>Report</w:t>
            </w:r>
          </w:p>
        </w:tc>
        <w:tc>
          <w:tcPr>
            <w:tcW w:type="dxa" w:w="539"/>
            <w:shd w:val="clear" w:color="auto" w:fill="E7ECF3"/>
          </w:tcPr>
          <w:p>
            <w:pPr>
              <w:spacing w:after="0"/>
              <w:jc w:val="center"/>
            </w:pPr>
            <w:r>
              <w:rPr>
                <w:b/>
                <w:sz w:val="13"/>
              </w:rPr>
              <w:t>D-P</w:t>
            </w:r>
          </w:p>
        </w:tc>
        <w:tc>
          <w:tcPr>
            <w:tcW w:type="dxa" w:w="539"/>
            <w:shd w:val="clear" w:color="auto" w:fill="E7ECF3"/>
          </w:tcPr>
          <w:p>
            <w:pPr>
              <w:spacing w:after="0"/>
              <w:jc w:val="center"/>
            </w:pPr>
            <w:r>
              <w:rPr>
                <w:b/>
                <w:sz w:val="13"/>
              </w:rPr>
              <w:t>D-Pr</w:t>
            </w:r>
          </w:p>
        </w:tc>
        <w:tc>
          <w:tcPr>
            <w:tcW w:type="dxa" w:w="539"/>
            <w:shd w:val="clear" w:color="auto" w:fill="E7ECF3"/>
          </w:tcPr>
          <w:p>
            <w:pPr>
              <w:spacing w:after="0"/>
              <w:jc w:val="center"/>
            </w:pPr>
            <w:r>
              <w:rPr>
                <w:b/>
                <w:sz w:val="13"/>
              </w:rPr>
              <w:t>D-O</w:t>
            </w:r>
          </w:p>
        </w:tc>
        <w:tc>
          <w:tcPr>
            <w:tcW w:type="dxa" w:w="539"/>
            <w:shd w:val="clear" w:color="auto" w:fill="E7ECF3"/>
          </w:tcPr>
          <w:p>
            <w:pPr>
              <w:spacing w:after="0"/>
              <w:jc w:val="center"/>
            </w:pPr>
            <w:r>
              <w:rPr>
                <w:b/>
                <w:sz w:val="13"/>
              </w:rPr>
              <w:t>D-A</w:t>
            </w:r>
          </w:p>
        </w:tc>
        <w:tc>
          <w:tcPr>
            <w:tcW w:type="dxa" w:w="539"/>
            <w:shd w:val="clear" w:color="auto" w:fill="E7ECF3"/>
          </w:tcPr>
          <w:p>
            <w:pPr>
              <w:spacing w:after="0"/>
              <w:jc w:val="center"/>
            </w:pPr>
            <w:r>
              <w:rPr>
                <w:b/>
                <w:sz w:val="13"/>
              </w:rPr>
              <w:t>D-All</w:t>
            </w:r>
          </w:p>
        </w:tc>
        <w:tc>
          <w:tcPr>
            <w:tcW w:type="dxa" w:w="539"/>
            <w:shd w:val="clear" w:color="auto" w:fill="E7ECF3"/>
          </w:tcPr>
          <w:p>
            <w:pPr>
              <w:spacing w:after="0"/>
              <w:jc w:val="center"/>
            </w:pPr>
            <w:r>
              <w:rPr>
                <w:b/>
                <w:sz w:val="13"/>
              </w:rPr>
              <w:t>E-P</w:t>
            </w:r>
          </w:p>
        </w:tc>
        <w:tc>
          <w:tcPr>
            <w:tcW w:type="dxa" w:w="539"/>
            <w:shd w:val="clear" w:color="auto" w:fill="E7ECF3"/>
          </w:tcPr>
          <w:p>
            <w:pPr>
              <w:spacing w:after="0"/>
              <w:jc w:val="center"/>
            </w:pPr>
            <w:r>
              <w:rPr>
                <w:b/>
                <w:sz w:val="13"/>
              </w:rPr>
              <w:t>E-Pr</w:t>
            </w:r>
          </w:p>
        </w:tc>
        <w:tc>
          <w:tcPr>
            <w:tcW w:type="dxa" w:w="539"/>
            <w:shd w:val="clear" w:color="auto" w:fill="E7ECF3"/>
          </w:tcPr>
          <w:p>
            <w:pPr>
              <w:spacing w:after="0"/>
              <w:jc w:val="center"/>
            </w:pPr>
            <w:r>
              <w:rPr>
                <w:b/>
                <w:sz w:val="13"/>
              </w:rPr>
              <w:t>E-O</w:t>
            </w:r>
          </w:p>
        </w:tc>
        <w:tc>
          <w:tcPr>
            <w:tcW w:type="dxa" w:w="539"/>
            <w:shd w:val="clear" w:color="auto" w:fill="E7ECF3"/>
          </w:tcPr>
          <w:p>
            <w:pPr>
              <w:spacing w:after="0"/>
              <w:jc w:val="center"/>
            </w:pPr>
            <w:r>
              <w:rPr>
                <w:b/>
                <w:sz w:val="13"/>
              </w:rPr>
              <w:t>E-A</w:t>
            </w:r>
          </w:p>
        </w:tc>
        <w:tc>
          <w:tcPr>
            <w:tcW w:type="dxa" w:w="539"/>
            <w:shd w:val="clear" w:color="auto" w:fill="E7ECF3"/>
          </w:tcPr>
          <w:p>
            <w:pPr>
              <w:spacing w:after="0"/>
              <w:jc w:val="center"/>
            </w:pPr>
            <w:r>
              <w:rPr>
                <w:b/>
                <w:sz w:val="13"/>
              </w:rPr>
              <w:t>E-All</w:t>
            </w:r>
          </w:p>
        </w:tc>
        <w:tc>
          <w:tcPr>
            <w:tcW w:type="dxa" w:w="539"/>
            <w:shd w:val="clear" w:color="auto" w:fill="E7ECF3"/>
          </w:tcPr>
          <w:p>
            <w:pPr>
              <w:spacing w:after="0"/>
              <w:jc w:val="center"/>
            </w:pPr>
            <w:r>
              <w:rPr>
                <w:b/>
                <w:sz w:val="13"/>
              </w:rPr>
              <w:t>Ap-P</w:t>
            </w:r>
          </w:p>
        </w:tc>
        <w:tc>
          <w:tcPr>
            <w:tcW w:type="dxa" w:w="539"/>
            <w:shd w:val="clear" w:color="auto" w:fill="E7ECF3"/>
          </w:tcPr>
          <w:p>
            <w:pPr>
              <w:spacing w:after="0"/>
              <w:jc w:val="center"/>
            </w:pPr>
            <w:r>
              <w:rPr>
                <w:b/>
                <w:sz w:val="13"/>
              </w:rPr>
              <w:t>Ap-Pr</w:t>
            </w:r>
          </w:p>
        </w:tc>
        <w:tc>
          <w:tcPr>
            <w:tcW w:type="dxa" w:w="539"/>
            <w:shd w:val="clear" w:color="auto" w:fill="E7ECF3"/>
          </w:tcPr>
          <w:p>
            <w:pPr>
              <w:spacing w:after="0"/>
              <w:jc w:val="center"/>
            </w:pPr>
            <w:r>
              <w:rPr>
                <w:b/>
                <w:sz w:val="13"/>
              </w:rPr>
              <w:t>Ap-O</w:t>
            </w:r>
          </w:p>
        </w:tc>
        <w:tc>
          <w:tcPr>
            <w:tcW w:type="dxa" w:w="539"/>
            <w:shd w:val="clear" w:color="auto" w:fill="E7ECF3"/>
          </w:tcPr>
          <w:p>
            <w:pPr>
              <w:spacing w:after="0"/>
              <w:jc w:val="center"/>
            </w:pPr>
            <w:r>
              <w:rPr>
                <w:b/>
                <w:sz w:val="13"/>
              </w:rPr>
              <w:t>Ap-All</w:t>
            </w:r>
          </w:p>
        </w:tc>
        <w:tc>
          <w:tcPr>
            <w:tcW w:type="dxa" w:w="6180"/>
            <w:shd w:val="clear" w:color="auto" w:fill="E7ECF3"/>
          </w:tcPr>
          <w:p>
            <w:pPr>
              <w:spacing w:after="0"/>
              <w:jc w:val="center"/>
            </w:pPr>
            <w:r>
              <w:rPr>
                <w:b/>
                <w:sz w:val="13"/>
              </w:rPr>
              <w:t>Report-specific rationale</w:t>
            </w:r>
          </w:p>
        </w:tc>
      </w:tr>
      <w:tr>
        <w:trPr>
          <w:cantSplit/>
        </w:trPr>
        <w:tc>
          <w:tcPr>
            <w:tcW w:type="dxa" w:w="1928"/>
          </w:tcPr>
          <w:p>
            <w:pPr>
              <w:spacing w:after="0"/>
            </w:pPr>
            <w:r>
              <w:rPr>
                <w:b w:val="0"/>
                <w:sz w:val="13"/>
              </w:rPr>
              <w:t>S01; Song et al., 2021 [36]</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ZOC-OCT&amp;VF; separation unclear. Outcome: Clinical diagnosis integrating OCT and visual field (clinical or clinical-composite diagnosis). Analysis: same-source held-out/fixed partition. Principal concern: Clinical cohort and paired modalities were strengths, but participant allocation, early-stage rule, and masking were incompletely reported.</w:t>
            </w:r>
          </w:p>
        </w:tc>
      </w:tr>
      <w:tr>
        <w:trPr>
          <w:cantSplit/>
        </w:trPr>
        <w:tc>
          <w:tcPr>
            <w:tcW w:type="dxa" w:w="1928"/>
          </w:tcPr>
          <w:p>
            <w:pPr>
              <w:spacing w:after="0"/>
            </w:pPr>
            <w:r>
              <w:rPr>
                <w:b w:val="0"/>
                <w:sz w:val="13"/>
              </w:rPr>
              <w:t>S02; Fan et al., 2023 [37]</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OHTS + DIGS, ACRIMA, LAG, RIM-ONE, and ORIGA; separation participant-level. Outcome: OHTS endpoint committee and reading-centre determinations using disc and/or reproducible visual-field change (adjudicated/reading-centre/multiple-expert reference). Analysis: external/cross-dataset evaluation. Principal concern: Best-developed early-disease and generalisability evidence in the corpus; external labels nevertheless varied by dataset.</w:t>
            </w:r>
          </w:p>
        </w:tc>
      </w:tr>
      <w:tr>
        <w:trPr>
          <w:cantSplit/>
        </w:trPr>
        <w:tc>
          <w:tcPr>
            <w:tcW w:type="dxa" w:w="1928"/>
          </w:tcPr>
          <w:p>
            <w:pPr>
              <w:spacing w:after="0"/>
            </w:pPr>
            <w:r>
              <w:rPr>
                <w:b w:val="0"/>
                <w:sz w:val="13"/>
              </w:rPr>
              <w:t>S03; Wang et al., 2023 [38]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ODIR-5K; separation participant-level. Outcome: Inherited ODIR labels (inherited repository label). Analysis: development-derived/validation-only result. Principal concern: Glaucoma-specific metrics came from a balanced subset sampled from development data rather than the official independent test set.</w:t>
            </w:r>
          </w:p>
        </w:tc>
      </w:tr>
      <w:tr>
        <w:trPr>
          <w:cantSplit/>
        </w:trPr>
        <w:tc>
          <w:tcPr>
            <w:tcW w:type="dxa" w:w="1928"/>
          </w:tcPr>
          <w:p>
            <w:pPr>
              <w:spacing w:after="0"/>
            </w:pPr>
            <w:r>
              <w:rPr>
                <w:b w:val="0"/>
                <w:sz w:val="13"/>
              </w:rPr>
              <w:t>S04; Alayón et al., 2023 [39]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DL + private development; REFUGE, DRISHTI-GS, and PAPILA external; separation image/eye-level. Outcome: Dataset-specific labels (mixed repository plus clinical/expert labels). Analysis: external/cross-dataset evaluation. Principal concern: Cross-dataset evaluation was informative, but development used image-level allocation and non-equivalent reference labels.</w:t>
            </w:r>
          </w:p>
        </w:tc>
      </w:tr>
      <w:tr>
        <w:trPr>
          <w:cantSplit/>
        </w:trPr>
        <w:tc>
          <w:tcPr>
            <w:tcW w:type="dxa" w:w="1928"/>
          </w:tcPr>
          <w:p>
            <w:pPr>
              <w:spacing w:after="0"/>
            </w:pPr>
            <w:r>
              <w:rPr>
                <w:b w:val="0"/>
                <w:sz w:val="13"/>
              </w:rPr>
              <w:t>S05; Hwang et al., 2023 [40]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sjchoi86-HRF, RIM-ONE, ORIGA, ACRIMA, REFUGE2; separation image/eye-level. Outcome: Labels inherited from each repository; ORIGA algorithmic and sjchoi86-HRF provenance unknown (surrogate/algorithmic threshold). Analysis: same-source held-out/fixed partition. Principal concern: Reference standards varied materially and one specificity estimate was based on five images; resampling did not create independent evidence.</w:t>
            </w:r>
          </w:p>
        </w:tc>
      </w:tr>
      <w:tr>
        <w:trPr>
          <w:cantSplit/>
        </w:trPr>
        <w:tc>
          <w:tcPr>
            <w:tcW w:type="dxa" w:w="1928"/>
          </w:tcPr>
          <w:p>
            <w:pPr>
              <w:spacing w:after="0"/>
            </w:pPr>
            <w:r>
              <w:rPr>
                <w:b w:val="0"/>
                <w:sz w:val="13"/>
              </w:rPr>
              <w:t>S06; Singh et al., 2023 [41]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IEEE DataPort fundus dataset; separation image/eye-level. Outcome: Dataset label; provenance NR (inherited repository label). Analysis: same-source held-out/fixed partition. Principal concern: Irreconcilable sample and confusion-matrix totals, no clinical reference standard, and no independent evaluation.</w:t>
            </w:r>
          </w:p>
        </w:tc>
      </w:tr>
      <w:tr>
        <w:trPr>
          <w:cantSplit/>
        </w:trPr>
        <w:tc>
          <w:tcPr>
            <w:tcW w:type="dxa" w:w="1928"/>
          </w:tcPr>
          <w:p>
            <w:pPr>
              <w:spacing w:after="0"/>
            </w:pPr>
            <w:r>
              <w:rPr>
                <w:b w:val="0"/>
                <w:sz w:val="13"/>
              </w:rPr>
              <w:t>S07; D’Souza et al., 2024 [42]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AIROGS/EyePACS; separation image/eye-level. Outcome: AIROGS repository labels (inherited repository label). Analysis: internal resampling only. Principal concern: Balanced case-control subsampling and image-level resampling limit screening transportability despite large source data.</w:t>
            </w:r>
          </w:p>
        </w:tc>
      </w:tr>
      <w:tr>
        <w:trPr>
          <w:cantSplit/>
        </w:trPr>
        <w:tc>
          <w:tcPr>
            <w:tcW w:type="dxa" w:w="1928"/>
          </w:tcPr>
          <w:p>
            <w:pPr>
              <w:spacing w:after="0"/>
            </w:pPr>
            <w:r>
              <w:rPr>
                <w:b w:val="0"/>
                <w:sz w:val="13"/>
              </w:rPr>
              <w:t>S08; Wang et al., 2023 [43]</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GAMMA labels integrating fundus, OCT, and visual field (adjudicated/reading-centre/multiple-expert reference). Analysis: same-source held-out/fixed partition. Principal concern: Operational staging was a strength; small shared benchmark and incompletely reported split level limit independence.</w:t>
            </w:r>
          </w:p>
        </w:tc>
      </w:tr>
      <w:tr>
        <w:trPr>
          <w:cantSplit/>
        </w:trPr>
        <w:tc>
          <w:tcPr>
            <w:tcW w:type="dxa" w:w="1928"/>
          </w:tcPr>
          <w:p>
            <w:pPr>
              <w:spacing w:after="0"/>
            </w:pPr>
            <w:r>
              <w:rPr>
                <w:b w:val="0"/>
                <w:sz w:val="13"/>
              </w:rPr>
              <w:t>S09; Wu et al., 2023 [44]</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GAMMA; separation unclear. Outcome: Challenge reference integrating structural and functional information (adjudicated/reading-centre/multiple-expert reference). Analysis: same-source held-out/fixed partition. Principal concern: Well-defined challenge holdout, but the cohort overlaps MSTNet and remains a small benchmark rather than an external clinical cohort.</w:t>
            </w:r>
          </w:p>
        </w:tc>
      </w:tr>
      <w:tr>
        <w:trPr>
          <w:cantSplit/>
        </w:trPr>
        <w:tc>
          <w:tcPr>
            <w:tcW w:type="dxa" w:w="1928"/>
          </w:tcPr>
          <w:p>
            <w:pPr>
              <w:spacing w:after="0"/>
            </w:pPr>
            <w:r>
              <w:rPr>
                <w:b w:val="0"/>
                <w:sz w:val="13"/>
              </w:rPr>
              <w:t>S10; Tohye et al., 2024 [45]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 aggregate; separation image/eye-level. Outcome: Inherited labels from aggregated repositories (inherited repository label). Analysis: same-source held-out/fixed partition. Principal concern: Generated-image handling and separation of validation from testing were ambiguous; participant leakage could not be excluded.</w:t>
            </w:r>
          </w:p>
        </w:tc>
      </w:tr>
      <w:tr>
        <w:trPr>
          <w:cantSplit/>
        </w:trPr>
        <w:tc>
          <w:tcPr>
            <w:tcW w:type="dxa" w:w="1928"/>
          </w:tcPr>
          <w:p>
            <w:pPr>
              <w:spacing w:after="0"/>
            </w:pPr>
            <w:r>
              <w:rPr>
                <w:b w:val="0"/>
                <w:sz w:val="13"/>
              </w:rPr>
              <w:t>S11; Wang et al., 2024 [46]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Single retrospective clinical dataset; separation image/eye-level. Outcome: Specialist clinical diagnosis incorporating OCT/RNFL and visual field; exact criteria NR (clinical or clinical-composite diagnosis). Analysis: same-source held-out/fixed partition. Principal concern: A single clinical source and image-level allocation limit generalisability; the converted hyperspectral signal is algorithm-derived rather than directly acquired.</w:t>
            </w:r>
          </w:p>
        </w:tc>
      </w:tr>
      <w:tr>
        <w:trPr>
          <w:cantSplit/>
        </w:trPr>
        <w:tc>
          <w:tcPr>
            <w:tcW w:type="dxa" w:w="1928"/>
          </w:tcPr>
          <w:p>
            <w:pPr>
              <w:spacing w:after="0"/>
            </w:pPr>
            <w:r>
              <w:rPr>
                <w:b w:val="0"/>
                <w:sz w:val="13"/>
              </w:rPr>
              <w:t>S12; Chincholi and Koestler, 2024 [47]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Standardized Fundus Glaucoma Dataset; separation image/eye-level. Outcome: Cup-to-disc ratio &gt; 0.6 with expert validation (surrogate/algorithmic threshold). Analysis: same-source held-out/fixed partition. Principal concern: Circularity arises because a structural feature used as a model target is also presented as evidence of glaucoma.</w:t>
            </w:r>
          </w:p>
        </w:tc>
      </w:tr>
      <w:tr>
        <w:trPr>
          <w:cantSplit/>
        </w:trPr>
        <w:tc>
          <w:tcPr>
            <w:tcW w:type="dxa" w:w="1928"/>
          </w:tcPr>
          <w:p>
            <w:pPr>
              <w:spacing w:after="0"/>
            </w:pPr>
            <w:r>
              <w:rPr>
                <w:b w:val="0"/>
                <w:sz w:val="13"/>
              </w:rPr>
              <w:t>S13; Almeshrky and Karacı, 2024 [48]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and ORIGA; separation image/eye-level. Outcome: Inherited dataset labels (inherited repository label). Analysis: same-source held-out/fixed partition. Principal concern: Large divergence between a single holdout and cross-validation suggests instability; no patient-level or external evaluation.</w:t>
            </w:r>
          </w:p>
        </w:tc>
      </w:tr>
      <w:tr>
        <w:trPr>
          <w:cantSplit/>
        </w:trPr>
        <w:tc>
          <w:tcPr>
            <w:tcW w:type="dxa" w:w="1928"/>
          </w:tcPr>
          <w:p>
            <w:pPr>
              <w:spacing w:after="0"/>
            </w:pPr>
            <w:r>
              <w:rPr>
                <w:b w:val="0"/>
                <w:sz w:val="13"/>
              </w:rPr>
              <w:t>S14; Sangchocanonta et al., 2025 [49]</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GlauCUTU-DATA; separation unclear. Outcome: Consensus of three ophthalmologists, analysed by agreement stratum (adjudicated/reading-centre/multiple-expert reference). Analysis: internal resampling only. Principal concern: Expert consensus is a strength, but the marked performance decline under lower agreement shows label uncertainty and no independent validation was performed.</w:t>
            </w:r>
          </w:p>
        </w:tc>
      </w:tr>
      <w:tr>
        <w:trPr>
          <w:cantSplit/>
        </w:trPr>
        <w:tc>
          <w:tcPr>
            <w:tcW w:type="dxa" w:w="1928"/>
          </w:tcPr>
          <w:p>
            <w:pPr>
              <w:spacing w:after="0"/>
            </w:pPr>
            <w:r>
              <w:rPr>
                <w:b w:val="0"/>
                <w:sz w:val="13"/>
              </w:rPr>
              <w:t>S15; Ashtari-Majlan and Masip, 2025 [50]</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Maetschke OCT dataset; separation participant-level. Outcome: POAG with reproducible visual-field defects on at least two tests (clinical or clinical-composite diagnosis). Analysis: internal resampling only. Principal concern: Subject-level allocation and a clinical outcome were strengths; curated case-control sampling and absence of external evaluation remain limiting.</w:t>
            </w:r>
          </w:p>
        </w:tc>
      </w:tr>
      <w:tr>
        <w:trPr>
          <w:cantSplit/>
        </w:trPr>
        <w:tc>
          <w:tcPr>
            <w:tcW w:type="dxa" w:w="1928"/>
          </w:tcPr>
          <w:p>
            <w:pPr>
              <w:spacing w:after="0"/>
            </w:pPr>
            <w:r>
              <w:rPr>
                <w:b w:val="0"/>
                <w:sz w:val="13"/>
              </w:rPr>
              <w:t>S16; Yurdakul et al., 2025 [51]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HDV1; separation image/eye-level. Outcome: Inherited HDV1 stage labels (inherited repository label). Analysis: same-source held-out/fixed partition. Principal concern: The apparently early-stage outcome depends on inherited labels with no reproducible staging rule and no external validation.</w:t>
            </w:r>
          </w:p>
        </w:tc>
      </w:tr>
      <w:tr>
        <w:trPr>
          <w:cantSplit/>
        </w:trPr>
        <w:tc>
          <w:tcPr>
            <w:tcW w:type="dxa" w:w="1928"/>
          </w:tcPr>
          <w:p>
            <w:pPr>
              <w:spacing w:after="0"/>
            </w:pPr>
            <w:r>
              <w:rPr>
                <w:b w:val="0"/>
                <w:sz w:val="13"/>
              </w:rPr>
              <w:t>S17; Das et al., 2025 [52]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Benchmark development set + unseen dataset; separation unclear. Outcome: Dataset-specific stage labels (inherited repository label). Analysis: external/cross-dataset evaluation. Principal concern: The unseen-dataset design supports generalisation, but sample provenance, stage definition, and split details were insufficiently reported.</w:t>
            </w:r>
          </w:p>
        </w:tc>
      </w:tr>
      <w:tr>
        <w:trPr>
          <w:cantSplit/>
        </w:trPr>
        <w:tc>
          <w:tcPr>
            <w:tcW w:type="dxa" w:w="1928"/>
          </w:tcPr>
          <w:p>
            <w:pPr>
              <w:spacing w:after="0"/>
            </w:pPr>
            <w:r>
              <w:rPr>
                <w:b w:val="0"/>
                <w:sz w:val="13"/>
              </w:rPr>
              <w:t>S18; Naidana et al., 2025 [53]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ACRIMA, ORIGA, DRISHTI-GS + curated validation images; separation image/eye-level. Outcome: Inherited dataset labels and a small clinical source (mixed repository plus clinical/expert labels). Analysis: same-source held-out/fixed partition. Principal concern: Potential leakage, inconsistent sample reporting, and mixing of label sources make the high accuracy difficult to interpret.</w:t>
            </w:r>
          </w:p>
        </w:tc>
      </w:tr>
      <w:tr>
        <w:trPr>
          <w:cantSplit/>
        </w:trPr>
        <w:tc>
          <w:tcPr>
            <w:tcW w:type="dxa" w:w="1928"/>
          </w:tcPr>
          <w:p>
            <w:pPr>
              <w:spacing w:after="0"/>
            </w:pPr>
            <w:r>
              <w:rPr>
                <w:b w:val="0"/>
                <w:sz w:val="13"/>
              </w:rPr>
              <w:t>S19; Guntreddi and Sivakumar, 2025 [54]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separation image/eye-level. Outcome: ORIGA labels (surrogate/algorithmic threshold). Analysis: same-source held-out/fixed partition. Principal concern: Single repository, image-level allocation, and uncertain label provenance limit the apparent ensemble performance.</w:t>
            </w:r>
          </w:p>
        </w:tc>
      </w:tr>
      <w:tr>
        <w:trPr>
          <w:cantSplit/>
        </w:trPr>
        <w:tc>
          <w:tcPr>
            <w:tcW w:type="dxa" w:w="1928"/>
          </w:tcPr>
          <w:p>
            <w:pPr>
              <w:spacing w:after="0"/>
            </w:pPr>
            <w:r>
              <w:rPr>
                <w:b w:val="0"/>
                <w:sz w:val="13"/>
              </w:rPr>
              <w:t>S20; Jisy et al., 2025 [55]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LVPEI private dataset; separation image/eye-level. Outcome: Clinical dataset labels; criteria and masking NR (clinical or clinical-composite diagnosis). Analysis: same-source held-out/fixed partition. Principal concern: Very small source cohort and augmentation before an apparently image-level evaluation create substantial optimism risk.</w:t>
            </w:r>
          </w:p>
        </w:tc>
      </w:tr>
      <w:tr>
        <w:trPr>
          <w:cantSplit/>
        </w:trPr>
        <w:tc>
          <w:tcPr>
            <w:tcW w:type="dxa" w:w="1928"/>
          </w:tcPr>
          <w:p>
            <w:pPr>
              <w:spacing w:after="0"/>
            </w:pPr>
            <w:r>
              <w:rPr>
                <w:b w:val="0"/>
                <w:sz w:val="13"/>
              </w:rPr>
              <w:t>S21; Krishnamoorthy et al., 2025 [56]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Public fundus images; source incompletely specified; separation image/eye-level. Outcome: Inherited/unspecified labels (inherited repository label). Analysis: same-source held-out/fixed partition. Principal concern: Dataset provenance and internally conflicting performance tables prevent confident interpretation.</w:t>
            </w:r>
          </w:p>
        </w:tc>
      </w:tr>
      <w:tr>
        <w:trPr>
          <w:cantSplit/>
        </w:trPr>
        <w:tc>
          <w:tcPr>
            <w:tcW w:type="dxa" w:w="1928"/>
          </w:tcPr>
          <w:p>
            <w:pPr>
              <w:spacing w:after="0"/>
            </w:pPr>
            <w:r>
              <w:rPr>
                <w:b w:val="0"/>
                <w:sz w:val="13"/>
              </w:rPr>
              <w:t>S22; Sivakumar and Penkova, 2025 [57]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New-case dataset; provenance NR; separation unclear. Outcome: Reference diagnosis and clinical-variable linkage NR (unclear or mixed-unclear). Analysis: internal evaluation; allocation unclear. Principal concern: The source, reference standard, data linkage, and split are not reproducible despite near-perfect reported performance.</w:t>
            </w:r>
          </w:p>
        </w:tc>
      </w:tr>
      <w:tr>
        <w:trPr>
          <w:cantSplit/>
        </w:trPr>
        <w:tc>
          <w:tcPr>
            <w:tcW w:type="dxa" w:w="1928"/>
          </w:tcPr>
          <w:p>
            <w:pPr>
              <w:spacing w:after="0"/>
            </w:pPr>
            <w:r>
              <w:rPr>
                <w:b w:val="0"/>
                <w:sz w:val="13"/>
              </w:rPr>
              <w:t>S23; Alasmari et al., 2025 [58]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REFUGE, ORIGA, and G1020; separation image/eye-level. Outcome: REFUGE expert annotation; ORIGA/G1020 inherited labels; glaucoma defined by vCDR (surrogate/algorithmic threshold). Analysis: same-source held-out/fixed partition. Principal concern: Transparent biomarker derivation was offset by image-level allocation and circular surrogate-outcome classification.</w:t>
            </w:r>
          </w:p>
        </w:tc>
      </w:tr>
      <w:tr>
        <w:trPr>
          <w:cantSplit/>
        </w:trPr>
        <w:tc>
          <w:tcPr>
            <w:tcW w:type="dxa" w:w="1928"/>
          </w:tcPr>
          <w:p>
            <w:pPr>
              <w:spacing w:after="0"/>
            </w:pPr>
            <w:r>
              <w:rPr>
                <w:b w:val="0"/>
                <w:sz w:val="13"/>
              </w:rPr>
              <w:t>S24; Liao et al., 2025 [59]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labels (inherited repository label). Analysis: same-source held-out/fixed partition. Principal concern: The study isolates augmentation effects but does not establish independent clinical performance; synthetic fraction trades sensitivity against other metrics.</w:t>
            </w:r>
          </w:p>
        </w:tc>
      </w:tr>
      <w:tr>
        <w:trPr>
          <w:cantSplit/>
        </w:trPr>
        <w:tc>
          <w:tcPr>
            <w:tcW w:type="dxa" w:w="1928"/>
          </w:tcPr>
          <w:p>
            <w:pPr>
              <w:spacing w:after="0"/>
            </w:pPr>
            <w:r>
              <w:rPr>
                <w:b w:val="0"/>
                <w:sz w:val="13"/>
              </w:rPr>
              <w:t>S25; Lv et al., 2025 [60]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development; REFUGE external segmentation; separation unclear. Outcome: Expert masks; glaucoma threshold vCDR &gt; 0.6 (surrogate/algorithmic threshold). Analysis: same-source held-out/fixed partition. Principal concern: Strong biomarker agreement does not validate a clinical glaucoma outcome; external testing concerned segmentation rather than diagnosis.</w:t>
            </w:r>
          </w:p>
        </w:tc>
      </w:tr>
      <w:tr>
        <w:trPr>
          <w:cantSplit/>
        </w:trPr>
        <w:tc>
          <w:tcPr>
            <w:tcW w:type="dxa" w:w="1928"/>
          </w:tcPr>
          <w:p>
            <w:pPr>
              <w:spacing w:after="0"/>
            </w:pPr>
            <w:r>
              <w:rPr>
                <w:b w:val="0"/>
                <w:sz w:val="13"/>
              </w:rPr>
              <w:t>S26; Prakash and Vinoth Kumar, 2025 [61]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DRISHTI-GS1, RIM-ONE, and ORIGA-Light; separation image/eye-level. Outcome: Inherited dataset labels and masks (surrogate/algorithmic threshold). Analysis: external/cross-dataset evaluation. Principal concern: Cross-dataset experiments were valuable, but very small repositories, surrogate labels, and internal table inconsistencies imply substantial optimism.</w:t>
            </w:r>
          </w:p>
        </w:tc>
      </w:tr>
      <w:tr>
        <w:trPr>
          <w:cantSplit/>
        </w:trPr>
        <w:tc>
          <w:tcPr>
            <w:tcW w:type="dxa" w:w="1928"/>
          </w:tcPr>
          <w:p>
            <w:pPr>
              <w:spacing w:after="0"/>
            </w:pPr>
            <w:r>
              <w:rPr>
                <w:b w:val="0"/>
                <w:sz w:val="13"/>
              </w:rPr>
              <w:t>S27; AlMohimeed, 2025 [62]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Class-specific metrics were extractable, but image-level benchmark evaluation cannot establish clinical screening performance.</w:t>
            </w:r>
          </w:p>
        </w:tc>
      </w:tr>
      <w:tr>
        <w:trPr>
          <w:cantSplit/>
        </w:trPr>
        <w:tc>
          <w:tcPr>
            <w:tcW w:type="dxa" w:w="1928"/>
          </w:tcPr>
          <w:p>
            <w:pPr>
              <w:spacing w:after="0"/>
            </w:pPr>
            <w:r>
              <w:rPr>
                <w:b w:val="0"/>
                <w:sz w:val="13"/>
              </w:rPr>
              <w:t>S28; Lin, 2025 [63]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Glaucoma confusion-matrix totals do not reconcile with the stated test set; performance is therefore descriptive only.</w:t>
            </w:r>
          </w:p>
        </w:tc>
      </w:tr>
      <w:tr>
        <w:trPr>
          <w:cantSplit/>
        </w:trPr>
        <w:tc>
          <w:tcPr>
            <w:tcW w:type="dxa" w:w="1928"/>
          </w:tcPr>
          <w:p>
            <w:pPr>
              <w:spacing w:after="0"/>
            </w:pPr>
            <w:r>
              <w:rPr>
                <w:b w:val="0"/>
                <w:sz w:val="13"/>
              </w:rPr>
              <w:t>S29; Gandhi et al., 2025 [64]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GRAPE and other public/clinical sources; separation unclear. Outcome: Source-specific labels; linkage and criteria NR (unclear or mixed-unclear). Analysis: same-source held-out/fixed partition. Principal concern: Sample provenance, cross-modality matching, reference standard, and several complexity/explainability claims could not be verified.</w:t>
            </w:r>
          </w:p>
        </w:tc>
      </w:tr>
      <w:tr>
        <w:trPr>
          <w:cantSplit/>
        </w:trPr>
        <w:tc>
          <w:tcPr>
            <w:tcW w:type="dxa" w:w="1928"/>
          </w:tcPr>
          <w:p>
            <w:pPr>
              <w:spacing w:after="0"/>
            </w:pPr>
            <w:r>
              <w:rPr>
                <w:b w:val="0"/>
                <w:sz w:val="13"/>
              </w:rPr>
              <w:t>S30; Rieck et al., 2025 [65]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Broad multiclass fundus dataset; separation unclear. Outcome: Inherited dataset labels (inherited repository label). Analysis: internal resampling only. Principal concern: Eligible glaucoma-specific evidence was limited to one class sensitivity estimate; the report cannot support balanced accuracy or screening utility.</w:t>
            </w:r>
          </w:p>
        </w:tc>
      </w:tr>
      <w:tr>
        <w:trPr>
          <w:cantSplit/>
        </w:trPr>
        <w:tc>
          <w:tcPr>
            <w:tcW w:type="dxa" w:w="1928"/>
          </w:tcPr>
          <w:p>
            <w:pPr>
              <w:spacing w:after="0"/>
            </w:pPr>
            <w:r>
              <w:rPr>
                <w:b w:val="0"/>
                <w:sz w:val="13"/>
              </w:rPr>
              <w:t>S31; Hou et al., 2026 [66]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Glaucoma_fundus development + PAPILA external; separation unclear. Outcome: Dataset-native labels (inherited repository label). Analysis: external/cross-dataset evaluation. Principal concern: The large external domain drop demonstrates that excellent internal discrimination did not transport across datasets.</w:t>
            </w:r>
          </w:p>
        </w:tc>
      </w:tr>
      <w:tr>
        <w:trPr>
          <w:cantSplit/>
        </w:trPr>
        <w:tc>
          <w:tcPr>
            <w:tcW w:type="dxa" w:w="1928"/>
          </w:tcPr>
          <w:p>
            <w:pPr>
              <w:spacing w:after="0"/>
            </w:pPr>
            <w:r>
              <w:rPr>
                <w:b w:val="0"/>
                <w:sz w:val="13"/>
              </w:rPr>
              <w:t>S32; Abramovich et al., 2026 [67]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KULRD, HYRD/HYGD, PAPILA, DRISHTI-GS, REFUGE/2, and GAMMA; separation participant-level. Outcome: Dataset-specific specialist/repository labels; suspects/OHT excluded (mixed repository plus clinical/expert labels). Analysis: internal–external/leave-one-domain-out. Principal concern: Large, multidomain evaluation and participant grouping were strengths, but target-label heterogeneity and missing identifiers in some sources remain important.</w:t>
            </w:r>
          </w:p>
        </w:tc>
      </w:tr>
      <w:tr>
        <w:trPr>
          <w:cantSplit/>
        </w:trPr>
        <w:tc>
          <w:tcPr>
            <w:tcW w:type="dxa" w:w="1928"/>
          </w:tcPr>
          <w:p>
            <w:pPr>
              <w:spacing w:after="0"/>
            </w:pPr>
            <w:r>
              <w:rPr>
                <w:b w:val="0"/>
                <w:sz w:val="13"/>
              </w:rPr>
              <w:t>S33; Geetha and Hema, 2026 [68]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EyePACS, APTOS, MESSIDOR, and DRISHTI-GS1; separation image/eye-level. Outcome: Source labels; stated class composition could not be reconciled with the named source datasets (inherited repository label). Analysis: same-source held-out/fixed partition. Principal concern: Claimed glaucoma composition and stage labels cannot be reconstructed from the named source datasets; results were retained only narratively.</w:t>
            </w:r>
          </w:p>
        </w:tc>
      </w:tr>
      <w:tr>
        <w:trPr>
          <w:cantSplit/>
        </w:trPr>
        <w:tc>
          <w:tcPr>
            <w:tcW w:type="dxa" w:w="1928"/>
          </w:tcPr>
          <w:p>
            <w:pPr>
              <w:spacing w:after="0"/>
            </w:pPr>
            <w:r>
              <w:rPr>
                <w:b w:val="0"/>
                <w:sz w:val="13"/>
              </w:rPr>
              <w:t>S34; Bolo et al., 2026 [69]</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LAC-DHS development + USC external; separation participant-level. Outcome: CDR ≥ 0.6; optometrist development labels and specialist test labels (surrogate/algorithmic threshold). Analysis: external/cross-dataset evaluation. Principal concern: Robust evaluation design, but the target was a morphologic referral threshold rather than clinical glaucoma.</w:t>
            </w:r>
          </w:p>
        </w:tc>
      </w:tr>
      <w:tr>
        <w:trPr>
          <w:cantSplit/>
        </w:trPr>
        <w:tc>
          <w:tcPr>
            <w:tcW w:type="dxa" w:w="1928"/>
          </w:tcPr>
          <w:p>
            <w:pPr>
              <w:spacing w:after="0"/>
            </w:pPr>
            <w:r>
              <w:rPr>
                <w:b w:val="0"/>
                <w:sz w:val="13"/>
              </w:rPr>
              <w:t>S35; Chuter et al., 2026 [70]</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DIGS/ADAGES; separation participant-level. Outcome: Photographic GON with or without repeatable visual-field loss (clinical or clinical-composite diagnosis). Analysis: same-source held-out/fixed partition. Principal concern: Patient-level multimodal evaluation and a clinical outcome were strong; independent-centre transportability was not tested.</w:t>
            </w:r>
          </w:p>
        </w:tc>
      </w:tr>
      <w:tr>
        <w:trPr>
          <w:cantSplit/>
        </w:trPr>
        <w:tc>
          <w:tcPr>
            <w:tcW w:type="dxa" w:w="1928"/>
          </w:tcPr>
          <w:p>
            <w:pPr>
              <w:spacing w:after="0"/>
            </w:pPr>
            <w:r>
              <w:rPr>
                <w:b w:val="0"/>
                <w:sz w:val="13"/>
              </w:rPr>
              <w:t>S36; Li et al., 2026 [71]</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6180"/>
          </w:tcPr>
          <w:p>
            <w:pPr>
              <w:spacing w:after="0"/>
            </w:pPr>
            <w:r>
              <w:rPr>
                <w:b w:val="0"/>
                <w:sz w:val="13"/>
              </w:rPr>
              <w:t>Participants/data: POAAGG development + REFUGE-1 external; separation participant-level. Outcome: Open angles, characteristic optic-nerve defects, and corresponding visual-field loss; suspects excluded (clinical or clinical-composite diagnosis). Analysis: external/cross-dataset evaluation. Principal concern: Large ancestry-focused clinical cohort, participant separation, and external evaluation support validity; early-stage and calibration evidence remained limited.</w:t>
            </w:r>
          </w:p>
        </w:tc>
      </w:tr>
      <w:tr>
        <w:trPr>
          <w:cantSplit/>
        </w:trPr>
        <w:tc>
          <w:tcPr>
            <w:tcW w:type="dxa" w:w="1928"/>
          </w:tcPr>
          <w:p>
            <w:pPr>
              <w:spacing w:after="0"/>
            </w:pPr>
            <w:r>
              <w:rPr>
                <w:b w:val="0"/>
                <w:sz w:val="13"/>
              </w:rPr>
              <w:t>S37; Tariq et al., 2026 [72]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SMDG-19; separation image/eye-level. Outcome: Aggregated dataset labels (inherited repository label). Analysis: same-source held-out/fixed partition. Principal concern: Composite-source leakage risk and inconsistent class totals make the near-perfect internal estimates unlikely to transport.</w:t>
            </w:r>
          </w:p>
        </w:tc>
      </w:tr>
      <w:tr>
        <w:trPr>
          <w:cantSplit/>
        </w:trPr>
        <w:tc>
          <w:tcPr>
            <w:tcW w:type="dxa" w:w="1928"/>
          </w:tcPr>
          <w:p>
            <w:pPr>
              <w:spacing w:after="0"/>
            </w:pPr>
            <w:r>
              <w:rPr>
                <w:b w:val="0"/>
                <w:sz w:val="13"/>
              </w:rPr>
              <w:t>S38; Bharathi and Shaik, 2026 [73]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ORIGA + RIM-ONE; separation unclear. Outcome: Inherited repository labels (inherited repository label). Analysis: internal evaluation; allocation unclear. Principal concern: Exact sample, allocation, threshold, and reference-standard details were not reported sufficiently for independent reconstruction.</w:t>
            </w:r>
          </w:p>
        </w:tc>
      </w:tr>
      <w:tr>
        <w:trPr>
          <w:cantSplit/>
        </w:trPr>
        <w:tc>
          <w:tcPr>
            <w:tcW w:type="dxa" w:w="1928"/>
          </w:tcPr>
          <w:p>
            <w:pPr>
              <w:spacing w:after="0"/>
            </w:pPr>
            <w:r>
              <w:rPr>
                <w:b w:val="0"/>
                <w:sz w:val="13"/>
              </w:rPr>
              <w:t>S39; Okuwobi et al., 2026 [74]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G1020, ORIGA, REFUGE, private, SMDG, and RIGA; separation unclear. Outcome: Mixed inherited/private labels; criteria NR (unclear or mixed-unclear). Analysis: internal resampling only. Principal concern: Dataset counts, labels, and confusion-matrix metrics materially conflict with source resources; no quantitative conclusion relies on this study.</w:t>
            </w:r>
          </w:p>
        </w:tc>
      </w:tr>
      <w:tr>
        <w:trPr>
          <w:cantSplit/>
        </w:trPr>
        <w:tc>
          <w:tcPr>
            <w:tcW w:type="dxa" w:w="1928"/>
          </w:tcPr>
          <w:p>
            <w:pPr>
              <w:spacing w:after="0"/>
            </w:pPr>
            <w:r>
              <w:rPr>
                <w:b w:val="0"/>
                <w:sz w:val="13"/>
              </w:rPr>
              <w:t>S40; Gandhi et al., 2026 [75]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Named public fundus datasets with unspecified OCT linkage; separation unclear. Outcome: Dataset labels; paired-modality provenance NR (unclear or mixed-unclear). Analysis: internal evaluation; allocation unclear. Principal concern: Named sources do not establish paired OCT data, and sample, split, outcome, and metric inconsistencies preclude clinical interpretation.</w:t>
            </w:r>
          </w:p>
        </w:tc>
      </w:tr>
      <w:tr>
        <w:trPr>
          <w:cantSplit/>
        </w:trPr>
        <w:tc>
          <w:tcPr>
            <w:tcW w:type="dxa" w:w="1928"/>
          </w:tcPr>
          <w:p>
            <w:pPr>
              <w:spacing w:after="0"/>
            </w:pPr>
            <w:r>
              <w:rPr>
                <w:b w:val="0"/>
                <w:sz w:val="13"/>
              </w:rPr>
              <w:t>S41; Chilukuri et al., 2026 [76]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LAG, ACRIMA, and DRISHTI-GS; separation image/eye-level. Outcome: Dataset-native labels (surrogate/algorithmic threshold). Analysis: same-source held-out/fixed partition. Principal concern: The report is inconsistent about pooled versus dataset-specific training and does not provide truly independent external testing.</w:t>
            </w:r>
          </w:p>
        </w:tc>
      </w:tr>
      <w:tr>
        <w:trPr>
          <w:cantSplit/>
        </w:trPr>
        <w:tc>
          <w:tcPr>
            <w:tcW w:type="dxa" w:w="1928"/>
          </w:tcPr>
          <w:p>
            <w:pPr>
              <w:spacing w:after="0"/>
            </w:pPr>
            <w:r>
              <w:rPr>
                <w:b w:val="0"/>
                <w:sz w:val="13"/>
              </w:rPr>
              <w:t>S42; Hernández et al., 2026 [77]</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RIM-ONE DL + private Canary Islands set; separation unclear. Outcome: Expert clinical diagnosis using CDR &gt; 0.7 plus IOP, visual-field, or optic-nerve criteria (clinical or clinical-composite diagnosis). Analysis: internal resampling only. Principal concern: Clinically informed labels and interpretable tokenisation were strengths, but combined-source cross-validation is not independent external validation.</w:t>
            </w:r>
          </w:p>
        </w:tc>
      </w:tr>
      <w:tr>
        <w:trPr>
          <w:cantSplit/>
        </w:trPr>
        <w:tc>
          <w:tcPr>
            <w:tcW w:type="dxa" w:w="1928"/>
          </w:tcPr>
          <w:p>
            <w:pPr>
              <w:spacing w:after="0"/>
            </w:pPr>
            <w:r>
              <w:rPr>
                <w:b w:val="0"/>
                <w:sz w:val="13"/>
              </w:rPr>
              <w:t>S43; Bouris et al., 2026 [78]</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UCLA early POAG + ACRIMA/RIM-ONE controls; advanced UCLA test; separation image/eye-level. Outcome: Two glaucoma specialists with third adjudication (adjudicated/reading-centre/multiple-expert reference). Analysis: same-source held-out/fixed partition. Principal concern: Explicit early disease and specialist grading are major strengths, but all glaucoma originated from one clinic while most controls were public, creating near-complete site/class confounding.</w:t>
            </w:r>
          </w:p>
        </w:tc>
      </w:tr>
      <w:tr>
        <w:trPr>
          <w:cantSplit/>
        </w:trPr>
        <w:tc>
          <w:tcPr>
            <w:tcW w:type="dxa" w:w="1928"/>
          </w:tcPr>
          <w:p>
            <w:pPr>
              <w:spacing w:after="0"/>
            </w:pPr>
            <w:r>
              <w:rPr>
                <w:b w:val="0"/>
                <w:sz w:val="13"/>
              </w:rPr>
              <w:t>S44; Hasan et al., 2026 [79]</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FF2CC"/>
          </w:tcPr>
          <w:p>
            <w:pPr>
              <w:spacing w:after="0"/>
              <w:jc w:val="center"/>
            </w:pPr>
            <w:r>
              <w:rPr>
                <w:b w:val="0"/>
                <w:sz w:val="13"/>
              </w:rPr>
              <w:t>U</w:t>
            </w:r>
          </w:p>
        </w:tc>
        <w:tc>
          <w:tcPr>
            <w:tcW w:type="dxa" w:w="6180"/>
          </w:tcPr>
          <w:p>
            <w:pPr>
              <w:spacing w:after="0"/>
            </w:pPr>
            <w:r>
              <w:rPr>
                <w:b w:val="0"/>
                <w:sz w:val="13"/>
              </w:rPr>
              <w:t>Participants/data: CFEH private clinical cohort; separation participant-level. Outcome: Senior optometrist clinical record with second-expert review; Mills visual-field staging (adjudicated/reading-centre/multiple-expert reference). Analysis: internal resampling only. Principal concern: Explicit clinical staging, participant-grouped folds, and multimodal fusion were informative, but the case-control design and lack of independent evaluation limit deployment inference.</w:t>
            </w:r>
          </w:p>
        </w:tc>
      </w:tr>
      <w:tr>
        <w:trPr>
          <w:cantSplit/>
        </w:trPr>
        <w:tc>
          <w:tcPr>
            <w:tcW w:type="dxa" w:w="1928"/>
          </w:tcPr>
          <w:p>
            <w:pPr>
              <w:spacing w:after="0"/>
            </w:pPr>
            <w:r>
              <w:rPr>
                <w:b w:val="0"/>
                <w:sz w:val="13"/>
              </w:rPr>
              <w:t>S45; Wu et al., 2026 [80]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Fourteen fundus datasets; AIROGS/EyePACS was the largest source; separation image/eye-level. Outcome: Dataset-specific labels, including certified-grader labels in the largest source (mixed repository plus clinical/expert labels). Analysis: external/cross-dataset evaluation. Principal concern: Breadth of cross-dataset evaluation was a major strength, but source-label heterogeneity and image-level allocation leave residual bias and applicability concerns.</w:t>
            </w:r>
          </w:p>
        </w:tc>
      </w:tr>
      <w:tr>
        <w:trPr>
          <w:cantSplit/>
        </w:trPr>
        <w:tc>
          <w:tcPr>
            <w:tcW w:type="dxa" w:w="1928"/>
          </w:tcPr>
          <w:p>
            <w:pPr>
              <w:spacing w:after="0"/>
            </w:pPr>
            <w:r>
              <w:rPr>
                <w:b w:val="0"/>
                <w:sz w:val="13"/>
              </w:rPr>
              <w:t>S46; Moorthy et al., 2026 [81]</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DRISHTI-GS, RIM-ONE, and ORIGA; separation unclear. Outcome: Inherited repository labels and masks (surrogate/algorithmic threshold). Analysis: internal evaluation; allocation unclear. Principal concern: High reported accuracy could not be linked to a fully reconstructable test denominator, patient split, threshold, or independent reference standard.</w:t>
            </w:r>
          </w:p>
        </w:tc>
      </w:tr>
      <w:tr>
        <w:trPr>
          <w:cantSplit/>
        </w:trPr>
        <w:tc>
          <w:tcPr>
            <w:tcW w:type="dxa" w:w="1928"/>
          </w:tcPr>
          <w:p>
            <w:pPr>
              <w:spacing w:after="0"/>
            </w:pPr>
            <w:r>
              <w:rPr>
                <w:b w:val="0"/>
                <w:sz w:val="13"/>
              </w:rPr>
              <w:t>S47; Noh et al., 2026 [82]</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RIM-ONE, REFUGE, and DRISHTI-GS; separation image/eye-level. Outcome: Inherited dataset labels (inherited repository label). Analysis: same-source held-out/fixed partition. Principal concern: Multiple benchmarks were evaluated, but no frozen external test was demonstrated and the data-availability description was internally inconsistent.</w:t>
            </w:r>
          </w:p>
        </w:tc>
      </w:tr>
      <w:tr>
        <w:trPr>
          <w:cantSplit/>
        </w:trPr>
        <w:tc>
          <w:tcPr>
            <w:tcW w:type="dxa" w:w="1928"/>
          </w:tcPr>
          <w:p>
            <w:pPr>
              <w:spacing w:after="0"/>
            </w:pPr>
            <w:r>
              <w:rPr>
                <w:b w:val="0"/>
                <w:sz w:val="13"/>
              </w:rPr>
              <w:t>S48; Pramanik and Bag, 2026 [83]</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Three public datasets, including HDV1; separation unclear. Outcome: Inherited dataset labels; staging criteria incompletely reported (inherited repository label). Analysis: same-source held-out/fixed partition. Principal concern: Incomplete reporting of dataset identity, allocation, staging reference, and glaucoma-specific results prevents quantitative interpretation.</w:t>
            </w:r>
          </w:p>
        </w:tc>
      </w:tr>
      <w:tr>
        <w:trPr>
          <w:cantSplit/>
        </w:trPr>
        <w:tc>
          <w:tcPr>
            <w:tcW w:type="dxa" w:w="1928"/>
          </w:tcPr>
          <w:p>
            <w:pPr>
              <w:spacing w:after="0"/>
            </w:pPr>
            <w:r>
              <w:rPr>
                <w:b w:val="0"/>
                <w:sz w:val="13"/>
              </w:rPr>
              <w:t>S49; Roopalakshmi et al., 2026 [84]</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Six aggregated public fundus datasets; separation image/eye-level. Outcome: Inherited repository labels (inherited repository label). Analysis: same-source held-out/fixed partition. Principal concern: Pooling heterogeneous repositories before an image-level split and conflicting tabular values limit both independence and reproducibility.</w:t>
            </w:r>
          </w:p>
        </w:tc>
      </w:tr>
      <w:tr>
        <w:trPr>
          <w:cantSplit/>
        </w:trPr>
        <w:tc>
          <w:tcPr>
            <w:tcW w:type="dxa" w:w="1928"/>
          </w:tcPr>
          <w:p>
            <w:pPr>
              <w:spacing w:after="0"/>
            </w:pPr>
            <w:r>
              <w:rPr>
                <w:b w:val="0"/>
                <w:sz w:val="13"/>
              </w:rPr>
              <w:t>S50; Abdelbaki et al., 2026 [85]</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RFMiD; separation image/eye-level. Outcome: Inherited RFMiD labels (inherited repository label). Analysis: same-source held-out/fixed partition. Principal concern: Glaucoma-specific estimates were available, but a single image-level repository split and inherited labels limit clinical transportability.</w:t>
            </w:r>
          </w:p>
        </w:tc>
      </w:tr>
      <w:tr>
        <w:trPr>
          <w:cantSplit/>
        </w:trPr>
        <w:tc>
          <w:tcPr>
            <w:tcW w:type="dxa" w:w="1928"/>
          </w:tcPr>
          <w:p>
            <w:pPr>
              <w:spacing w:after="0"/>
            </w:pPr>
            <w:r>
              <w:rPr>
                <w:b w:val="0"/>
                <w:sz w:val="13"/>
              </w:rPr>
              <w:t>S51; Malik et al., 2026 [86]</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Class-specific AUC was high, but the evidence remained an image-level benchmark evaluation with inherited labels and no independent test.</w:t>
            </w:r>
          </w:p>
        </w:tc>
      </w:tr>
      <w:tr>
        <w:trPr>
          <w:cantSplit/>
        </w:trPr>
        <w:tc>
          <w:tcPr>
            <w:tcW w:type="dxa" w:w="1928"/>
          </w:tcPr>
          <w:p>
            <w:pPr>
              <w:spacing w:after="0"/>
            </w:pPr>
            <w:r>
              <w:rPr>
                <w:b w:val="0"/>
                <w:sz w:val="13"/>
              </w:rPr>
              <w:t>S52; Malik et al., 2026 [87]</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same-source held-out/fixed partition. Principal concern: The same small public corpus was reused in a distinct model analysis; glaucoma-specific discrimination was incompletely separated from overall performance.</w:t>
            </w:r>
          </w:p>
        </w:tc>
      </w:tr>
      <w:tr>
        <w:trPr>
          <w:cantSplit/>
        </w:trPr>
        <w:tc>
          <w:tcPr>
            <w:tcW w:type="dxa" w:w="1928"/>
          </w:tcPr>
          <w:p>
            <w:pPr>
              <w:spacing w:after="0"/>
            </w:pPr>
            <w:r>
              <w:rPr>
                <w:b w:val="0"/>
                <w:sz w:val="13"/>
              </w:rPr>
              <w:t>S53; Santo et al., 2026 [88]</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Ocular Image Hub; separation image/eye-level. Outcome: Inherited repository labels (inherited repository label). Analysis: internal resampling only. Principal concern: Reuse of the same repository, image-level resampling, and incomplete class-specific reporting constrain inference.</w:t>
            </w:r>
          </w:p>
        </w:tc>
      </w:tr>
      <w:tr>
        <w:trPr>
          <w:cantSplit/>
        </w:trPr>
        <w:tc>
          <w:tcPr>
            <w:tcW w:type="dxa" w:w="1928"/>
          </w:tcPr>
          <w:p>
            <w:pPr>
              <w:spacing w:after="0"/>
            </w:pPr>
            <w:r>
              <w:rPr>
                <w:b w:val="0"/>
                <w:sz w:val="13"/>
              </w:rPr>
              <w:t>S54; Rahman et al., 2026 [89]</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Kaggle Eye Diseases; separation image/eye-level. Outcome: Inherited repository labels (inherited repository label). Analysis: same-source held-out/fixed partition. Principal concern: The modest glaucoma F1 illustrates task difficulty, but image-level evaluation and inherited labels still prevent clinical interpretation.</w:t>
            </w:r>
          </w:p>
        </w:tc>
      </w:tr>
      <w:tr>
        <w:trPr>
          <w:cantSplit/>
        </w:trPr>
        <w:tc>
          <w:tcPr>
            <w:tcW w:type="dxa" w:w="1928"/>
          </w:tcPr>
          <w:p>
            <w:pPr>
              <w:spacing w:after="0"/>
            </w:pPr>
            <w:r>
              <w:rPr>
                <w:b w:val="0"/>
                <w:sz w:val="13"/>
              </w:rPr>
              <w:t>S55; Zaib, 2026 [90]</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FF2CC"/>
          </w:tcPr>
          <w:p>
            <w:pPr>
              <w:spacing w:after="0"/>
              <w:jc w:val="center"/>
            </w:pPr>
            <w:r>
              <w:rPr>
                <w:b w:val="0"/>
                <w:sz w:val="13"/>
              </w:rPr>
              <w:t>U</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F4CCCC"/>
          </w:tcPr>
          <w:p>
            <w:pPr>
              <w:spacing w:after="0"/>
              <w:jc w:val="center"/>
            </w:pPr>
            <w:r>
              <w:rPr>
                <w:b w:val="0"/>
                <w:sz w:val="13"/>
              </w:rPr>
              <w:t>H</w:t>
            </w:r>
          </w:p>
        </w:tc>
        <w:tc>
          <w:tcPr>
            <w:tcW w:type="dxa" w:w="539"/>
            <w:shd w:val="clear" w:color="auto" w:fill="D9EAD3"/>
          </w:tcPr>
          <w:p>
            <w:pPr>
              <w:spacing w:after="0"/>
              <w:jc w:val="center"/>
            </w:pPr>
            <w:r>
              <w:rPr>
                <w:b w:val="0"/>
                <w:sz w:val="13"/>
              </w:rPr>
              <w:t>L</w:t>
            </w:r>
          </w:p>
        </w:tc>
        <w:tc>
          <w:tcPr>
            <w:tcW w:type="dxa" w:w="539"/>
            <w:shd w:val="clear" w:color="auto" w:fill="D9EAD3"/>
          </w:tcPr>
          <w:p>
            <w:pPr>
              <w:spacing w:after="0"/>
              <w:jc w:val="center"/>
            </w:pPr>
            <w:r>
              <w:rPr>
                <w:b w:val="0"/>
                <w:sz w:val="13"/>
              </w:rPr>
              <w:t>L</w:t>
            </w:r>
          </w:p>
        </w:tc>
        <w:tc>
          <w:tcPr>
            <w:tcW w:type="dxa" w:w="539"/>
            <w:shd w:val="clear" w:color="auto" w:fill="F4CCCC"/>
          </w:tcPr>
          <w:p>
            <w:pPr>
              <w:spacing w:after="0"/>
              <w:jc w:val="center"/>
            </w:pPr>
            <w:r>
              <w:rPr>
                <w:b w:val="0"/>
                <w:sz w:val="13"/>
              </w:rPr>
              <w:t>H</w:t>
            </w:r>
          </w:p>
        </w:tc>
        <w:tc>
          <w:tcPr>
            <w:tcW w:type="dxa" w:w="6180"/>
          </w:tcPr>
          <w:p>
            <w:pPr>
              <w:spacing w:after="0"/>
            </w:pPr>
            <w:r>
              <w:rPr>
                <w:b w:val="0"/>
                <w:sz w:val="13"/>
              </w:rPr>
              <w:t>Participants/data: JustRAIGS; separation unclear. Outcome: JustRAIGS repository labels (inherited repository label). Analysis: development-derived/validation-only result. Principal concern: A large source repository was available, but validation-only reporting, uncertain participant separation, and limited methodological reporting increase optimism risk.</w:t>
            </w:r>
          </w:p>
        </w:tc>
      </w:tr>
    </w:tbl>
    <w:p>
      <w:pPr>
        <w:spacing w:after="160" w:before="60"/>
      </w:pPr>
      <w:r>
        <w:rPr>
          <w:b w:val="0"/>
          <w:i w:val="0"/>
          <w:sz w:val="16"/>
        </w:rPr>
        <w:t>D, model-development quality; E, risk of bias in model evaluation; Ap, applicability of the evaluation evidence to diagnostic detection of current glaucoma in eye-care settings (Section 2.1 of the manuscript). Against the separately defined population-screening use, no report was applicable, because none evaluated the model in a sample of adults without known glaucoma in primary care, optometry, community, or teleophthalmology settings with the model in its triage role; low applicability ratings therefore do not indicate applicability to screening. P, participants and data sources; Pr, predictors; O, outcome; A, analysis; All, overall judgement. L, low; U, unclear; H, high. The overall judgement was high when any domain was high, low only when every domain was low, and unclear otherwise. No numerical quality score was calculated. Suspect/ocular-hypertension and surrogate structural targets were not equated with established glaucoma when judging outcome applicability.</w:t>
      </w:r>
    </w:p>
    <w:p>
      <w:pPr>
        <w:keepNext/>
        <w:spacing w:after="80" w:before="200"/>
      </w:pPr>
      <w:r>
        <w:rPr>
          <w:b/>
        </w:rPr>
        <w:t xml:space="preserve">Table S8. </w:t>
      </w:r>
      <w:r>
        <w:t>Sensitivity analysis of headline proportions after excluding reports without a transcribable glaucoma-specific point estimate.</w:t>
      </w:r>
    </w:p>
    <w:tbl>
      <w:tblPr>
        <w:tblStyle w:val="TableGrid"/>
        <w:tblW w:type="auto" w:w="0"/>
        <w:jc w:val="center"/>
        <w:tblLayout w:type="fixed"/>
        <w:tblLook w:firstColumn="1" w:firstRow="1" w:lastColumn="0" w:lastRow="0" w:noHBand="0" w:noVBand="1" w:val="04A0"/>
      </w:tblPr>
      <w:tblGrid>
        <w:gridCol w:w="5103"/>
        <w:gridCol w:w="2381"/>
        <w:gridCol w:w="2381"/>
        <w:gridCol w:w="2041"/>
      </w:tblGrid>
      <w:tr>
        <w:trPr>
          <w:tblHeader/>
        </w:trPr>
        <w:tc>
          <w:tcPr>
            <w:tcW w:type="dxa" w:w="5102"/>
            <w:shd w:val="clear" w:color="auto" w:fill="E7ECF3"/>
          </w:tcPr>
          <w:p>
            <w:pPr>
              <w:spacing w:after="0"/>
              <w:jc w:val="center"/>
            </w:pPr>
            <w:r>
              <w:rPr>
                <w:b/>
                <w:sz w:val="16"/>
              </w:rPr>
              <w:t>Indicator</w:t>
            </w:r>
          </w:p>
        </w:tc>
        <w:tc>
          <w:tcPr>
            <w:tcW w:type="dxa" w:w="2381"/>
            <w:shd w:val="clear" w:color="auto" w:fill="E7ECF3"/>
          </w:tcPr>
          <w:p>
            <w:pPr>
              <w:spacing w:after="0"/>
              <w:jc w:val="center"/>
            </w:pPr>
            <w:r>
              <w:rPr>
                <w:b/>
                <w:sz w:val="16"/>
              </w:rPr>
              <w:t>All reports (n = 55), n (%)</w:t>
            </w:r>
          </w:p>
        </w:tc>
        <w:tc>
          <w:tcPr>
            <w:tcW w:type="dxa" w:w="2381"/>
            <w:shd w:val="clear" w:color="auto" w:fill="E7ECF3"/>
          </w:tcPr>
          <w:p>
            <w:pPr>
              <w:spacing w:after="0"/>
              <w:jc w:val="center"/>
            </w:pPr>
            <w:r>
              <w:rPr>
                <w:b/>
                <w:sz w:val="16"/>
              </w:rPr>
              <w:t>Sensitivity set (n = 49), n (%)</w:t>
            </w:r>
          </w:p>
        </w:tc>
        <w:tc>
          <w:tcPr>
            <w:tcW w:type="dxa" w:w="2041"/>
            <w:shd w:val="clear" w:color="auto" w:fill="E7ECF3"/>
          </w:tcPr>
          <w:p>
            <w:pPr>
              <w:spacing w:after="0"/>
              <w:jc w:val="center"/>
            </w:pPr>
            <w:r>
              <w:rPr>
                <w:b/>
                <w:sz w:val="16"/>
              </w:rPr>
              <w:t>Difference (percentage points)</w:t>
            </w:r>
          </w:p>
        </w:tc>
      </w:tr>
      <w:tr>
        <w:trPr>
          <w:cantSplit/>
        </w:trPr>
        <w:tc>
          <w:tcPr>
            <w:tcW w:type="dxa" w:w="5102"/>
          </w:tcPr>
          <w:p>
            <w:pPr>
              <w:spacing w:after="0"/>
            </w:pPr>
            <w:r>
              <w:rPr>
                <w:b w:val="0"/>
                <w:sz w:val="16"/>
              </w:rPr>
              <w:t>Published in 2025–2026</w:t>
            </w:r>
          </w:p>
        </w:tc>
        <w:tc>
          <w:tcPr>
            <w:tcW w:type="dxa" w:w="2381"/>
          </w:tcPr>
          <w:p>
            <w:pPr>
              <w:spacing w:after="0"/>
              <w:jc w:val="center"/>
            </w:pPr>
            <w:r>
              <w:rPr>
                <w:b w:val="0"/>
                <w:sz w:val="16"/>
              </w:rPr>
              <w:t>42 (76.4)</w:t>
            </w:r>
          </w:p>
        </w:tc>
        <w:tc>
          <w:tcPr>
            <w:tcW w:type="dxa" w:w="2381"/>
          </w:tcPr>
          <w:p>
            <w:pPr>
              <w:spacing w:after="0"/>
              <w:jc w:val="center"/>
            </w:pPr>
            <w:r>
              <w:rPr>
                <w:b w:val="0"/>
                <w:sz w:val="16"/>
              </w:rPr>
              <w:t>37 (75.5)</w:t>
            </w:r>
          </w:p>
        </w:tc>
        <w:tc>
          <w:tcPr>
            <w:tcW w:type="dxa" w:w="2041"/>
          </w:tcPr>
          <w:p>
            <w:pPr>
              <w:spacing w:after="0"/>
              <w:jc w:val="center"/>
            </w:pPr>
            <w:r>
              <w:rPr>
                <w:b w:val="0"/>
                <w:sz w:val="16"/>
              </w:rPr>
              <w:t>-0.9</w:t>
            </w:r>
          </w:p>
        </w:tc>
      </w:tr>
      <w:tr>
        <w:trPr>
          <w:cantSplit/>
        </w:trPr>
        <w:tc>
          <w:tcPr>
            <w:tcW w:type="dxa" w:w="5102"/>
          </w:tcPr>
          <w:p>
            <w:pPr>
              <w:spacing w:after="0"/>
            </w:pPr>
            <w:r>
              <w:rPr>
                <w:b w:val="0"/>
                <w:sz w:val="16"/>
              </w:rPr>
              <w:t>Confirmed participant-level separation</w:t>
            </w:r>
          </w:p>
        </w:tc>
        <w:tc>
          <w:tcPr>
            <w:tcW w:type="dxa" w:w="2381"/>
          </w:tcPr>
          <w:p>
            <w:pPr>
              <w:spacing w:after="0"/>
              <w:jc w:val="center"/>
            </w:pPr>
            <w:r>
              <w:rPr>
                <w:b w:val="0"/>
                <w:sz w:val="16"/>
              </w:rPr>
              <w:t>8 (14.5)</w:t>
            </w:r>
          </w:p>
        </w:tc>
        <w:tc>
          <w:tcPr>
            <w:tcW w:type="dxa" w:w="2381"/>
          </w:tcPr>
          <w:p>
            <w:pPr>
              <w:spacing w:after="0"/>
              <w:jc w:val="center"/>
            </w:pPr>
            <w:r>
              <w:rPr>
                <w:b w:val="0"/>
                <w:sz w:val="16"/>
              </w:rPr>
              <w:t>8 (16.3)</w:t>
            </w:r>
          </w:p>
        </w:tc>
        <w:tc>
          <w:tcPr>
            <w:tcW w:type="dxa" w:w="2041"/>
          </w:tcPr>
          <w:p>
            <w:pPr>
              <w:spacing w:after="0"/>
              <w:jc w:val="center"/>
            </w:pPr>
            <w:r>
              <w:rPr>
                <w:b w:val="0"/>
                <w:sz w:val="16"/>
              </w:rPr>
              <w:t>+1.8</w:t>
            </w:r>
          </w:p>
        </w:tc>
      </w:tr>
      <w:tr>
        <w:trPr>
          <w:cantSplit/>
        </w:trPr>
        <w:tc>
          <w:tcPr>
            <w:tcW w:type="dxa" w:w="5102"/>
          </w:tcPr>
          <w:p>
            <w:pPr>
              <w:spacing w:after="0"/>
            </w:pPr>
            <w:r>
              <w:rPr>
                <w:b w:val="0"/>
                <w:sz w:val="16"/>
              </w:rPr>
              <w:t>Distinct-source evaluation</w:t>
            </w:r>
          </w:p>
        </w:tc>
        <w:tc>
          <w:tcPr>
            <w:tcW w:type="dxa" w:w="2381"/>
          </w:tcPr>
          <w:p>
            <w:pPr>
              <w:spacing w:after="0"/>
              <w:jc w:val="center"/>
            </w:pPr>
            <w:r>
              <w:rPr>
                <w:b w:val="0"/>
                <w:sz w:val="16"/>
              </w:rPr>
              <w:t>9 (16.4)</w:t>
            </w:r>
          </w:p>
        </w:tc>
        <w:tc>
          <w:tcPr>
            <w:tcW w:type="dxa" w:w="2381"/>
          </w:tcPr>
          <w:p>
            <w:pPr>
              <w:spacing w:after="0"/>
              <w:jc w:val="center"/>
            </w:pPr>
            <w:r>
              <w:rPr>
                <w:b w:val="0"/>
                <w:sz w:val="16"/>
              </w:rPr>
              <w:t>8 (16.3)</w:t>
            </w:r>
          </w:p>
        </w:tc>
        <w:tc>
          <w:tcPr>
            <w:tcW w:type="dxa" w:w="2041"/>
          </w:tcPr>
          <w:p>
            <w:pPr>
              <w:spacing w:after="0"/>
              <w:jc w:val="center"/>
            </w:pPr>
            <w:r>
              <w:rPr>
                <w:b w:val="0"/>
                <w:sz w:val="16"/>
              </w:rPr>
              <w:t>0.0</w:t>
            </w:r>
          </w:p>
        </w:tc>
      </w:tr>
      <w:tr>
        <w:trPr>
          <w:cantSplit/>
        </w:trPr>
        <w:tc>
          <w:tcPr>
            <w:tcW w:type="dxa" w:w="5102"/>
          </w:tcPr>
          <w:p>
            <w:pPr>
              <w:spacing w:after="0"/>
            </w:pPr>
            <w:r>
              <w:rPr>
                <w:b w:val="0"/>
                <w:sz w:val="16"/>
              </w:rPr>
              <w:t>Participant-level separation and distinct-source evaluation</w:t>
            </w:r>
          </w:p>
        </w:tc>
        <w:tc>
          <w:tcPr>
            <w:tcW w:type="dxa" w:w="2381"/>
          </w:tcPr>
          <w:p>
            <w:pPr>
              <w:spacing w:after="0"/>
              <w:jc w:val="center"/>
            </w:pPr>
            <w:r>
              <w:rPr>
                <w:b w:val="0"/>
                <w:sz w:val="16"/>
              </w:rPr>
              <w:t>4 (7.3)</w:t>
            </w:r>
          </w:p>
        </w:tc>
        <w:tc>
          <w:tcPr>
            <w:tcW w:type="dxa" w:w="2381"/>
          </w:tcPr>
          <w:p>
            <w:pPr>
              <w:spacing w:after="0"/>
              <w:jc w:val="center"/>
            </w:pPr>
            <w:r>
              <w:rPr>
                <w:b w:val="0"/>
                <w:sz w:val="16"/>
              </w:rPr>
              <w:t>4 (8.2)</w:t>
            </w:r>
          </w:p>
        </w:tc>
        <w:tc>
          <w:tcPr>
            <w:tcW w:type="dxa" w:w="2041"/>
          </w:tcPr>
          <w:p>
            <w:pPr>
              <w:spacing w:after="0"/>
              <w:jc w:val="center"/>
            </w:pPr>
            <w:r>
              <w:rPr>
                <w:b w:val="0"/>
                <w:sz w:val="16"/>
              </w:rPr>
              <w:t>+0.9</w:t>
            </w:r>
          </w:p>
        </w:tc>
      </w:tr>
      <w:tr>
        <w:trPr>
          <w:cantSplit/>
        </w:trPr>
        <w:tc>
          <w:tcPr>
            <w:tcW w:type="dxa" w:w="5102"/>
          </w:tcPr>
          <w:p>
            <w:pPr>
              <w:spacing w:after="0"/>
            </w:pPr>
            <w:r>
              <w:rPr>
                <w:b w:val="0"/>
                <w:sz w:val="16"/>
              </w:rPr>
              <w:t>Inherited, mixed-repository, or surrogate reference standard</w:t>
            </w:r>
          </w:p>
        </w:tc>
        <w:tc>
          <w:tcPr>
            <w:tcW w:type="dxa" w:w="2381"/>
          </w:tcPr>
          <w:p>
            <w:pPr>
              <w:spacing w:after="0"/>
              <w:jc w:val="center"/>
            </w:pPr>
            <w:r>
              <w:rPr>
                <w:b w:val="0"/>
                <w:sz w:val="16"/>
              </w:rPr>
              <w:t>38 (69.1)</w:t>
            </w:r>
          </w:p>
        </w:tc>
        <w:tc>
          <w:tcPr>
            <w:tcW w:type="dxa" w:w="2381"/>
          </w:tcPr>
          <w:p>
            <w:pPr>
              <w:spacing w:after="0"/>
              <w:jc w:val="center"/>
            </w:pPr>
            <w:r>
              <w:rPr>
                <w:b w:val="0"/>
                <w:sz w:val="16"/>
              </w:rPr>
              <w:t>33 (67.3)</w:t>
            </w:r>
          </w:p>
        </w:tc>
        <w:tc>
          <w:tcPr>
            <w:tcW w:type="dxa" w:w="2041"/>
          </w:tcPr>
          <w:p>
            <w:pPr>
              <w:spacing w:after="0"/>
              <w:jc w:val="center"/>
            </w:pPr>
            <w:r>
              <w:rPr>
                <w:b w:val="0"/>
                <w:sz w:val="16"/>
              </w:rPr>
              <w:t>-1.7</w:t>
            </w:r>
          </w:p>
        </w:tc>
      </w:tr>
      <w:tr>
        <w:trPr>
          <w:cantSplit/>
        </w:trPr>
        <w:tc>
          <w:tcPr>
            <w:tcW w:type="dxa" w:w="5102"/>
          </w:tcPr>
          <w:p>
            <w:pPr>
              <w:spacing w:after="0"/>
            </w:pPr>
            <w:r>
              <w:rPr>
                <w:b w:val="0"/>
                <w:sz w:val="16"/>
              </w:rPr>
              <w:t>Clinical or adjudicated reference standard</w:t>
            </w:r>
          </w:p>
        </w:tc>
        <w:tc>
          <w:tcPr>
            <w:tcW w:type="dxa" w:w="2381"/>
          </w:tcPr>
          <w:p>
            <w:pPr>
              <w:spacing w:after="0"/>
              <w:jc w:val="center"/>
            </w:pPr>
            <w:r>
              <w:rPr>
                <w:b w:val="0"/>
                <w:sz w:val="16"/>
              </w:rPr>
              <w:t>13 (23.6)</w:t>
            </w:r>
          </w:p>
        </w:tc>
        <w:tc>
          <w:tcPr>
            <w:tcW w:type="dxa" w:w="2381"/>
          </w:tcPr>
          <w:p>
            <w:pPr>
              <w:spacing w:after="0"/>
              <w:jc w:val="center"/>
            </w:pPr>
            <w:r>
              <w:rPr>
                <w:b w:val="0"/>
                <w:sz w:val="16"/>
              </w:rPr>
              <w:t>12 (24.5)</w:t>
            </w:r>
          </w:p>
        </w:tc>
        <w:tc>
          <w:tcPr>
            <w:tcW w:type="dxa" w:w="2041"/>
          </w:tcPr>
          <w:p>
            <w:pPr>
              <w:spacing w:after="0"/>
              <w:jc w:val="center"/>
            </w:pPr>
            <w:r>
              <w:rPr>
                <w:b w:val="0"/>
                <w:sz w:val="16"/>
              </w:rPr>
              <w:t>+0.9</w:t>
            </w:r>
          </w:p>
        </w:tc>
      </w:tr>
      <w:tr>
        <w:trPr>
          <w:cantSplit/>
        </w:trPr>
        <w:tc>
          <w:tcPr>
            <w:tcW w:type="dxa" w:w="5102"/>
          </w:tcPr>
          <w:p>
            <w:pPr>
              <w:spacing w:after="0"/>
            </w:pPr>
            <w:r>
              <w:rPr>
                <w:b w:val="0"/>
                <w:sz w:val="16"/>
              </w:rPr>
              <w:t>Operational mild/early perimetric definition</w:t>
            </w:r>
          </w:p>
        </w:tc>
        <w:tc>
          <w:tcPr>
            <w:tcW w:type="dxa" w:w="2381"/>
          </w:tcPr>
          <w:p>
            <w:pPr>
              <w:spacing w:after="0"/>
              <w:jc w:val="center"/>
            </w:pPr>
            <w:r>
              <w:rPr>
                <w:b w:val="0"/>
                <w:sz w:val="16"/>
              </w:rPr>
              <w:t>6 (10.9)</w:t>
            </w:r>
          </w:p>
        </w:tc>
        <w:tc>
          <w:tcPr>
            <w:tcW w:type="dxa" w:w="2381"/>
          </w:tcPr>
          <w:p>
            <w:pPr>
              <w:spacing w:after="0"/>
              <w:jc w:val="center"/>
            </w:pPr>
            <w:r>
              <w:rPr>
                <w:b w:val="0"/>
                <w:sz w:val="16"/>
              </w:rPr>
              <w:t>5 (10.2)</w:t>
            </w:r>
          </w:p>
        </w:tc>
        <w:tc>
          <w:tcPr>
            <w:tcW w:type="dxa" w:w="2041"/>
          </w:tcPr>
          <w:p>
            <w:pPr>
              <w:spacing w:after="0"/>
              <w:jc w:val="center"/>
            </w:pPr>
            <w:r>
              <w:rPr>
                <w:b w:val="0"/>
                <w:sz w:val="16"/>
              </w:rPr>
              <w:t>-0.7</w:t>
            </w:r>
          </w:p>
        </w:tc>
      </w:tr>
      <w:tr>
        <w:trPr>
          <w:cantSplit/>
        </w:trPr>
        <w:tc>
          <w:tcPr>
            <w:tcW w:type="dxa" w:w="5102"/>
          </w:tcPr>
          <w:p>
            <w:pPr>
              <w:spacing w:after="0"/>
            </w:pPr>
            <w:r>
              <w:rPr>
                <w:b w:val="0"/>
                <w:sz w:val="16"/>
              </w:rPr>
              <w:t>Explanation or transparent biomarker pathway</w:t>
            </w:r>
          </w:p>
        </w:tc>
        <w:tc>
          <w:tcPr>
            <w:tcW w:type="dxa" w:w="2381"/>
          </w:tcPr>
          <w:p>
            <w:pPr>
              <w:spacing w:after="0"/>
              <w:jc w:val="center"/>
            </w:pPr>
            <w:r>
              <w:rPr>
                <w:b w:val="0"/>
                <w:sz w:val="16"/>
              </w:rPr>
              <w:t>12 (21.8)</w:t>
            </w:r>
          </w:p>
        </w:tc>
        <w:tc>
          <w:tcPr>
            <w:tcW w:type="dxa" w:w="2381"/>
          </w:tcPr>
          <w:p>
            <w:pPr>
              <w:spacing w:after="0"/>
              <w:jc w:val="center"/>
            </w:pPr>
            <w:r>
              <w:rPr>
                <w:b w:val="0"/>
                <w:sz w:val="16"/>
              </w:rPr>
              <w:t>10 (20.4)</w:t>
            </w:r>
          </w:p>
        </w:tc>
        <w:tc>
          <w:tcPr>
            <w:tcW w:type="dxa" w:w="2041"/>
          </w:tcPr>
          <w:p>
            <w:pPr>
              <w:spacing w:after="0"/>
              <w:jc w:val="center"/>
            </w:pPr>
            <w:r>
              <w:rPr>
                <w:b w:val="0"/>
                <w:sz w:val="16"/>
              </w:rPr>
              <w:t>-1.4</w:t>
            </w:r>
          </w:p>
        </w:tc>
      </w:tr>
      <w:tr>
        <w:trPr>
          <w:cantSplit/>
        </w:trPr>
        <w:tc>
          <w:tcPr>
            <w:tcW w:type="dxa" w:w="5102"/>
          </w:tcPr>
          <w:p>
            <w:pPr>
              <w:spacing w:after="0"/>
            </w:pPr>
            <w:r>
              <w:rPr>
                <w:b w:val="0"/>
                <w:sz w:val="16"/>
              </w:rPr>
              <w:t>High risk of bias in model evaluation</w:t>
            </w:r>
          </w:p>
        </w:tc>
        <w:tc>
          <w:tcPr>
            <w:tcW w:type="dxa" w:w="2381"/>
          </w:tcPr>
          <w:p>
            <w:pPr>
              <w:spacing w:after="0"/>
              <w:jc w:val="center"/>
            </w:pPr>
            <w:r>
              <w:rPr>
                <w:b w:val="0"/>
                <w:sz w:val="16"/>
              </w:rPr>
              <w:t>51 (92.7)</w:t>
            </w:r>
          </w:p>
        </w:tc>
        <w:tc>
          <w:tcPr>
            <w:tcW w:type="dxa" w:w="2381"/>
          </w:tcPr>
          <w:p>
            <w:pPr>
              <w:spacing w:after="0"/>
              <w:jc w:val="center"/>
            </w:pPr>
            <w:r>
              <w:rPr>
                <w:b w:val="0"/>
                <w:sz w:val="16"/>
              </w:rPr>
              <w:t>45 (91.8)</w:t>
            </w:r>
          </w:p>
        </w:tc>
        <w:tc>
          <w:tcPr>
            <w:tcW w:type="dxa" w:w="2041"/>
          </w:tcPr>
          <w:p>
            <w:pPr>
              <w:spacing w:after="0"/>
              <w:jc w:val="center"/>
            </w:pPr>
            <w:r>
              <w:rPr>
                <w:b w:val="0"/>
                <w:sz w:val="16"/>
              </w:rPr>
              <w:t>-0.9</w:t>
            </w:r>
          </w:p>
        </w:tc>
      </w:tr>
      <w:tr>
        <w:trPr>
          <w:cantSplit/>
        </w:trPr>
        <w:tc>
          <w:tcPr>
            <w:tcW w:type="dxa" w:w="5102"/>
          </w:tcPr>
          <w:p>
            <w:pPr>
              <w:spacing w:after="0"/>
            </w:pPr>
            <w:r>
              <w:rPr>
                <w:b w:val="0"/>
                <w:sz w:val="16"/>
              </w:rPr>
              <w:t>High applicability concern (diagnostic detection)</w:t>
            </w:r>
          </w:p>
        </w:tc>
        <w:tc>
          <w:tcPr>
            <w:tcW w:type="dxa" w:w="2381"/>
          </w:tcPr>
          <w:p>
            <w:pPr>
              <w:spacing w:after="0"/>
              <w:jc w:val="center"/>
            </w:pPr>
            <w:r>
              <w:rPr>
                <w:b w:val="0"/>
                <w:sz w:val="16"/>
              </w:rPr>
              <w:t>45 (81.8)</w:t>
            </w:r>
          </w:p>
        </w:tc>
        <w:tc>
          <w:tcPr>
            <w:tcW w:type="dxa" w:w="2381"/>
          </w:tcPr>
          <w:p>
            <w:pPr>
              <w:spacing w:after="0"/>
              <w:jc w:val="center"/>
            </w:pPr>
            <w:r>
              <w:rPr>
                <w:b w:val="0"/>
                <w:sz w:val="16"/>
              </w:rPr>
              <w:t>39 (79.6)</w:t>
            </w:r>
          </w:p>
        </w:tc>
        <w:tc>
          <w:tcPr>
            <w:tcW w:type="dxa" w:w="2041"/>
          </w:tcPr>
          <w:p>
            <w:pPr>
              <w:spacing w:after="0"/>
              <w:jc w:val="center"/>
            </w:pPr>
            <w:r>
              <w:rPr>
                <w:b w:val="0"/>
                <w:sz w:val="16"/>
              </w:rPr>
              <w:t>-2.2</w:t>
            </w:r>
          </w:p>
        </w:tc>
      </w:tr>
      <w:tr>
        <w:trPr>
          <w:cantSplit/>
        </w:trPr>
        <w:tc>
          <w:tcPr>
            <w:tcW w:type="dxa" w:w="5102"/>
          </w:tcPr>
          <w:p>
            <w:pPr>
              <w:spacing w:after="0"/>
            </w:pPr>
            <w:r>
              <w:rPr>
                <w:b w:val="0"/>
                <w:sz w:val="16"/>
              </w:rPr>
              <w:t>Low risk of bias and low applicability concern</w:t>
            </w:r>
          </w:p>
        </w:tc>
        <w:tc>
          <w:tcPr>
            <w:tcW w:type="dxa" w:w="2381"/>
          </w:tcPr>
          <w:p>
            <w:pPr>
              <w:spacing w:after="0"/>
              <w:jc w:val="center"/>
            </w:pPr>
            <w:r>
              <w:rPr>
                <w:b w:val="0"/>
                <w:sz w:val="16"/>
              </w:rPr>
              <w:t>3 (5.5)</w:t>
            </w:r>
          </w:p>
        </w:tc>
        <w:tc>
          <w:tcPr>
            <w:tcW w:type="dxa" w:w="2381"/>
          </w:tcPr>
          <w:p>
            <w:pPr>
              <w:spacing w:after="0"/>
              <w:jc w:val="center"/>
            </w:pPr>
            <w:r>
              <w:rPr>
                <w:b w:val="0"/>
                <w:sz w:val="16"/>
              </w:rPr>
              <w:t>3 (6.1)</w:t>
            </w:r>
          </w:p>
        </w:tc>
        <w:tc>
          <w:tcPr>
            <w:tcW w:type="dxa" w:w="2041"/>
          </w:tcPr>
          <w:p>
            <w:pPr>
              <w:spacing w:after="0"/>
              <w:jc w:val="center"/>
            </w:pPr>
            <w:r>
              <w:rPr>
                <w:b w:val="0"/>
                <w:sz w:val="16"/>
              </w:rPr>
              <w:t>+0.7</w:t>
            </w:r>
          </w:p>
        </w:tc>
      </w:tr>
    </w:tbl>
    <w:p>
      <w:pPr>
        <w:spacing w:after="160" w:before="60"/>
      </w:pPr>
      <w:r>
        <w:rPr>
          <w:b w:val="0"/>
          <w:i w:val="0"/>
          <w:sz w:val="16"/>
        </w:rPr>
        <w:t>Excluded in the sensitivity set: S08; Wang et al., 2023 [43], S17; Das et al., 2025 [52], S33; Geetha and Hema, 2026 [68], S48; Pramanik and Bag, 2026 [83], S52; Malik et al., 2026 [87], S53; Santo et al., 2026 [88]. These reports met the glaucoma-specific result criterion (Table S4), but no glaucoma-specific point estimate of identifiable metric type could be transcribed. The largest change in any proportion was 2.2 percentage points.</w:t>
      </w:r>
    </w:p>
    <w:sectPr w:rsidR="00FC693F" w:rsidRPr="0006063C" w:rsidSect="00034616">
      <w:footerReference w:type="default" r:id="rId9"/>
      <w:pgSz w:w="16838" w:h="11906" w:orient="landscape"/>
      <w:pgMar w:top="907"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Page </w:t>
    </w:r>
    <w:r>
      <w:rPr>
        <w:sz w:val="16"/>
      </w:rPr>
      <w:fldChar w:fldCharType="begin"/>
    </w:r>
    <w:r>
      <w:rPr>
        <w:sz w:val="16"/>
      </w:rPr>
      <w:instrText xml:space="preserve">PAGE</w:instrText>
    </w:r>
    <w:r>
      <w:rPr>
        <w:sz w:val="16"/>
      </w:rPr>
      <w:fldChar w:fldCharType="end"/>
    </w:r>
    <w:r>
      <w:rPr>
        <w:sz w:val="16"/>
      </w:rPr>
      <w:t xml:space="preserve"> of </w:t>
    </w:r>
    <w:r>
      <w:rPr>
        <w:sz w:val="16"/>
      </w:rPr>
      <w:fldChar w:fldCharType="begin"/>
    </w:r>
    <w:r>
      <w:rPr>
        <w:sz w:val="16"/>
      </w:rPr>
      <w:instrText xml:space="preserve">NUMPAGES</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Palatino Linotype" w:hAnsi="Palatino Linotype" w:eastAsia="Palatino Linotyp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dc:title>
  <dc:subject>Are Transformer-Based Artificial Intelligence Models Ready for Glaucoma Screening from Retinal Imaging? A Systematic Review of Validation Rigour, Early-Disease Evidence, and Risk of Bias</dc:subject>
  <dc:creator>Majed S. Alsanea; Moulay Ibrahim El-Khalil Ghembaza; Ashit Kumar Dutta; Mujeeb Ahmed Shaikh</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