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29 September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two reports provided an extractable early-glaucoma estimate, only one of which was credible for clinical inference, and none reported preperimetric performance, the stage at which screening would add most value.</w:t>
      </w:r>
    </w:p>
    <w:p>
      <w:pPr>
        <w:pStyle w:val="ListBullet"/>
        <w:spacing w:after="80"/>
      </w:pPr>
      <w:r>
        <w:rPr>
          <w:b/>
        </w:rPr>
        <w:t xml:space="preserve">Risk of bias and applicability: </w:t>
      </w:r>
      <w:r>
        <w:t>under PROBAST+AI, 92.7% of evaluations were at high risk of bias. Three reports had low risk of bias and low applicability concern for diagnostic detection, but none was applicable to population screening or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defines the screening use explicitly (target population, setting, test role, and referral pathway) and judges the evidence against it. It also translates methodological findings into service consequences: in a hypothetical calculation at population prevalence, a model with 90% sensitivity and 95% specificity would generate more false-positive than true-positive referrals. The review then sets out minimum evidence requirements for health-technology assessment, procurement, and regulatory decisions (Table 5). It also highlights equity concerns arising from the heavy reliance on reused public repositories.</w:t>
      </w:r>
    </w:p>
    <w:p>
      <w:pPr>
        <w:spacing w:after="80"/>
      </w:pPr>
      <w:r>
        <w:rPr>
          <w:b/>
          <w:i w:val="0"/>
        </w:rPr>
        <w:t>Novelty and rigour</w:t>
      </w:r>
    </w:p>
    <w:p>
      <w:r>
        <w:rPr>
          <w:b w:val="0"/>
          <w:i w:val="0"/>
        </w:rPr>
        <w:t>Recent reviews of glaucoma AI have mapped deep-learning methods and highlighted limited external validation. Our contribution is narrower: a systematic review restricted to transformer-based models that codes validation independence at the report level, links reports that reused the same datasets, separates operationally defined early disease from suspect and surrogate targets, and appraises development and evaluation with PROBAST+AI. It follows PRISMA 2020 and PRISMA-S and was informed by TRIPOD-SRMA, PRISMA-DTA, and SWiM. Every report excluded at full text is cited with its reason, the glaucoma-specific basis for including each report is documented, and a sensitivity analysis shows that the headline findings do not depend on the reports whose glaucoma-specific estimates were not recorded in the extraction dataset. Screening, data extraction, and risk-of-bias assessment were performed independently in duplicate, with every disagreement re-checked and adjudicated by the two remaining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