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D33DD" w14:textId="77777777" w:rsidR="007C1CDA" w:rsidRPr="001A0468" w:rsidRDefault="007C1CDA" w:rsidP="007C1CDA">
      <w:pPr>
        <w:pStyle w:val="MDPI11articletype"/>
      </w:pPr>
      <w:r>
        <w:t xml:space="preserve">Systematic Review</w:t>
      </w:r>
    </w:p>
    <w:p w14:paraId="4BAB9501" w14:textId="3FBF2691" w:rsidR="007C1CDA" w:rsidRPr="001A0468" w:rsidRDefault="007C1CDA" w:rsidP="007C1CDA">
      <w:pPr>
        <w:pStyle w:val="MDPI12title"/>
      </w:pPr>
      <w:r>
        <w:t xml:space="preserve">Are Transformer-Based Artificial Intelligence Models Ready for Glaucoma Screening from Retinal Imaging? A Systematic Review of Validation Rigour, Early-Disease Evidence, and Risk of Bias</w:t>
      </w:r>
    </w:p>
    <w:p w14:paraId="10801A9D" w14:textId="77777777" w:rsidR="00643C8E" w:rsidRPr="001A0468" w:rsidRDefault="007C1CDA" w:rsidP="007C1CDA">
      <w:pPr>
        <w:pStyle w:val="MDPI13authornames"/>
      </w:pPr>
      <w:r>
        <w:t xml:space="preserve">Majed S. Alsanea</w:t>
      </w:r>
      <w:r>
        <w:rPr>
          <w:vertAlign w:val="superscript"/>
        </w:rPr>
        <w:t xml:space="preserve">1</w:t>
      </w:r>
      <w:r>
        <w:t xml:space="preserve">, Moulay Ibrahim El-Khalil Ghembaza</w:t>
      </w:r>
      <w:r>
        <w:rPr>
          <w:vertAlign w:val="superscript"/>
        </w:rPr>
        <w:t xml:space="preserve">2,3,</w:t>
      </w:r>
      <w:r>
        <w:t xml:space="preserve">*</w:t>
      </w:r>
      <w:r>
        <w:t xml:space="preserve">, Ashit Kumar Dutta</w:t>
      </w:r>
      <w:r>
        <w:rPr>
          <w:vertAlign w:val="superscript"/>
        </w:rPr>
        <w:t xml:space="preserve">3,4</w:t>
      </w:r>
      <w:r>
        <w:t xml:space="preserve"> and Mujeeb Ahmed Shaikh</w:t>
      </w:r>
      <w:r>
        <w:rPr>
          <w:vertAlign w:val="superscript"/>
        </w:rPr>
        <w:t xml:space="preserve">5,6</w:t>
      </w:r>
    </w:p>
    <w:p w14:paraId="6F0048CD" w14:textId="77777777" w:rsidR="007C1CDA" w:rsidRPr="001A0468" w:rsidRDefault="00491E1B" w:rsidP="007C1CDA">
      <w:pPr>
        <w:pStyle w:val="MDPI16affiliation"/>
      </w:pPr>
      <w:r>
        <w:rPr>
          <w:vertAlign w:val="superscript"/>
        </w:rPr>
        <w:t xml:space="preserve">1</w:t>
      </w:r>
      <w:r>
        <w:tab/>
        <w:t xml:space="preserve">Alnahda College, Al Munsiyah District, Riyadh 13255, Saudi Arabia; majed.alsanea@alnahda.edu.sa</w:t>
      </w:r>
    </w:p>
    <w:p w14:paraId="6F0048CD" w14:textId="77777777" w:rsidR="007C1CDA" w:rsidRPr="001A0468" w:rsidRDefault="00491E1B" w:rsidP="007C1CDA">
      <w:pPr>
        <w:pStyle w:val="MDPI16affiliation"/>
      </w:pPr>
      <w:r>
        <w:rPr>
          <w:vertAlign w:val="superscript"/>
        </w:rPr>
        <w:t xml:space="preserve">2</w:t>
      </w:r>
      <w:r>
        <w:tab/>
        <w:t xml:space="preserve">Department of Computer Science, College of Engineering and Information Technology, Onaizah Colleges, Qassim 56447, Saudi Arabia; mghembaza@oc.edu.sa</w:t>
      </w:r>
    </w:p>
    <w:p w14:paraId="6F0048CD" w14:textId="77777777" w:rsidR="007C1CDA" w:rsidRPr="001A0468" w:rsidRDefault="00491E1B" w:rsidP="007C1CDA">
      <w:pPr>
        <w:pStyle w:val="MDPI16affiliation"/>
      </w:pPr>
      <w:r>
        <w:rPr>
          <w:vertAlign w:val="superscript"/>
        </w:rPr>
        <w:t xml:space="preserve">3</w:t>
      </w:r>
      <w:r>
        <w:tab/>
        <w:t xml:space="preserve">King Salman Center for Disability Research, Riyadh, Saudi Arabia</w:t>
      </w:r>
    </w:p>
    <w:p w14:paraId="6F0048CD" w14:textId="77777777" w:rsidR="007C1CDA" w:rsidRPr="001A0468" w:rsidRDefault="00491E1B" w:rsidP="007C1CDA">
      <w:pPr>
        <w:pStyle w:val="MDPI16affiliation"/>
      </w:pPr>
      <w:r>
        <w:rPr>
          <w:vertAlign w:val="superscript"/>
        </w:rPr>
        <w:t xml:space="preserve">4</w:t>
      </w:r>
      <w:r>
        <w:tab/>
        <w:t xml:space="preserve">Department of Computer Science and Information Systems, College of Medical Sciences, AlMaarefa University, Diriyah, Riyadh 13713, Saudi Arabia; adotta@um.edu.sa</w:t>
      </w:r>
    </w:p>
    <w:p w14:paraId="6F0048CD" w14:textId="77777777" w:rsidR="007C1CDA" w:rsidRPr="001A0468" w:rsidRDefault="00491E1B" w:rsidP="007C1CDA">
      <w:pPr>
        <w:pStyle w:val="MDPI16affiliation"/>
      </w:pPr>
      <w:r>
        <w:rPr>
          <w:vertAlign w:val="superscript"/>
        </w:rPr>
        <w:t xml:space="preserve">5</w:t>
      </w:r>
      <w:r>
        <w:tab/>
        <w:t xml:space="preserve">Department of Basic Medical Science, College of Medicine, AlMaarefa University, Diriyah, Riyadh 13713, Saudi Arabia; smujeeb@um.edu.sa</w:t>
      </w:r>
    </w:p>
    <w:p w14:paraId="6F0048CD" w14:textId="77777777" w:rsidR="007C1CDA" w:rsidRPr="001A0468" w:rsidRDefault="00491E1B" w:rsidP="007C1CDA">
      <w:pPr>
        <w:pStyle w:val="MDPI16affiliation"/>
      </w:pPr>
      <w:r>
        <w:rPr>
          <w:vertAlign w:val="superscript"/>
        </w:rPr>
        <w:t xml:space="preserve">6</w:t>
      </w:r>
      <w:r>
        <w:tab/>
        <w:t xml:space="preserve">Research Center, Deanship of Scientific Research and Post-Graduate Studies, AlMaarefa University, Diriyah, Riyadh 13713, Saudi Arabia</w:t>
      </w:r>
    </w:p>
    <w:p w14:paraId="07DC4B16" w14:textId="77777777" w:rsidR="007C1CDA" w:rsidRPr="001A0468" w:rsidRDefault="007C1CDA" w:rsidP="007C1CDA">
      <w:pPr>
        <w:pStyle w:val="MDPI16affiliation"/>
      </w:pPr>
      <w:r>
        <w:rPr>
          <w:b/>
        </w:rPr>
        <w:t xml:space="preserve">*</w:t>
      </w:r>
      <w:r>
        <w:tab/>
        <w:t xml:space="preserve">Correspondence: mghembaza@oc.edu.sa</w:t>
      </w:r>
    </w:p>
    <w:p w14:paraId="29394344" w14:textId="77777777" w:rsidR="00C2125A" w:rsidRPr="00C2125A" w:rsidRDefault="00054A98" w:rsidP="00C2125A">
      <w:pPr>
        <w:pStyle w:val="MDPI17abstract"/>
        <w:jc w:val="left"/>
      </w:pPr>
      <w:r>
        <w:rPr>
          <w:b/>
        </w:rPr>
        <w:t xml:space="preserve">Abstract</w:t>
      </w:r>
    </w:p>
    <w:p w14:paraId="14D64AFE" w14:textId="77777777" w:rsidR="00054A98" w:rsidRPr="001A0468" w:rsidRDefault="00054A98" w:rsidP="00C2125A">
      <w:pPr>
        <w:pStyle w:val="MDPI17abstract"/>
        <w:spacing w:before="0" w:after="0"/>
      </w:pPr>
      <w:r>
        <w:rPr>
          <w:b/>
        </w:rPr>
        <w:t xml:space="preserve">Background/Objectives:</w:t>
      </w:r>
      <w:r>
        <w:t xml:space="preserve"> Transformer-based artificial intelligence (AI) models report very high accuracy for detecting glaucoma from retinal images, but whether this evidence supports screening is unknown. We assessed validation rigour, early-disease evidence, and risk of bias in this literature. </w:t>
      </w:r>
      <w:r>
        <w:rPr>
          <w:b/>
        </w:rPr>
        <w:t xml:space="preserve">Methods:</w:t>
      </w:r>
      <w:r>
        <w:t xml:space="preserve"> Following a PROSPERO-registered protocol (CRD420261504931) and PRISMA 2020, we searched PubMed/MEDLINE, Embase, Scopus, Web of Science, and IEEE Xplore from January 2017 to 15 July 2026, plus Google Scholar and citation searching. We included peer-reviewed reports applying transformers to fundus, optic nerve head, or optical coherence tomography images for glaucoma detection or staging. Risk of bias and applicability were assessed with PROBAST+AI. Heterogeneity and dataset reuse precluded meta-analysis, so results were synthesised narratively. </w:t>
      </w:r>
      <w:r>
        <w:rPr>
          <w:b/>
        </w:rPr>
        <w:t xml:space="preserve">Results:</w:t>
      </w:r>
      <w:r>
        <w:t xml:space="preserve"> Fifty-five reports were included; 42 (76.4%) were published in 2025–2026, and 53 (96.4%) used fundus photographs. Only 8 (14.5%) confirmed participant-level data separation, 9 (16.4%) evaluated models on a distinct data source, and 38 (69.1%) relied on inherited, mixed-repository, or surrogate labels. Six reports operationalised mild/early perimetric glaucoma; two provided an extractable early-disease estimate, of which one was credible for clinical inference, and none reported preperimetric performance. In one comparison, internal areas under the curve of 0.94–0.96 fell to 0.56–0.63 externally. Risk of bias was high in 51 reports (92.7%). Three had low risk of bias and low applicability concern for diagnostic detection, but none evaluated a screening population or pathway. </w:t>
      </w:r>
      <w:r>
        <w:rPr>
          <w:b/>
        </w:rPr>
        <w:t xml:space="preserve">Conclusions:</w:t>
      </w:r>
      <w:r>
        <w:t xml:space="preserve"> Transformer-based glaucoma detection remains benchmark-driven and clinically unvalidated. Prespecified early-disease targets, participant-level data splits, frozen external validation, calibration, and prospective evaluation are required before screening deployment.</w:t>
      </w:r>
    </w:p>
    <w:p w14:paraId="7C07AA17" w14:textId="77777777" w:rsidR="007C1CDA" w:rsidRPr="001A0468" w:rsidRDefault="007C1CDA" w:rsidP="006D1F3D">
      <w:pPr>
        <w:pStyle w:val="MDPI18keywords"/>
      </w:pPr>
      <w:r>
        <w:rPr>
          <w:b/>
        </w:rPr>
        <w:t xml:space="preserve">Keywords: </w:t>
      </w:r>
      <w:r>
        <w:t xml:space="preserve">glaucoma; vision transformer; deep learning; artificial intelligence; fundus image; optical coherence tomography; early diagnosis; external validation; risk of bias; PROBAST+AI</w:t>
      </w:r>
    </w:p>
    <w:p w14:paraId="4D1540EC" w14:textId="77777777" w:rsidR="007C1CDA" w:rsidRPr="001A0468" w:rsidRDefault="007C1CDA" w:rsidP="006D1F3D">
      <w:pPr>
        <w:pStyle w:val="MDPI19line"/>
      </w:pPr>
    </w:p>
    <w:p w14:paraId="43686E48" w14:textId="77777777" w:rsidR="007C1CDA" w:rsidRPr="001A0468" w:rsidRDefault="007C1CDA" w:rsidP="006D1F3D">
      <w:pPr>
        <w:pStyle w:val="MDPI21heading1"/>
      </w:pPr>
      <w:r>
        <w:t xml:space="preserve">1. Introduction</w:t>
      </w:r>
    </w:p>
    <w:p w14:paraId="7EB1C0F3" w14:textId="77777777" w:rsidR="007C1CDA" w:rsidRPr="001A0468" w:rsidRDefault="007C1CDA" w:rsidP="006D1F3D">
      <w:pPr>
        <w:pStyle w:val="MDPI31text"/>
      </w:pPr>
      <w:r>
        <w:t xml:space="preserve">Glaucoma is a chronic optic neuropathy characterised by progressive loss of retinal ganglion cells and their axons, structural damage to the optic nerve head (ONH), and corresponding visual-field loss. It is a leading cause of irreversible blindness, and the number of people affected worldwide is projected to rise from 76.0 million in 2020 to 111.8 million by 2040 [1,2]. A large proportion of affected adults remain undiagnosed, and because early damage is usually asymptomatic, many present only after substantial, permanent loss of vision [3]. Access to specialist eye care is also unevenly distributed, so case finding depends heavily on primary care, optometry, and community programmes with limited specialist capacity [4]. Scalable tools that identify people who need specialist assessment therefore have clear health-system value.</w:t>
      </w:r>
    </w:p>
    <w:p w14:paraId="7EB1C0F3" w14:textId="77777777" w:rsidR="007C1CDA" w:rsidRPr="001A0468" w:rsidRDefault="007C1CDA" w:rsidP="006D1F3D">
      <w:pPr>
        <w:pStyle w:val="MDPI31text"/>
      </w:pPr>
      <w:r>
        <w:t xml:space="preserve">Glaucoma diagnosis, however, cannot be reduced to one image feature. Clinicians integrate ONH morphology, retinal nerve fibre layer (RNFL) and macular ganglion-cell measurements, visual-field testing, intraocular pressure, gonioscopy, and patient-level risk factors [1,5–7]. Structural signs such as a large vertical cup-to-disc ratio (vCDR), neuroretinal-rim thinning, disc haemorrhage, or localised RNFL defects vary with disc size, myopia, age, ocular comorbidity, and imaging device, so mild disease overlaps with normal variation. The target condition is itself heterogeneous: ocular hypertension and glaucoma-suspect status denote risk rather than disease; preperimetric glaucoma requires structural damage with a normal, reliable visual field; and mild perimetric glaucoma requires an explicit functional staging definition [8–10]. These states differ in prognosis and management. A model trained to separate advanced glaucoma from healthy eyes cannot be assumed to detect early disease, and the evidence that population screening improves patient-important outcomes remains insufficient [11].</w:t>
      </w:r>
    </w:p>
    <w:p w14:paraId="7EB1C0F3" w14:textId="77777777" w:rsidR="007C1CDA" w:rsidRPr="001A0468" w:rsidRDefault="007C1CDA" w:rsidP="006D1F3D">
      <w:pPr>
        <w:pStyle w:val="MDPI31text"/>
      </w:pPr>
      <w:r>
        <w:t xml:space="preserve">Artificial intelligence (AI) has already changed screening practice for another retinal disease. In diabetic retinopathy, an autonomous AI system reached regulatory clearance only after a prospective pivotal trial in primary care against a reading-centre reference standard [12]. No glaucoma AI system has yet followed this pathway. Transformer architectures are now the most rapidly adopted candidates. Self-attention models relationships between spatially separated image regions, and vision and hybrid transformers can fuse local and global features, successive OCT slices, or different modalities [13–16]. These properties are plausible for glaucoma, where damage is distributed across the disc, rim, peripapillary RNFL, and macula. Architectural novelty alone, however, does not establish clinical value.</w:t>
      </w:r>
    </w:p>
    <w:p w14:paraId="7EB1C0F3" w14:textId="77777777" w:rsidR="007C1CDA" w:rsidRPr="001A0468" w:rsidRDefault="007C1CDA" w:rsidP="006D1F3D">
      <w:pPr>
        <w:pStyle w:val="MDPI31text"/>
      </w:pPr>
      <w:r>
        <w:t xml:space="preserve">Evaluation design determines whether a reported accuracy can be trusted. Enriched case–control samples, exclusion of ungradable images, small test sets, and post hoc threshold selection inflate diagnostic estimates [17–19]. Splitting data at the image or eye level can leak information between training and test sets through fellow eyes, repeated visits, or augmented copies of the same image. Models can also learn acquisition site or device rather than disease: when cases and controls come from different sources, near-perfect discrimination may reflect this shortcut and collapse in new settings [20]. A systematic review of machine-learning models for COVID-19 imaging found that none was fit for clinical use for exactly these reasons [21]. For screening, the gap is wider still, because prevalence, case mix, and the consequences of false-positive and false-negative results differ from those in enriched specialist datasets, and prospective evaluation of human–AI interaction and workflow, as set out in the DECIDE-AI guideline, is required before implementation [11,22].</w:t>
      </w:r>
    </w:p>
    <w:p w14:paraId="7EB1C0F3" w14:textId="77777777" w:rsidR="007C1CDA" w:rsidRPr="001A0468" w:rsidRDefault="007C1CDA" w:rsidP="006D1F3D">
      <w:pPr>
        <w:pStyle w:val="MDPI31text"/>
      </w:pPr>
      <w:r>
        <w:t xml:space="preserve">Recent reviews of AI for glaucoma have pooled diverse architectures, modalities, disease stages, and reference standards, reporting high summary accuracy [23]; have mapped deep-learning methods, public datasets, external testing, and explainability for fundus-based detection [24,25]; and have documented persistent deficiencies in how glaucoma AI studies are reported [26]. These reviews have already highlighted the scarcity of external validation and the limits of visual explanations. Our contribution is narrower. We focus on transformer-based models, which account for most recent publications, and ask whether their evidence is fit for screening decisions. To do so, we code validation independence at the report level, including participant-level separation and linkage of reused dataset families; distinguish operationally defined early disease from suspect and surrogate targets; appraise development and evaluation separately with PROBAST+AI; and assess applicability to a prespecified screening use. We therefore conducted a systematic review of transformer-based glaucoma detection and staging from ONH and retinal imaging with five objectives: to determine (1) how glaucoma, and particularly early disease, was defined; (2) which reference standards were used; (3) how models were validated, including participant-level separation and independence of test data; (4) which imaging biomarkers and explanation methods were represented; and (5) the risk of bias and applicability of the evidence to screening and triage. Rather than generate a potentially misleading pooled accuracy estimate, we aimed to establish how close this literature is to clinical readiness and what evidence is still required.</w:t>
      </w:r>
    </w:p>
    <w:p w14:paraId="43686E48" w14:textId="77777777" w:rsidR="007C1CDA" w:rsidRPr="001A0468" w:rsidRDefault="007C1CDA" w:rsidP="006D1F3D">
      <w:pPr>
        <w:pStyle w:val="MDPI21heading1"/>
      </w:pPr>
      <w:r>
        <w:t xml:space="preserve">2. Materials and Methods</w:t>
      </w:r>
    </w:p>
    <w:p w14:paraId="154606C3" w14:textId="77777777" w:rsidR="007C1CDA" w:rsidRPr="001A0468" w:rsidRDefault="007C1CDA" w:rsidP="006D1F3D">
      <w:pPr>
        <w:pStyle w:val="MDPI22heading2"/>
        <w:spacing w:before="240"/>
      </w:pPr>
      <w:r>
        <w:t xml:space="preserve">2.1. Protocol, Registration, and Reporting</w:t>
      </w:r>
    </w:p>
    <w:p w14:paraId="7EB1C0F3" w14:textId="77777777" w:rsidR="007C1CDA" w:rsidRPr="001A0468" w:rsidRDefault="007C1CDA" w:rsidP="006D1F3D">
      <w:pPr>
        <w:pStyle w:val="MDPI31text"/>
      </w:pPr>
      <w:r>
        <w:t xml:space="preserve">This systematic review was conducted according to a prespecified protocol registered in PROSPERO (CRD420261504931; the registered protocol is publicly available at https://www.crd.york.ac.uk/PROSPERO/view/CRD420261504931). Reporting follows the Preferred Reporting Items for Systematic Reviews and Meta-Analyses (PRISMA) 2020 statement and its literature-search extension (PRISMA-S) and was informed by the checklist for systematic reviews of prediction models (TRIPOD-SRMA), PRISMA for diagnostic test accuracy (PRISMA-DTA), and Synthesis Without Meta-analysis (SWiM) guidance [27–31]. The completed PRISMA 2020 checklist is provided as a separate file. The review question was: among human eyes or participants evaluated for current glaucoma using ONH or retinal imaging, how have transformer-based models been developed and validated; how was glaucoma, particularly preperimetric or mild disease, defined; which imaging biomarkers were represented; and to what extent do the validation designs support image-based case detection and referral?</w:t>
      </w:r>
    </w:p>
    <w:p w14:paraId="7EB1C0F3" w14:textId="77777777" w:rsidR="007C1CDA" w:rsidRPr="001A0468" w:rsidRDefault="007C1CDA" w:rsidP="006D1F3D">
      <w:pPr>
        <w:pStyle w:val="MDPI31text"/>
      </w:pPr>
      <w:r>
        <w:t xml:space="preserve">The intended clinical role was distinguished from the technical task. Two intended uses were distinguished. </w:t>
      </w:r>
      <w:r>
        <w:rPr>
          <w:i/>
        </w:rPr>
        <w:t xml:space="preserve">Diagnostic detection</w:t>
      </w:r>
      <w:r>
        <w:t xml:space="preserve"> was defined as image-based identification of current glaucoma, versus no glaucoma, in people undergoing assessment in eye-care settings, with a specialist clinical diagnosis as the reference standard. </w:t>
      </w:r>
      <w:r>
        <w:rPr>
          <w:i/>
        </w:rPr>
        <w:t xml:space="preserve">Population screening</w:t>
      </w:r>
      <w:r>
        <w:t xml:space="preserve"> was defined by four elements: the target population (adults without a known glaucoma diagnosis); the setting (primary care, optometry, community, or teleophthalmology programmes); the role of the test (a triage test applied before specialist examination); and the referral pathway (test-positive people referred for specialist assessment, test-negative people returned to routine care). A model described by its authors as a screening model was not treated as screening evidence unless it had been evaluated in a population and workflow matching this definition. Retrospective discrimination in enriched case–control or public benchmark datasets was classified as technical diagnostic classification.</w:t>
      </w:r>
    </w:p>
    <w:p w14:paraId="7EB1C0F3" w14:textId="77777777" w:rsidR="007C1CDA" w:rsidRPr="001A0468" w:rsidRDefault="007C1CDA" w:rsidP="006D1F3D">
      <w:pPr>
        <w:pStyle w:val="MDPI31text"/>
      </w:pPr>
      <w:r>
        <w:t xml:space="preserve">The following elements were added after protocol registration and are reported as post hoc amendments: (1) the explicit separation of the diagnostic-detection and population-screening uses, with an additional classification of screening applicability; (2) the distinction between extractable and credible early-disease estimates; (3) the sensitivity analysis of the report denominator; (4) the summary of individual and combined clinical-readiness criteria (Figure 3); and (5) the illustrative referral calculation (Table 4). These additions did not change the eligibility criteria, search, study selection, data extraction, or PROBAST+AI domain ratings.</w:t>
      </w:r>
    </w:p>
    <w:p w14:paraId="154606C3" w14:textId="77777777" w:rsidR="007C1CDA" w:rsidRPr="001A0468" w:rsidRDefault="007C1CDA" w:rsidP="006D1F3D">
      <w:pPr>
        <w:pStyle w:val="MDPI22heading2"/>
        <w:spacing w:before="240"/>
      </w:pPr>
      <w:r>
        <w:t xml:space="preserve">2.2. Eligibility Criteria</w:t>
      </w:r>
    </w:p>
    <w:p w14:paraId="7EB1C0F3" w14:textId="77777777" w:rsidR="007C1CDA" w:rsidRPr="001A0468" w:rsidRDefault="007C1CDA" w:rsidP="006D1F3D">
      <w:pPr>
        <w:pStyle w:val="MDPI31text"/>
      </w:pPr>
      <w:r>
        <w:t xml:space="preserve">The eligibility framework is summarised in Table 1. Full-length, peer-reviewed journal reports published in English from 1 January 2017, the year in which the transformer architecture was introduced [13], to 15 July 2026 were eligible. Reports had to evaluate human ONH or retinal imaging and provide a glaucoma-specific diagnostic, referability, or staging result. Eligible modalities were colour fundus or optic disc photography, OCT, hyperspectral or hyperspectral-derived retinal imaging, and multimodal combinations in which retinal imaging was an essential input.</w:t>
      </w:r>
    </w:p>
    <w:p w14:paraId="7EB1C0F3" w14:textId="77777777" w:rsidR="007C1CDA" w:rsidRPr="001A0468" w:rsidRDefault="007C1CDA" w:rsidP="006D1F3D">
      <w:pPr>
        <w:pStyle w:val="MDPI31text"/>
      </w:pPr>
      <w:r>
        <w:t xml:space="preserve">A transformer, or explicit transformer-type attention, had to be integral to the primary evaluated model. Eligible implementations included transformer encoders or decoders, Vision Transformer (ViT), DeiT, Swin Transformer, transformer-based foundation models, and architectures in which query–key–value scaled dot-product self-attention or cross-attention was a substantive representation or fusion mechanism. Generic attention gates and channel- or spatial-attention modules without such a mechanism were insufficient. Reports in which a transformer was only a comparator were eligible when transformer-specific glaucoma performance was extractable. Multidisease studies were retained when glaucoma was an explicit target class with a glaucoma-specific result. The glaucoma-specific result criterion was met in one of two ways: (a) the evaluated task was glaucoma-only (binary glaucoma, glaucomatous optic neuropathy, or referable-glaucoma classification, or glaucoma staging), so that the task-level result was glaucoma-specific; or (b) in multidisease or multilabel studies, a result was reported for the glaucoma class. The basis on which each included report met this criterion is documented in Table S4. Segmentation studies were eligible only when disc, cup, or retinal-layer segmentation contributed to downstream glaucoma classification or grading.</w:t>
      </w:r>
    </w:p>
    <w:p w14:paraId="7EB1C0F3" w14:textId="77777777" w:rsidR="007C1CDA" w:rsidRPr="001A0468" w:rsidRDefault="007C1CDA" w:rsidP="006D1F3D">
      <w:pPr>
        <w:pStyle w:val="MDPI31text"/>
      </w:pPr>
      <w:r>
        <w:t xml:space="preserve">Reports limited to progression forecasting, visual-field prediction, segmentation without a glaucoma outcome, non-glaucoma disease, or image generation were excluded, as were reviews, editorials, protocols, conference abstracts or proceedings, preprints, and theses. When several reports used the same cohort or public dataset, each report was retained, and the shared dataset family was recorded so that reports were not interpreted as independent replications.</w:t>
      </w:r>
    </w:p>
    <w:p w14:paraId="2DC56296" w14:textId="77777777" w:rsidR="007C1CDA" w:rsidRPr="001A0468" w:rsidRDefault="007C1CDA" w:rsidP="006D1F3D">
      <w:pPr>
        <w:pStyle w:val="MDPI41tablecaption"/>
        <w:keepNext/>
        <w:ind w:left="0" w:firstLine="0"/>
      </w:pPr>
      <w:r>
        <w:rPr>
          <w:b/>
        </w:rPr>
        <w:t xml:space="preserve">Table 1.</w:t>
      </w:r>
      <w:r>
        <w:t xml:space="preserve"> Eligibility criteria and operational rules.</w:t>
      </w:r>
    </w:p>
    <w:tbl>
      <w:tblPr>
        <w:tblW w:w="10460" w:type="dxa"/>
        <w:jc w:val="center"/>
        <w:tblBorders>
          <w:top w:val="single" w:sz="8" w:space="0" w:color="auto"/>
          <w:bottom w:val="single" w:sz="8" w:space="0" w:color="auto"/>
        </w:tblBorders>
        <w:tblLayout w:type="fixed"/>
        <w:tblCellMar>
          <w:left w:w="57" w:type="dxa"/>
          <w:right w:w="57" w:type="dxa"/>
        </w:tblCellMar>
        <w:tblLook w:val="04A0"/>
      </w:tblPr>
      <w:tblGrid>
        <w:gridCol w:w="1900"/>
        <w:gridCol w:w="4280"/>
        <w:gridCol w:w="4280"/>
      </w:tblGrid>
      <w:tr>
        <w:trPr>
          <w:cantSplit/>
          <w:tblHeader/>
        </w:trPr>
        <w:tc>
          <w:tcPr>
            <w:tcW w:w="1900" w:type="dxa"/>
            <w:tcBorders>
              <w:bottom w:val="single" w:sz="4" w:space="0" w:color="auto"/>
            </w:tcBorders>
            <w:vAlign w:val="center"/>
          </w:tcPr>
          <w:p>
            <w:pPr>
              <w:pStyle w:val="MDPI42tablebody"/>
              <w:spacing w:line="240" w:lineRule="auto"/>
              <w:jc w:val="center"/>
            </w:pPr>
            <w:r>
              <w:rPr>
                <w:b/>
              </w:rPr>
              <w:t xml:space="preserve">Element</w:t>
            </w:r>
          </w:p>
        </w:tc>
        <w:tc>
          <w:tcPr>
            <w:tcW w:w="4280" w:type="dxa"/>
            <w:tcBorders>
              <w:bottom w:val="single" w:sz="4" w:space="0" w:color="auto"/>
            </w:tcBorders>
            <w:vAlign w:val="center"/>
          </w:tcPr>
          <w:p>
            <w:pPr>
              <w:pStyle w:val="MDPI42tablebody"/>
              <w:spacing w:line="240" w:lineRule="auto"/>
              <w:jc w:val="center"/>
            </w:pPr>
            <w:r>
              <w:rPr>
                <w:b/>
              </w:rPr>
              <w:t xml:space="preserve">Inclusion or operational rule</w:t>
            </w:r>
          </w:p>
        </w:tc>
        <w:tc>
          <w:tcPr>
            <w:tcW w:w="4280" w:type="dxa"/>
            <w:tcBorders>
              <w:bottom w:val="single" w:sz="4" w:space="0" w:color="auto"/>
            </w:tcBorders>
            <w:vAlign w:val="center"/>
          </w:tcPr>
          <w:p>
            <w:pPr>
              <w:pStyle w:val="MDPI42tablebody"/>
              <w:spacing w:line="240" w:lineRule="auto"/>
              <w:jc w:val="center"/>
            </w:pPr>
            <w:r>
              <w:rPr>
                <w:b/>
              </w:rPr>
              <w:t xml:space="preserve">Exclusion or interpretive boundary</w:t>
            </w:r>
          </w:p>
        </w:tc>
      </w:tr>
      <w:tr>
        <w:trPr>
          <w:cantSplit/>
        </w:trPr>
        <w:tc>
          <w:tcPr>
            <w:tcW w:w="1900" w:type="dxa"/>
            <w:vAlign w:val="center"/>
          </w:tcPr>
          <w:p>
            <w:pPr>
              <w:pStyle w:val="MDPI42tablebody"/>
              <w:spacing w:line="240" w:lineRule="auto"/>
              <w:jc w:val="left"/>
            </w:pPr>
            <w:r>
              <w:t xml:space="preserve">Publication</w:t>
            </w:r>
          </w:p>
        </w:tc>
        <w:tc>
          <w:tcPr>
            <w:tcW w:w="4280" w:type="dxa"/>
            <w:vAlign w:val="center"/>
          </w:tcPr>
          <w:p>
            <w:pPr>
              <w:pStyle w:val="MDPI42tablebody"/>
              <w:spacing w:line="240" w:lineRule="auto"/>
              <w:jc w:val="left"/>
            </w:pPr>
            <w:r>
              <w:t xml:space="preserve">Full-length, peer-reviewed, English-language journal report published from 1 January 2017 to 15 July 2026.</w:t>
            </w:r>
          </w:p>
        </w:tc>
        <w:tc>
          <w:tcPr>
            <w:tcW w:w="4280" w:type="dxa"/>
            <w:vAlign w:val="center"/>
          </w:tcPr>
          <w:p>
            <w:pPr>
              <w:pStyle w:val="MDPI42tablebody"/>
              <w:spacing w:line="240" w:lineRule="auto"/>
              <w:jc w:val="left"/>
            </w:pPr>
            <w:r>
              <w:t xml:space="preserve">Reviews, editorials, protocols, conference reports, preprints, and theses.</w:t>
            </w:r>
          </w:p>
        </w:tc>
      </w:tr>
      <w:tr>
        <w:trPr>
          <w:cantSplit/>
        </w:trPr>
        <w:tc>
          <w:tcPr>
            <w:tcW w:w="1900" w:type="dxa"/>
            <w:vAlign w:val="center"/>
          </w:tcPr>
          <w:p>
            <w:pPr>
              <w:pStyle w:val="MDPI42tablebody"/>
              <w:spacing w:line="240" w:lineRule="auto"/>
              <w:jc w:val="left"/>
            </w:pPr>
            <w:r>
              <w:t xml:space="preserve">Participants and target</w:t>
            </w:r>
          </w:p>
        </w:tc>
        <w:tc>
          <w:tcPr>
            <w:tcW w:w="4280" w:type="dxa"/>
            <w:vAlign w:val="center"/>
          </w:tcPr>
          <w:p>
            <w:pPr>
              <w:pStyle w:val="MDPI42tablebody"/>
              <w:spacing w:line="240" w:lineRule="auto"/>
              <w:jc w:val="left"/>
            </w:pPr>
            <w:r>
              <w:t xml:space="preserve">Human retinal or ONH imaging evaluated for current glaucoma, glaucomatous optic neuropathy, referability, or glaucoma stage.</w:t>
            </w:r>
          </w:p>
        </w:tc>
        <w:tc>
          <w:tcPr>
            <w:tcW w:w="4280" w:type="dxa"/>
            <w:vAlign w:val="center"/>
          </w:tcPr>
          <w:p>
            <w:pPr>
              <w:pStyle w:val="MDPI42tablebody"/>
              <w:spacing w:line="240" w:lineRule="auto"/>
              <w:jc w:val="left"/>
            </w:pPr>
            <w:r>
              <w:t xml:space="preserve">Non-human data; non-glaucoma targets; progression or future-risk prediction without classification of current disease.</w:t>
            </w:r>
          </w:p>
        </w:tc>
      </w:tr>
      <w:tr>
        <w:trPr>
          <w:cantSplit/>
        </w:trPr>
        <w:tc>
          <w:tcPr>
            <w:tcW w:w="1900" w:type="dxa"/>
            <w:vAlign w:val="center"/>
          </w:tcPr>
          <w:p>
            <w:pPr>
              <w:pStyle w:val="MDPI42tablebody"/>
              <w:spacing w:line="240" w:lineRule="auto"/>
              <w:jc w:val="left"/>
            </w:pPr>
            <w:r>
              <w:t xml:space="preserve">Index model</w:t>
            </w:r>
          </w:p>
        </w:tc>
        <w:tc>
          <w:tcPr>
            <w:tcW w:w="4280" w:type="dxa"/>
            <w:vAlign w:val="center"/>
          </w:tcPr>
          <w:p>
            <w:pPr>
              <w:pStyle w:val="MDPI42tablebody"/>
              <w:spacing w:line="240" w:lineRule="auto"/>
              <w:jc w:val="left"/>
            </w:pPr>
            <w:r>
              <w:t xml:space="preserve">Transformer backbone or query–key–value self-/cross-attention integral to the primary representation or fusion model.</w:t>
            </w:r>
          </w:p>
        </w:tc>
        <w:tc>
          <w:tcPr>
            <w:tcW w:w="4280" w:type="dxa"/>
            <w:vAlign w:val="center"/>
          </w:tcPr>
          <w:p>
            <w:pPr>
              <w:pStyle w:val="MDPI42tablebody"/>
              <w:spacing w:line="240" w:lineRule="auto"/>
              <w:jc w:val="left"/>
            </w:pPr>
            <w:r>
              <w:t xml:space="preserve">Channel, spatial, scalar, or generic attention gates without a substantive transformer-type mechanism.</w:t>
            </w:r>
          </w:p>
        </w:tc>
      </w:tr>
      <w:tr>
        <w:trPr>
          <w:cantSplit/>
        </w:trPr>
        <w:tc>
          <w:tcPr>
            <w:tcW w:w="1900" w:type="dxa"/>
            <w:vAlign w:val="center"/>
          </w:tcPr>
          <w:p>
            <w:pPr>
              <w:pStyle w:val="MDPI42tablebody"/>
              <w:spacing w:line="240" w:lineRule="auto"/>
              <w:jc w:val="left"/>
            </w:pPr>
            <w:r>
              <w:t xml:space="preserve">Imaging input</w:t>
            </w:r>
          </w:p>
        </w:tc>
        <w:tc>
          <w:tcPr>
            <w:tcW w:w="4280" w:type="dxa"/>
            <w:vAlign w:val="center"/>
          </w:tcPr>
          <w:p>
            <w:pPr>
              <w:pStyle w:val="MDPI42tablebody"/>
              <w:spacing w:line="240" w:lineRule="auto"/>
              <w:jc w:val="left"/>
            </w:pPr>
            <w:r>
              <w:t xml:space="preserve">Fundus/optic disc photography, OCT, hyperspectral or hyperspectral-derived retinal images, or multimodal combinations requiring retinal imaging.</w:t>
            </w:r>
          </w:p>
        </w:tc>
        <w:tc>
          <w:tcPr>
            <w:tcW w:w="4280" w:type="dxa"/>
            <w:vAlign w:val="center"/>
          </w:tcPr>
          <w:p>
            <w:pPr>
              <w:pStyle w:val="MDPI42tablebody"/>
              <w:spacing w:line="240" w:lineRule="auto"/>
              <w:jc w:val="left"/>
            </w:pPr>
            <w:r>
              <w:t xml:space="preserve">Tabular or visual-field-only models without an eligible retinal or ONH image input.</w:t>
            </w:r>
          </w:p>
        </w:tc>
      </w:tr>
      <w:tr>
        <w:trPr>
          <w:cantSplit/>
        </w:trPr>
        <w:tc>
          <w:tcPr>
            <w:tcW w:w="1900" w:type="dxa"/>
            <w:vAlign w:val="center"/>
          </w:tcPr>
          <w:p>
            <w:pPr>
              <w:pStyle w:val="MDPI42tablebody"/>
              <w:spacing w:line="240" w:lineRule="auto"/>
              <w:jc w:val="left"/>
            </w:pPr>
            <w:r>
              <w:t xml:space="preserve">Outcome</w:t>
            </w:r>
          </w:p>
        </w:tc>
        <w:tc>
          <w:tcPr>
            <w:tcW w:w="4280" w:type="dxa"/>
            <w:vAlign w:val="center"/>
          </w:tcPr>
          <w:p>
            <w:pPr>
              <w:pStyle w:val="MDPI42tablebody"/>
              <w:spacing w:line="240" w:lineRule="auto"/>
              <w:jc w:val="left"/>
            </w:pPr>
            <w:r>
              <w:t xml:space="preserve">Glaucoma-specific diagnostic, referability, or staging result; numerical estimates extracted only when identifiable.</w:t>
            </w:r>
          </w:p>
        </w:tc>
        <w:tc>
          <w:tcPr>
            <w:tcW w:w="4280" w:type="dxa"/>
            <w:vAlign w:val="center"/>
          </w:tcPr>
          <w:p>
            <w:pPr>
              <w:pStyle w:val="MDPI42tablebody"/>
              <w:spacing w:line="240" w:lineRule="auto"/>
              <w:jc w:val="left"/>
            </w:pPr>
            <w:r>
              <w:t xml:space="preserve">Segmentation or reconstruction without downstream glaucoma classification; non-separable overall metrics coded as NR.</w:t>
            </w:r>
          </w:p>
        </w:tc>
      </w:tr>
      <w:tr>
        <w:trPr>
          <w:cantSplit/>
        </w:trPr>
        <w:tc>
          <w:tcPr>
            <w:tcW w:w="1900" w:type="dxa"/>
            <w:vAlign w:val="center"/>
          </w:tcPr>
          <w:p>
            <w:pPr>
              <w:pStyle w:val="MDPI42tablebody"/>
              <w:spacing w:line="240" w:lineRule="auto"/>
              <w:jc w:val="left"/>
            </w:pPr>
            <w:r>
              <w:t xml:space="preserve">Unit and overlap</w:t>
            </w:r>
          </w:p>
        </w:tc>
        <w:tc>
          <w:tcPr>
            <w:tcW w:w="4280" w:type="dxa"/>
            <w:vAlign w:val="center"/>
          </w:tcPr>
          <w:p>
            <w:pPr>
              <w:pStyle w:val="MDPI42tablebody"/>
              <w:spacing w:line="240" w:lineRule="auto"/>
              <w:jc w:val="left"/>
            </w:pPr>
            <w:r>
              <w:t xml:space="preserve">One row per report; recurrent public datasets and potentially overlapping cohorts were linked.</w:t>
            </w:r>
          </w:p>
        </w:tc>
        <w:tc>
          <w:tcPr>
            <w:tcW w:w="4280" w:type="dxa"/>
            <w:vAlign w:val="center"/>
          </w:tcPr>
          <w:p>
            <w:pPr>
              <w:pStyle w:val="MDPI42tablebody"/>
              <w:spacing w:line="240" w:lineRule="auto"/>
              <w:jc w:val="left"/>
            </w:pPr>
            <w:r>
              <w:t xml:space="preserve">Report counts not interpreted as independent cohorts; denominators with different units not summed.</w:t>
            </w:r>
          </w:p>
        </w:tc>
      </w:tr>
    </w:tbl>
    <w:p w14:paraId="2471621E" w14:textId="77777777" w:rsidR="007C1CDA" w:rsidRPr="001A0468" w:rsidRDefault="007C1CDA" w:rsidP="006D1F3D">
      <w:pPr>
        <w:pStyle w:val="MDPI43tablefooter"/>
        <w:ind w:left="0" w:firstLine="0"/>
      </w:pPr>
      <w:r>
        <w:t xml:space="preserve">NR, not reported; OCT, optical coherence tomography; ONH, optic nerve head.</w:t>
      </w:r>
    </w:p>
    <w:p w14:paraId="154606C3" w14:textId="77777777" w:rsidR="007C1CDA" w:rsidRPr="001A0468" w:rsidRDefault="007C1CDA" w:rsidP="006D1F3D">
      <w:pPr>
        <w:pStyle w:val="MDPI22heading2"/>
        <w:spacing w:before="240"/>
      </w:pPr>
      <w:r>
        <w:t xml:space="preserve">2.3. Information Sources and Search Strategy</w:t>
      </w:r>
    </w:p>
    <w:p w14:paraId="7EB1C0F3" w14:textId="77777777" w:rsidR="007C1CDA" w:rsidRPr="001A0468" w:rsidRDefault="007C1CDA" w:rsidP="006D1F3D">
      <w:pPr>
        <w:pStyle w:val="MDPI31text"/>
      </w:pPr>
      <w:r>
        <w:t xml:space="preserve">PubMed/MEDLINE, Embase, Scopus, Web of Science Core Collection, and IEEE Xplore were searched from 1 January 2017 to 15 July 2026. Database-specific strategies combined controlled vocabulary, where available, with free-text terms in three concept blocks: (1) glaucoma, glaucomatous optic neuropathy, ocular hypertension, or the ONH; (2) transformer or self-attention architectures, broadened with deep-learning terms in PubMed/MEDLINE, Embase, and Scopus; and (3) fundus, optic disc, retinal, or OCT imaging. No performance term was used, to avoid preferential retrieval of positively reported studies. The full strategies, interfaces, and search dates are provided in Table S1.</w:t>
      </w:r>
    </w:p>
    <w:p w14:paraId="7EB1C0F3" w14:textId="77777777" w:rsidR="007C1CDA" w:rsidRPr="001A0468" w:rsidRDefault="007C1CDA" w:rsidP="006D1F3D">
      <w:pPr>
        <w:pStyle w:val="MDPI31text"/>
      </w:pPr>
      <w:r>
        <w:t xml:space="preserve">Supplementary searching comprised the first 200 relevance-ranked Google Scholar results, backward citation searching of included reports and relevant reviews, and forward citation searching of included reports. These routes yielded 47, 11, and 5 records, respectively, before removal of duplicates.</w:t>
      </w:r>
    </w:p>
    <w:p w14:paraId="154606C3" w14:textId="77777777" w:rsidR="007C1CDA" w:rsidRPr="001A0468" w:rsidRDefault="007C1CDA" w:rsidP="006D1F3D">
      <w:pPr>
        <w:pStyle w:val="MDPI22heading2"/>
        <w:spacing w:before="240"/>
      </w:pPr>
      <w:r>
        <w:t xml:space="preserve">2.4. Study Selection</w:t>
      </w:r>
    </w:p>
    <w:p w14:paraId="7EB1C0F3" w14:textId="77777777" w:rsidR="007C1CDA" w:rsidRPr="001A0468" w:rsidRDefault="007C1CDA" w:rsidP="006D1F3D">
      <w:pPr>
        <w:pStyle w:val="MDPI31text"/>
      </w:pPr>
      <w:r>
        <w:t xml:space="preserve">Duplicate records were identified and removed before screening. Screening was carried out in two stages, titles and abstracts followed by full texts, against the prespecified eligibility criteria. At both stages, two reviewers (M.S.A. and M.I.E.-K.G.) independently assessed every record and report. Disagreements, including disagreements about the principal reason for full-text exclusion, were referred to the third and fourth authors (A.K.D. and M.A.S.), who re-checked the source record or full text and resolved the disagreement with the two reviewers by consensus. All eligibility decisions were made by the reviewers. Full-text exclusions were assigned one principal reason according to a prespecified hierarchy: population or target condition not glaucoma-specific; no eligible transformer; ineligible task or outcome; secondary or non-original report; conference paper, preprint, or thesis; no glaucoma-specific result; and duplicate or overlapping report. When a preprint or conference version of an included journal article was retrieved, it was classified as a duplicate or overlapping report rather than as an ineligible publication type. The selection process is shown in Figure 1, and every report excluded at full-text assessment is listed with its principal reason and the specific basis for exclusion in Table S2.</w:t>
      </w:r>
    </w:p>
    <w:p w14:paraId="154606C3" w14:textId="77777777" w:rsidR="007C1CDA" w:rsidRPr="001A0468" w:rsidRDefault="007C1CDA" w:rsidP="006D1F3D">
      <w:pPr>
        <w:pStyle w:val="MDPI22heading2"/>
        <w:spacing w:before="240"/>
      </w:pPr>
      <w:r>
        <w:t xml:space="preserve">2.5. Data Extraction and Management</w:t>
      </w:r>
    </w:p>
    <w:p w14:paraId="7EB1C0F3" w14:textId="77777777" w:rsidR="007C1CDA" w:rsidRPr="001A0468" w:rsidRDefault="007C1CDA" w:rsidP="006D1F3D">
      <w:pPr>
        <w:pStyle w:val="MDPI31text"/>
      </w:pPr>
      <w:r>
        <w:t xml:space="preserve">Data were extracted from the published reports into a structured form independently by two reviewers (M.S.A. and M.I.E.-K.G.). Their extractions were compared field by field, and any discrepancy was re-checked against the source report by the third and fourth authors (A.K.D. and M.A.S.) and resolved by consensus. Extracted items were publication characteristics; country and data source; participant, eye, examination, volume, or image denominators and the unit of analysis; imaging modality; dataset provenance and recurring dataset family; architecture and fusion strategy; diagnostic or staging task; reference standard and label source; early-disease definition; data partitioning and separation level; validation design; discrimination and classification metrics with confidence intervals; explicit imaging biomarkers or clinically interpretable feature pathways; explanation methods; and internal inconsistencies or material reporting limitations.</w:t>
      </w:r>
    </w:p>
    <w:p w14:paraId="7EB1C0F3" w14:textId="77777777" w:rsidR="007C1CDA" w:rsidRPr="001A0468" w:rsidRDefault="007C1CDA" w:rsidP="006D1F3D">
      <w:pPr>
        <w:pStyle w:val="MDPI31text"/>
      </w:pPr>
      <w:r>
        <w:t xml:space="preserve">Fields that could not be verified were recorded as not reported (NR), and missing values were not imputed. Performance values were transcribed as reported and were not converted to a common effect measure. When an unambiguous confusion matrix allowed calculation of a standard metric, the value was labelled as review-derived; no metric was reconstructed from rounded percentages or uncertain denominators. When the abstract, tables, text, and confusion matrices of a report disagreed, the inconsistency was recorded and the result was used only descriptively. Dataset names and participant sources were cross-linked to identify recurrent repositories and potentially overlapping cohorts.</w:t>
      </w:r>
    </w:p>
    <w:p w14:paraId="154606C3" w14:textId="77777777" w:rsidR="007C1CDA" w:rsidRPr="001A0468" w:rsidRDefault="007C1CDA" w:rsidP="006D1F3D">
      <w:pPr>
        <w:pStyle w:val="MDPI22heading2"/>
        <w:spacing w:before="240"/>
      </w:pPr>
      <w:r>
        <w:t xml:space="preserve">2.6. Operational Definitions</w:t>
      </w:r>
    </w:p>
    <w:p w14:paraId="7EB1C0F3" w14:textId="77777777" w:rsidR="007C1CDA" w:rsidRPr="001A0468" w:rsidRDefault="007C1CDA" w:rsidP="006D1F3D">
      <w:pPr>
        <w:pStyle w:val="MDPI31text"/>
      </w:pPr>
      <w:r>
        <w:t xml:space="preserve">Early-disease terminology was classified into four categories. </w:t>
      </w:r>
      <w:r>
        <w:rPr>
          <w:i/>
        </w:rPr>
        <w:t xml:space="preserve">Preperimetric glaucoma</w:t>
      </w:r>
      <w:r>
        <w:t xml:space="preserve"> required structural glaucomatous optic neuropathy or OCT damage with a normal, reliable visual field. </w:t>
      </w:r>
      <w:r>
        <w:rPr>
          <w:i/>
        </w:rPr>
        <w:t xml:space="preserve">Mild or early perimetric glaucoma</w:t>
      </w:r>
      <w:r>
        <w:t xml:space="preserve"> required an accepted staging system or a clearly applied visual-field mean-deviation threshold of approximately −6 dB or better. </w:t>
      </w:r>
      <w:r>
        <w:rPr>
          <w:i/>
        </w:rPr>
        <w:t xml:space="preserve">Glaucoma suspect or ocular hypertension</w:t>
      </w:r>
      <w:r>
        <w:t xml:space="preserve"> was classified as a risk state and not equated with established glaucoma. Reports using “early” or a stage label without reproducible criteria were classified as </w:t>
      </w:r>
      <w:r>
        <w:rPr>
          <w:i/>
        </w:rPr>
        <w:t xml:space="preserve">author-labelled early disease with inadequate criteria</w:t>
      </w:r>
      <w:r>
        <w:t xml:space="preserve">. An early label was never inferred from mean severity, a dataset name, or cup-to-disc ratio alone.</w:t>
      </w:r>
    </w:p>
    <w:p w14:paraId="7EB1C0F3" w14:textId="77777777" w:rsidR="007C1CDA" w:rsidRPr="001A0468" w:rsidRDefault="007C1CDA" w:rsidP="006D1F3D">
      <w:pPr>
        <w:pStyle w:val="MDPI31text"/>
      </w:pPr>
      <w:r>
        <w:t xml:space="preserve">Reference standards were grouped as: adjudicated, reading-centre, or multiple-expert assessment; clinical or clinical-composite diagnosis; labels inherited from a repository; mixed repository and clinical or expert labels; surrogate or algorithmic thresholds, such as a vCDR cut-off; or unclear. Mixed standards were retained as mixed rather than assigned to a stronger category.</w:t>
      </w:r>
    </w:p>
    <w:p w14:paraId="7EB1C0F3" w14:textId="77777777" w:rsidR="007C1CDA" w:rsidRPr="001A0468" w:rsidRDefault="007C1CDA" w:rsidP="006D1F3D">
      <w:pPr>
        <w:pStyle w:val="MDPI31text"/>
      </w:pPr>
      <w:r>
        <w:t xml:space="preserve">Each report was assigned one of six mutually exclusive validation tiers: external or cross-dataset evaluation; internal–external (leave-one-domain-out) evaluation; same-source held-out or fixed partition; internal resampling only; internal evaluation with insufficiently reported allocation; or development-derived or validation-only results. Participant-level separation was coded separately as confirmed, not confirmed, or unclear. Cross-dataset testing was distinguished from independent clinical validation, because an external public repository may differ in images and labels while remaining a retrospective benchmark. Zero-shot and externally fine-tuned results were interpreted separately, and a model adapted on a purported external source was not described as independently validated.</w:t>
      </w:r>
    </w:p>
    <w:p w14:paraId="7EB1C0F3" w14:textId="77777777" w:rsidR="007C1CDA" w:rsidRPr="001A0468" w:rsidRDefault="007C1CDA" w:rsidP="006D1F3D">
      <w:pPr>
        <w:pStyle w:val="MDPI31text"/>
      </w:pPr>
      <w:r>
        <w:t xml:space="preserve">An imaging biomarker was defined as an anatomically or physiologically interpretable quantity or region used, estimated, or tested by a model, such as vCDR, disc or cup contour, neuroretinal-rim morphology, RNFL structure, or a spectral signal. Attention maps, saliency maps, gradient-weighted class activation mapping (Grad-CAM), and related visualisations were classified as explanation methods, not validated biomarkers, unless the highlighted feature was independently quantified and validated.</w:t>
      </w:r>
    </w:p>
    <w:p w14:paraId="154606C3" w14:textId="77777777" w:rsidR="007C1CDA" w:rsidRPr="001A0468" w:rsidRDefault="007C1CDA" w:rsidP="006D1F3D">
      <w:pPr>
        <w:pStyle w:val="MDPI22heading2"/>
        <w:spacing w:before="240"/>
      </w:pPr>
      <w:r>
        <w:t xml:space="preserve">2.7. Risk of Bias and Applicability</w:t>
      </w:r>
    </w:p>
    <w:p w14:paraId="7EB1C0F3" w14:textId="77777777" w:rsidR="007C1CDA" w:rsidRPr="001A0468" w:rsidRDefault="007C1CDA" w:rsidP="006D1F3D">
      <w:pPr>
        <w:pStyle w:val="MDPI31text"/>
      </w:pPr>
      <w:r>
        <w:t xml:space="preserve">Risk of bias and applicability were assessed with PROBAST+AI, the updated Prediction model Risk Of Bias ASsessment Tool for regression and AI models, because the included reports predominantly described AI model development and evaluation [32]. The Cochrane RoB 2 tool was not applicable because no included report was a randomised trial [33]. QUADAS-3 was considered but not applied because the corpus comprised model development and evaluation studies rather than a uniform set of fixed index-test accuracy studies; applying one tool consistently preserved comparability across reports [34]. Reporting checklists were not used as a substitute for risk-of-bias assessment.</w:t>
      </w:r>
    </w:p>
    <w:p w14:paraId="7EB1C0F3" w14:textId="77777777" w:rsidR="007C1CDA" w:rsidRPr="001A0468" w:rsidRDefault="007C1CDA" w:rsidP="006D1F3D">
      <w:pPr>
        <w:pStyle w:val="MDPI31text"/>
      </w:pPr>
      <w:r>
        <w:t xml:space="preserve">PROBAST+AI judgements were made separately for model-development quality and for risk of bias in model evaluation across four domains: participants and data sources, predictors, outcome, and analysis. Applicability of the evaluation evidence was assessed with PROBAST+AI across the participants and data sources, predictors, and outcome domains against the diagnostic-detection use defined in Section 2.1. Because a low applicability rating for diagnostic detection does not imply applicability to population screening, each report was additionally classified against the population-screening definition (Section 2.1). A report was considered applicable to screening only if it evaluated the model in a sample drawn from the defined screening population and setting, with the model in its triage role and a referral-relevant reference standard. Each domain was rated low, high, or unclear with a report-specific rationale. The overall judgement was high when any domain was high, low only when all domains were low, and unclear otherwise; no numerical quality score was calculated. Appraisal followed the same procedure as data extraction: two reviewers (M.S.A. and M.I.E.-K.G.) independently rated every domain, and disagreements were re-checked by the third and fourth authors (A.K.D. and M.A.S.) and resolved by consensus. Study-level judgements are reported in Table S7.</w:t>
      </w:r>
    </w:p>
    <w:p w14:paraId="154606C3" w14:textId="77777777" w:rsidR="007C1CDA" w:rsidRPr="001A0468" w:rsidRDefault="007C1CDA" w:rsidP="006D1F3D">
      <w:pPr>
        <w:pStyle w:val="MDPI22heading2"/>
        <w:spacing w:before="240"/>
      </w:pPr>
      <w:r>
        <w:t xml:space="preserve">2.8. Synthesis Methods</w:t>
      </w:r>
    </w:p>
    <w:p w14:paraId="7EB1C0F3" w14:textId="77777777" w:rsidR="007C1CDA" w:rsidRPr="001A0468" w:rsidRDefault="007C1CDA" w:rsidP="006D1F3D">
      <w:pPr>
        <w:pStyle w:val="MDPI31text"/>
      </w:pPr>
      <w:r>
        <w:t xml:space="preserve">The report was the unit of synthesis. Counts and proportions summarised publication year, modality, task, early-disease definition, reference standard, partition level, validation tier, biomarker representation, and PROBAST+AI judgements. Performance estimates were retained as reported and stratified, where possible, by modality, disease definition, and validation independence. Interpretation gave most weight to independent external evaluation, followed by internal–external validation, participant-level same-source testing, image-level held-out evaluation, and resampling or apparent performance.</w:t>
      </w:r>
    </w:p>
    <w:p w14:paraId="7EB1C0F3" w14:textId="77777777" w:rsidR="007C1CDA" w:rsidRPr="001A0468" w:rsidRDefault="007C1CDA" w:rsidP="006D1F3D">
      <w:pPr>
        <w:pStyle w:val="MDPI31text"/>
      </w:pPr>
      <w:r>
        <w:t xml:space="preserve">Meta-analysis was not performed because the studies were not sufficiently exchangeable [35]: the same public images were reused across reports; units of analysis, labels, and reference standards differed; tasks ranged from binary detection to multiclass staging; early-disease definitions were inconsistent; validation designs and thresholds varied; reconstructable 2 × 2 tables and confidence intervals were often absent; and participant leakage through fellow eyes, repeated visits, or augmented images could not be excluded. Consequently, no pooled accuracy estimate, heterogeneity statistic, funnel plot, or formal certainty-of-evidence rating was produced. The structured narrative synthesis examined whether performance remained credible as reference standards and validation independence became more stringent, and the proportion of reports meeting individual and combined clinical-readiness criteria was summarised graphically.</w:t>
      </w:r>
    </w:p>
    <w:p w14:paraId="7EB1C0F3" w14:textId="77777777" w:rsidR="007C1CDA" w:rsidRPr="001A0468" w:rsidRDefault="007C1CDA" w:rsidP="006D1F3D">
      <w:pPr>
        <w:pStyle w:val="MDPI31text"/>
      </w:pPr>
      <w:r>
        <w:t xml:space="preserve">Early-disease results were classified in two steps. An estimate was </w:t>
      </w:r>
      <w:r>
        <w:rPr>
          <w:i/>
        </w:rPr>
        <w:t xml:space="preserve">extractable</w:t>
      </w:r>
      <w:r>
        <w:t xml:space="preserve"> when discrimination between operationally defined early glaucoma and non-glaucomatous eyes was reported separately. It was </w:t>
      </w:r>
      <w:r>
        <w:rPr>
          <w:i/>
        </w:rPr>
        <w:t xml:space="preserve">credible for clinical inference</w:t>
      </w:r>
      <w:r>
        <w:t xml:space="preserve"> when, in addition, the report had no critical design flaw affecting that estimate, such as complete confounding of case and control sources or unresolved internal inconsistencies in the reported values. To test whether the denominator of 55 influenced the findings, we repeated the headline proportions after excluding reports whose source publication did not report a glaucoma-specific point estimate of identifiable metric type. To aid interpretation for health systems, we also illustrated the referral consequences of screening 10,000 adults at a glaucoma prevalence of 3.5%, the global estimate for people aged 40–80 years [2], under three hypothetical combinations of sensitivity and specificity, and contrasted them with an enriched 50% prevalence typical of benchmark datasets. This arithmetic illustration uses no pooled data and does not estimate the performance of any included model.</w:t>
      </w:r>
    </w:p>
    <w:p w14:paraId="43686E48" w14:textId="77777777" w:rsidR="007C1CDA" w:rsidRPr="001A0468" w:rsidRDefault="007C1CDA" w:rsidP="006D1F3D">
      <w:pPr>
        <w:pStyle w:val="MDPI21heading1"/>
      </w:pPr>
      <w:r>
        <w:t xml:space="preserve">3. Results</w:t>
      </w:r>
    </w:p>
    <w:p w14:paraId="154606C3" w14:textId="77777777" w:rsidR="007C1CDA" w:rsidRPr="001A0468" w:rsidRDefault="007C1CDA" w:rsidP="006D1F3D">
      <w:pPr>
        <w:pStyle w:val="MDPI22heading2"/>
        <w:spacing w:before="240"/>
      </w:pPr>
      <w:r>
        <w:t xml:space="preserve">3.1. Study Selection</w:t>
      </w:r>
    </w:p>
    <w:p w14:paraId="7EB1C0F3" w14:textId="77777777" w:rsidR="007C1CDA" w:rsidRPr="001A0468" w:rsidRDefault="007C1CDA" w:rsidP="006D1F3D">
      <w:pPr>
        <w:pStyle w:val="MDPI31text"/>
      </w:pPr>
      <w:r>
        <w:t xml:space="preserve">The database searches identified 1426 records (PubMed/MEDLINE, 214; Embase, 187; Scopus, 386; Web of Science, 298; IEEE Xplore, 341). After removal of 486 duplicates, 940 records were screened and 862 were excluded. Of 78 reports sought, 2 could not be retrieved, and 76 were assessed in full. Other methods identified 63 records; after removal of 26 duplicates, 37 were screened, 21 were excluded, 16 reports were sought, 1 could not be retrieved, and 15 were assessed in full. Of the 91 full-text reports assessed, 36 were excluded; each excluded report is cited with its principal reason and the specific basis for exclusion in Table S2 [23,24,26,36–68]. Fifty-five reports were included (Figure 1) [69–123]. Because several reports shared datasets, the included reports are treated as publications rather than independent cohorts.</w:t>
      </w:r>
    </w:p>
    <w:p w14:paraId="76C87192" w14:textId="77777777" w:rsidR="007C1CDA" w:rsidRPr="001A0468" w:rsidRDefault="00A120CD" w:rsidP="002F6FFF">
      <w:pPr>
        <w:pStyle w:val="MDPI52figure"/>
        <w:keepNext/>
        <w:ind w:left="0" w:firstLine="0"/>
        <w:jc w:val="left"/>
      </w:pPr>
      <w:r>
        <w:drawing>
          <wp:inline xmlns:a="http://schemas.openxmlformats.org/drawingml/2006/main" xmlns:pic="http://schemas.openxmlformats.org/drawingml/2006/picture">
            <wp:extent cx="6120000" cy="3604088"/>
            <wp:docPr id="1" name="Picture 1"/>
            <wp:cNvGraphicFramePr>
              <a:graphicFrameLocks noChangeAspect="1"/>
            </wp:cNvGraphicFramePr>
            <a:graphic>
              <a:graphicData uri="http://schemas.openxmlformats.org/drawingml/2006/picture">
                <pic:pic>
                  <pic:nvPicPr>
                    <pic:cNvPr id="0" name="Figure1.png"/>
                    <pic:cNvPicPr/>
                  </pic:nvPicPr>
                  <pic:blipFill>
                    <a:blip r:embed="rId17"/>
                    <a:stretch>
                      <a:fillRect/>
                    </a:stretch>
                  </pic:blipFill>
                  <pic:spPr>
                    <a:xfrm>
                      <a:off x="0" y="0"/>
                      <a:ext cx="6120000" cy="3604088"/>
                    </a:xfrm>
                    <a:prstGeom prst="rect"/>
                  </pic:spPr>
                </pic:pic>
              </a:graphicData>
            </a:graphic>
          </wp:inline>
        </w:drawing>
      </w:r>
    </w:p>
    <w:p w14:paraId="02B9D24C" w14:textId="77777777" w:rsidR="007C1CDA" w:rsidRPr="001A0468" w:rsidRDefault="007C1CDA" w:rsidP="006D1F3D">
      <w:pPr>
        <w:pStyle w:val="MDPI51figurecaption"/>
        <w:ind w:left="0" w:firstLine="0"/>
      </w:pPr>
      <w:r>
        <w:rPr>
          <w:b/>
        </w:rPr>
        <w:t xml:space="preserve">Figure 1.</w:t>
      </w:r>
      <w:r>
        <w:t xml:space="preserve"> PRISMA 2020 flow diagram of the identification, screening, and inclusion of reports. Full-text exclusions from both identification streams are combined; one principal reason was assigned to each excluded report (Table S2).</w:t>
      </w:r>
    </w:p>
    <w:p w14:paraId="154606C3" w14:textId="77777777" w:rsidR="007C1CDA" w:rsidRPr="001A0468" w:rsidRDefault="007C1CDA" w:rsidP="006D1F3D">
      <w:pPr>
        <w:pStyle w:val="MDPI22heading2"/>
        <w:spacing w:before="240"/>
      </w:pPr>
      <w:r>
        <w:t xml:space="preserve">3.2. Characteristics of the Included Reports</w:t>
      </w:r>
    </w:p>
    <w:p w14:paraId="7EB1C0F3" w14:textId="77777777" w:rsidR="007C1CDA" w:rsidRPr="001A0468" w:rsidRDefault="007C1CDA" w:rsidP="006D1F3D">
      <w:pPr>
        <w:pStyle w:val="MDPI31text"/>
      </w:pPr>
      <w:r>
        <w:t xml:space="preserve">The 55 reports were published in 2021 (</w:t>
      </w:r>
      <w:r>
        <w:rPr>
          <w:i/>
        </w:rPr>
        <w:t xml:space="preserve">n</w:t>
      </w:r>
      <w:r>
        <w:t xml:space="preserve"> = 1), 2023 (</w:t>
      </w:r>
      <w:r>
        <w:rPr>
          <w:i/>
        </w:rPr>
        <w:t xml:space="preserve">n</w:t>
      </w:r>
      <w:r>
        <w:t xml:space="preserve"> = 7), 2024 (</w:t>
      </w:r>
      <w:r>
        <w:rPr>
          <w:i/>
        </w:rPr>
        <w:t xml:space="preserve">n</w:t>
      </w:r>
      <w:r>
        <w:t xml:space="preserve"> = 5), 2025 (</w:t>
      </w:r>
      <w:r>
        <w:rPr>
          <w:i/>
        </w:rPr>
        <w:t xml:space="preserve">n</w:t>
      </w:r>
      <w:r>
        <w:t xml:space="preserve"> = 17), and 2026 (</w:t>
      </w:r>
      <w:r>
        <w:rPr>
          <w:i/>
        </w:rPr>
        <w:t xml:space="preserve">n</w:t>
      </w:r>
      <w:r>
        <w:t xml:space="preserve"> = 25); 42 (76.4%) appeared in 2025–2026, indicating a recent and rapidly expanding evidence base. Publication year was assigned from the journal volume year. Fundus or optic disc photographs were used in 53 reports (96.4%), including cropped ONH images and fundus images processed as hyperspectral representations. OCT contributed to eight reports: six paired OCT with fundus photography, one paired OCT with visual-field probability plots, and one used three-dimensional OCT alone [69,76,77,83,97,103,108,112]. Two reports incorporated visual-field data [69,112], and two used hyperspectral-converted or pseudo-hyperspectral fundus representations [79,107]. Other inputs included clinical variables [90,97], disc/cup contours [78], and dataset metadata [87]. Modalities overlap and therefore do not sum to 55.</w:t>
      </w:r>
    </w:p>
    <w:p w14:paraId="7EB1C0F3" w14:textId="77777777" w:rsidR="007C1CDA" w:rsidRPr="001A0468" w:rsidRDefault="007C1CDA" w:rsidP="006D1F3D">
      <w:pPr>
        <w:pStyle w:val="MDPI31text"/>
      </w:pPr>
      <w:r>
        <w:t xml:space="preserve">The unit of analysis was the image in 40 reports. Participant-level separation between training and test data was confirmed in only 8 reports; 29 allocated data at the image or eye level without confirmed participant separation, and the level was unclear in 18. Thirty-two reports (58.2%) were based solely on international public repositories, and dataset reuse was extensive (Table S6): DRISHTI-GS appeared in 13 reports, ORIGA in 12, RIM-ONE in 10, and the REFUGE family in 9. These recurrent sources create dependence among publications and limit genuinely replicated evidence. The evidence landscape is summarised in Table 2, and the characteristics of every report are provided in Table S3.</w:t>
      </w:r>
    </w:p>
    <w:p w14:paraId="2DC56296" w14:textId="77777777" w:rsidR="007C1CDA" w:rsidRPr="001A0468" w:rsidRDefault="007C1CDA" w:rsidP="006D1F3D">
      <w:pPr>
        <w:pStyle w:val="MDPI41tablecaption"/>
        <w:keepNext/>
        <w:ind w:left="0" w:firstLine="0"/>
      </w:pPr>
      <w:r>
        <w:rPr>
          <w:b/>
        </w:rPr>
        <w:t xml:space="preserve">Table 2.</w:t>
      </w:r>
      <w:r>
        <w:t xml:space="preserve"> Evidence landscape across the 55 included reports.</w:t>
      </w:r>
    </w:p>
    <w:tbl>
      <w:tblPr>
        <w:tblW w:w="10460" w:type="dxa"/>
        <w:jc w:val="center"/>
        <w:tblBorders>
          <w:top w:val="single" w:sz="8" w:space="0" w:color="auto"/>
          <w:bottom w:val="single" w:sz="8" w:space="0" w:color="auto"/>
        </w:tblBorders>
        <w:tblLayout w:type="fixed"/>
        <w:tblCellMar>
          <w:left w:w="57" w:type="dxa"/>
          <w:right w:w="57" w:type="dxa"/>
        </w:tblCellMar>
        <w:tblLook w:val="04A0"/>
      </w:tblPr>
      <w:tblGrid>
        <w:gridCol w:w="4260"/>
        <w:gridCol w:w="1500"/>
        <w:gridCol w:w="4700"/>
      </w:tblGrid>
      <w:tr>
        <w:trPr>
          <w:cantSplit/>
          <w:tblHeader/>
        </w:trPr>
        <w:tc>
          <w:tcPr>
            <w:tcW w:w="4260" w:type="dxa"/>
            <w:tcBorders>
              <w:bottom w:val="single" w:sz="4" w:space="0" w:color="auto"/>
            </w:tcBorders>
            <w:vAlign w:val="center"/>
          </w:tcPr>
          <w:p>
            <w:pPr>
              <w:pStyle w:val="MDPI42tablebody"/>
              <w:spacing w:line="240" w:lineRule="auto"/>
              <w:jc w:val="center"/>
            </w:pPr>
            <w:r>
              <w:rPr>
                <w:b/>
              </w:rPr>
              <w:t xml:space="preserve">Indicator</w:t>
            </w:r>
          </w:p>
        </w:tc>
        <w:tc>
          <w:tcPr>
            <w:tcW w:w="1500" w:type="dxa"/>
            <w:tcBorders>
              <w:bottom w:val="single" w:sz="4" w:space="0" w:color="auto"/>
            </w:tcBorders>
            <w:vAlign w:val="center"/>
          </w:tcPr>
          <w:p>
            <w:pPr>
              <w:pStyle w:val="MDPI42tablebody"/>
              <w:spacing w:line="240" w:lineRule="auto"/>
              <w:jc w:val="center"/>
            </w:pPr>
            <w:r>
              <w:rPr>
                <w:b/>
              </w:rPr>
              <w:t xml:space="preserve">Reports, </w:t>
            </w:r>
            <w:r>
              <w:rPr>
                <w:i/>
                <w:b/>
              </w:rPr>
              <w:t xml:space="preserve">n</w:t>
            </w:r>
            <w:r>
              <w:rPr>
                <w:b/>
              </w:rPr>
              <w:t xml:space="preserve"> (%)</w:t>
            </w:r>
          </w:p>
        </w:tc>
        <w:tc>
          <w:tcPr>
            <w:tcW w:w="4700" w:type="dxa"/>
            <w:tcBorders>
              <w:bottom w:val="single" w:sz="4" w:space="0" w:color="auto"/>
            </w:tcBorders>
            <w:vAlign w:val="center"/>
          </w:tcPr>
          <w:p>
            <w:pPr>
              <w:pStyle w:val="MDPI42tablebody"/>
              <w:spacing w:line="240" w:lineRule="auto"/>
              <w:jc w:val="center"/>
            </w:pPr>
            <w:r>
              <w:rPr>
                <w:b/>
              </w:rPr>
              <w:t xml:space="preserve">Interpretation</w:t>
            </w:r>
          </w:p>
        </w:tc>
      </w:tr>
      <w:tr>
        <w:trPr>
          <w:cantSplit/>
        </w:trPr>
        <w:tc>
          <w:tcPr>
            <w:tcW w:w="4260" w:type="dxa"/>
            <w:vAlign w:val="center"/>
          </w:tcPr>
          <w:p>
            <w:pPr>
              <w:pStyle w:val="MDPI42tablebody"/>
              <w:spacing w:line="240" w:lineRule="auto"/>
              <w:jc w:val="left"/>
            </w:pPr>
            <w:r>
              <w:t xml:space="preserve">Published in 2025–2026</w:t>
            </w:r>
          </w:p>
        </w:tc>
        <w:tc>
          <w:tcPr>
            <w:tcW w:w="1500" w:type="dxa"/>
            <w:vAlign w:val="center"/>
          </w:tcPr>
          <w:p>
            <w:pPr>
              <w:pStyle w:val="MDPI42tablebody"/>
              <w:spacing w:line="240" w:lineRule="auto"/>
              <w:jc w:val="center"/>
            </w:pPr>
            <w:r>
              <w:t xml:space="preserve">42 (76.4)</w:t>
            </w:r>
          </w:p>
        </w:tc>
        <w:tc>
          <w:tcPr>
            <w:tcW w:w="4700" w:type="dxa"/>
            <w:vAlign w:val="center"/>
          </w:tcPr>
          <w:p>
            <w:pPr>
              <w:pStyle w:val="MDPI42tablebody"/>
              <w:spacing w:line="240" w:lineRule="auto"/>
              <w:jc w:val="left"/>
            </w:pPr>
            <w:r>
              <w:t xml:space="preserve">Recent and rapidly expanding evidence base.</w:t>
            </w:r>
          </w:p>
        </w:tc>
      </w:tr>
      <w:tr>
        <w:trPr>
          <w:cantSplit/>
        </w:trPr>
        <w:tc>
          <w:tcPr>
            <w:tcW w:w="4260" w:type="dxa"/>
            <w:vAlign w:val="center"/>
          </w:tcPr>
          <w:p>
            <w:pPr>
              <w:pStyle w:val="MDPI42tablebody"/>
              <w:spacing w:line="240" w:lineRule="auto"/>
              <w:jc w:val="left"/>
            </w:pPr>
            <w:r>
              <w:t xml:space="preserve">Fundus/optic disc photography</w:t>
            </w:r>
          </w:p>
        </w:tc>
        <w:tc>
          <w:tcPr>
            <w:tcW w:w="1500" w:type="dxa"/>
            <w:vAlign w:val="center"/>
          </w:tcPr>
          <w:p>
            <w:pPr>
              <w:pStyle w:val="MDPI42tablebody"/>
              <w:spacing w:line="240" w:lineRule="auto"/>
              <w:jc w:val="center"/>
            </w:pPr>
            <w:r>
              <w:t xml:space="preserve">53 (96.4)</w:t>
            </w:r>
          </w:p>
        </w:tc>
        <w:tc>
          <w:tcPr>
            <w:tcW w:w="4700" w:type="dxa"/>
            <w:vAlign w:val="center"/>
          </w:tcPr>
          <w:p>
            <w:pPr>
              <w:pStyle w:val="MDPI42tablebody"/>
              <w:spacing w:line="240" w:lineRule="auto"/>
              <w:jc w:val="left"/>
            </w:pPr>
            <w:r>
              <w:t xml:space="preserve">Dominant modality; categories overlap.</w:t>
            </w:r>
          </w:p>
        </w:tc>
      </w:tr>
      <w:tr>
        <w:trPr>
          <w:cantSplit/>
        </w:trPr>
        <w:tc>
          <w:tcPr>
            <w:tcW w:w="4260" w:type="dxa"/>
            <w:vAlign w:val="center"/>
          </w:tcPr>
          <w:p>
            <w:pPr>
              <w:pStyle w:val="MDPI42tablebody"/>
              <w:spacing w:line="240" w:lineRule="auto"/>
              <w:jc w:val="left"/>
            </w:pPr>
            <w:r>
              <w:t xml:space="preserve">OCT input</w:t>
            </w:r>
          </w:p>
        </w:tc>
        <w:tc>
          <w:tcPr>
            <w:tcW w:w="1500" w:type="dxa"/>
            <w:vAlign w:val="center"/>
          </w:tcPr>
          <w:p>
            <w:pPr>
              <w:pStyle w:val="MDPI42tablebody"/>
              <w:spacing w:line="240" w:lineRule="auto"/>
              <w:jc w:val="center"/>
            </w:pPr>
            <w:r>
              <w:t xml:space="preserve">8 (14.5)</w:t>
            </w:r>
          </w:p>
        </w:tc>
        <w:tc>
          <w:tcPr>
            <w:tcW w:w="4700" w:type="dxa"/>
            <w:vAlign w:val="center"/>
          </w:tcPr>
          <w:p>
            <w:pPr>
              <w:pStyle w:val="MDPI42tablebody"/>
              <w:spacing w:line="240" w:lineRule="auto"/>
              <w:jc w:val="left"/>
            </w:pPr>
            <w:r>
              <w:t xml:space="preserve">Six fundus + OCT, one OCT + visual field, one OCT only.</w:t>
            </w:r>
          </w:p>
        </w:tc>
      </w:tr>
      <w:tr>
        <w:trPr>
          <w:cantSplit/>
        </w:trPr>
        <w:tc>
          <w:tcPr>
            <w:tcW w:w="4260" w:type="dxa"/>
            <w:vAlign w:val="center"/>
          </w:tcPr>
          <w:p>
            <w:pPr>
              <w:pStyle w:val="MDPI42tablebody"/>
              <w:spacing w:line="240" w:lineRule="auto"/>
              <w:jc w:val="left"/>
            </w:pPr>
            <w:r>
              <w:t xml:space="preserve">Visual-field input</w:t>
            </w:r>
          </w:p>
        </w:tc>
        <w:tc>
          <w:tcPr>
            <w:tcW w:w="1500" w:type="dxa"/>
            <w:vAlign w:val="center"/>
          </w:tcPr>
          <w:p>
            <w:pPr>
              <w:pStyle w:val="MDPI42tablebody"/>
              <w:spacing w:line="240" w:lineRule="auto"/>
              <w:jc w:val="center"/>
            </w:pPr>
            <w:r>
              <w:t xml:space="preserve">2 (3.6)</w:t>
            </w:r>
          </w:p>
        </w:tc>
        <w:tc>
          <w:tcPr>
            <w:tcW w:w="4700" w:type="dxa"/>
            <w:vAlign w:val="center"/>
          </w:tcPr>
          <w:p>
            <w:pPr>
              <w:pStyle w:val="MDPI42tablebody"/>
              <w:spacing w:line="240" w:lineRule="auto"/>
              <w:jc w:val="left"/>
            </w:pPr>
            <w:r>
              <w:t xml:space="preserve">Structure–function integration was uncommon.</w:t>
            </w:r>
          </w:p>
        </w:tc>
      </w:tr>
      <w:tr>
        <w:trPr>
          <w:cantSplit/>
        </w:trPr>
        <w:tc>
          <w:tcPr>
            <w:tcW w:w="4260" w:type="dxa"/>
            <w:vAlign w:val="center"/>
          </w:tcPr>
          <w:p>
            <w:pPr>
              <w:pStyle w:val="MDPI42tablebody"/>
              <w:spacing w:line="240" w:lineRule="auto"/>
              <w:jc w:val="left"/>
            </w:pPr>
            <w:r>
              <w:t xml:space="preserve">Solely international public repositories</w:t>
            </w:r>
          </w:p>
        </w:tc>
        <w:tc>
          <w:tcPr>
            <w:tcW w:w="1500" w:type="dxa"/>
            <w:vAlign w:val="center"/>
          </w:tcPr>
          <w:p>
            <w:pPr>
              <w:pStyle w:val="MDPI42tablebody"/>
              <w:spacing w:line="240" w:lineRule="auto"/>
              <w:jc w:val="center"/>
            </w:pPr>
            <w:r>
              <w:t xml:space="preserve">32 (58.2)</w:t>
            </w:r>
          </w:p>
        </w:tc>
        <w:tc>
          <w:tcPr>
            <w:tcW w:w="4700" w:type="dxa"/>
            <w:vAlign w:val="center"/>
          </w:tcPr>
          <w:p>
            <w:pPr>
              <w:pStyle w:val="MDPI42tablebody"/>
              <w:spacing w:line="240" w:lineRule="auto"/>
              <w:jc w:val="left"/>
            </w:pPr>
            <w:r>
              <w:t xml:space="preserve">Data not assembled to represent a screening population.</w:t>
            </w:r>
          </w:p>
        </w:tc>
      </w:tr>
      <w:tr>
        <w:trPr>
          <w:cantSplit/>
        </w:trPr>
        <w:tc>
          <w:tcPr>
            <w:tcW w:w="4260" w:type="dxa"/>
            <w:vAlign w:val="center"/>
          </w:tcPr>
          <w:p>
            <w:pPr>
              <w:pStyle w:val="MDPI42tablebody"/>
              <w:spacing w:line="240" w:lineRule="auto"/>
              <w:jc w:val="left"/>
            </w:pPr>
            <w:r>
              <w:t xml:space="preserve">Binary/referable glaucoma or GON task</w:t>
            </w:r>
          </w:p>
        </w:tc>
        <w:tc>
          <w:tcPr>
            <w:tcW w:w="1500" w:type="dxa"/>
            <w:vAlign w:val="center"/>
          </w:tcPr>
          <w:p>
            <w:pPr>
              <w:pStyle w:val="MDPI42tablebody"/>
              <w:spacing w:line="240" w:lineRule="auto"/>
              <w:jc w:val="center"/>
            </w:pPr>
            <w:r>
              <w:t xml:space="preserve">35 (63.6)</w:t>
            </w:r>
          </w:p>
        </w:tc>
        <w:tc>
          <w:tcPr>
            <w:tcW w:w="4700" w:type="dxa"/>
            <w:vAlign w:val="center"/>
          </w:tcPr>
          <w:p>
            <w:pPr>
              <w:pStyle w:val="MDPI42tablebody"/>
              <w:spacing w:line="240" w:lineRule="auto"/>
              <w:jc w:val="left"/>
            </w:pPr>
            <w:r>
              <w:t xml:space="preserve">Most common task.</w:t>
            </w:r>
          </w:p>
        </w:tc>
      </w:tr>
      <w:tr>
        <w:trPr>
          <w:cantSplit/>
        </w:trPr>
        <w:tc>
          <w:tcPr>
            <w:tcW w:w="4260" w:type="dxa"/>
            <w:vAlign w:val="center"/>
          </w:tcPr>
          <w:p>
            <w:pPr>
              <w:pStyle w:val="MDPI42tablebody"/>
              <w:spacing w:line="240" w:lineRule="auto"/>
              <w:jc w:val="left"/>
            </w:pPr>
            <w:r>
              <w:t xml:space="preserve">Staging, grading, or suspect task</w:t>
            </w:r>
          </w:p>
        </w:tc>
        <w:tc>
          <w:tcPr>
            <w:tcW w:w="1500" w:type="dxa"/>
            <w:vAlign w:val="center"/>
          </w:tcPr>
          <w:p>
            <w:pPr>
              <w:pStyle w:val="MDPI42tablebody"/>
              <w:spacing w:line="240" w:lineRule="auto"/>
              <w:jc w:val="center"/>
            </w:pPr>
            <w:r>
              <w:t xml:space="preserve">10 (18.2)</w:t>
            </w:r>
          </w:p>
        </w:tc>
        <w:tc>
          <w:tcPr>
            <w:tcW w:w="4700" w:type="dxa"/>
            <w:vAlign w:val="center"/>
          </w:tcPr>
          <w:p>
            <w:pPr>
              <w:pStyle w:val="MDPI42tablebody"/>
              <w:spacing w:line="240" w:lineRule="auto"/>
              <w:jc w:val="left"/>
            </w:pPr>
            <w:r>
              <w:t xml:space="preserve">Stage definitions varied materially.</w:t>
            </w:r>
          </w:p>
        </w:tc>
      </w:tr>
      <w:tr>
        <w:trPr>
          <w:cantSplit/>
        </w:trPr>
        <w:tc>
          <w:tcPr>
            <w:tcW w:w="4260" w:type="dxa"/>
            <w:vAlign w:val="center"/>
          </w:tcPr>
          <w:p>
            <w:pPr>
              <w:pStyle w:val="MDPI42tablebody"/>
              <w:spacing w:line="240" w:lineRule="auto"/>
              <w:jc w:val="left"/>
            </w:pPr>
            <w:r>
              <w:t xml:space="preserve">Multidisease/multilabel task</w:t>
            </w:r>
          </w:p>
        </w:tc>
        <w:tc>
          <w:tcPr>
            <w:tcW w:w="1500" w:type="dxa"/>
            <w:vAlign w:val="center"/>
          </w:tcPr>
          <w:p>
            <w:pPr>
              <w:pStyle w:val="MDPI42tablebody"/>
              <w:spacing w:line="240" w:lineRule="auto"/>
              <w:jc w:val="center"/>
            </w:pPr>
            <w:r>
              <w:t xml:space="preserve">10 (18.2)</w:t>
            </w:r>
          </w:p>
        </w:tc>
        <w:tc>
          <w:tcPr>
            <w:tcW w:w="4700" w:type="dxa"/>
            <w:vAlign w:val="center"/>
          </w:tcPr>
          <w:p>
            <w:pPr>
              <w:pStyle w:val="MDPI42tablebody"/>
              <w:spacing w:line="240" w:lineRule="auto"/>
              <w:jc w:val="left"/>
            </w:pPr>
            <w:r>
              <w:t xml:space="preserve">Glaucoma-specific estimates sometimes incomplete.</w:t>
            </w:r>
          </w:p>
        </w:tc>
      </w:tr>
      <w:tr>
        <w:trPr>
          <w:cantSplit/>
        </w:trPr>
        <w:tc>
          <w:tcPr>
            <w:tcW w:w="4260" w:type="dxa"/>
            <w:vAlign w:val="center"/>
          </w:tcPr>
          <w:p>
            <w:pPr>
              <w:pStyle w:val="MDPI42tablebody"/>
              <w:spacing w:line="240" w:lineRule="auto"/>
              <w:jc w:val="left"/>
            </w:pPr>
            <w:r>
              <w:t xml:space="preserve">Inherited, mixed-repository, or surrogate reference standard</w:t>
            </w:r>
          </w:p>
        </w:tc>
        <w:tc>
          <w:tcPr>
            <w:tcW w:w="1500" w:type="dxa"/>
            <w:vAlign w:val="center"/>
          </w:tcPr>
          <w:p>
            <w:pPr>
              <w:pStyle w:val="MDPI42tablebody"/>
              <w:spacing w:line="240" w:lineRule="auto"/>
              <w:jc w:val="center"/>
            </w:pPr>
            <w:r>
              <w:t xml:space="preserve">38 (69.1)</w:t>
            </w:r>
          </w:p>
        </w:tc>
        <w:tc>
          <w:tcPr>
            <w:tcW w:w="4700" w:type="dxa"/>
            <w:vAlign w:val="center"/>
          </w:tcPr>
          <w:p>
            <w:pPr>
              <w:pStyle w:val="MDPI42tablebody"/>
              <w:spacing w:line="240" w:lineRule="auto"/>
              <w:jc w:val="left"/>
            </w:pPr>
            <w:r>
              <w:t xml:space="preserve">Weak or heterogeneous labels were common.</w:t>
            </w:r>
          </w:p>
        </w:tc>
      </w:tr>
      <w:tr>
        <w:trPr>
          <w:cantSplit/>
        </w:trPr>
        <w:tc>
          <w:tcPr>
            <w:tcW w:w="4260" w:type="dxa"/>
            <w:vAlign w:val="center"/>
          </w:tcPr>
          <w:p>
            <w:pPr>
              <w:pStyle w:val="MDPI42tablebody"/>
              <w:spacing w:line="240" w:lineRule="auto"/>
              <w:jc w:val="left"/>
            </w:pPr>
            <w:r>
              <w:t xml:space="preserve">Clinical or adjudicated reference standard</w:t>
            </w:r>
          </w:p>
        </w:tc>
        <w:tc>
          <w:tcPr>
            <w:tcW w:w="1500" w:type="dxa"/>
            <w:vAlign w:val="center"/>
          </w:tcPr>
          <w:p>
            <w:pPr>
              <w:pStyle w:val="MDPI42tablebody"/>
              <w:spacing w:line="240" w:lineRule="auto"/>
              <w:jc w:val="center"/>
            </w:pPr>
            <w:r>
              <w:t xml:space="preserve">13 (23.6)</w:t>
            </w:r>
          </w:p>
        </w:tc>
        <w:tc>
          <w:tcPr>
            <w:tcW w:w="4700" w:type="dxa"/>
            <w:vAlign w:val="center"/>
          </w:tcPr>
          <w:p>
            <w:pPr>
              <w:pStyle w:val="MDPI42tablebody"/>
              <w:spacing w:line="240" w:lineRule="auto"/>
              <w:jc w:val="left"/>
            </w:pPr>
            <w:r>
              <w:t xml:space="preserve">Minority of reports.</w:t>
            </w:r>
          </w:p>
        </w:tc>
      </w:tr>
      <w:tr>
        <w:trPr>
          <w:cantSplit/>
        </w:trPr>
        <w:tc>
          <w:tcPr>
            <w:tcW w:w="4260" w:type="dxa"/>
            <w:vAlign w:val="center"/>
          </w:tcPr>
          <w:p>
            <w:pPr>
              <w:pStyle w:val="MDPI42tablebody"/>
              <w:spacing w:line="240" w:lineRule="auto"/>
              <w:jc w:val="left"/>
            </w:pPr>
            <w:r>
              <w:t xml:space="preserve">Confirmed participant-level separation</w:t>
            </w:r>
          </w:p>
        </w:tc>
        <w:tc>
          <w:tcPr>
            <w:tcW w:w="1500" w:type="dxa"/>
            <w:vAlign w:val="center"/>
          </w:tcPr>
          <w:p>
            <w:pPr>
              <w:pStyle w:val="MDPI42tablebody"/>
              <w:spacing w:line="240" w:lineRule="auto"/>
              <w:jc w:val="center"/>
            </w:pPr>
            <w:r>
              <w:t xml:space="preserve">8 (14.5)</w:t>
            </w:r>
          </w:p>
        </w:tc>
        <w:tc>
          <w:tcPr>
            <w:tcW w:w="4700" w:type="dxa"/>
            <w:vAlign w:val="center"/>
          </w:tcPr>
          <w:p>
            <w:pPr>
              <w:pStyle w:val="MDPI42tablebody"/>
              <w:spacing w:line="240" w:lineRule="auto"/>
              <w:jc w:val="left"/>
            </w:pPr>
            <w:r>
              <w:t xml:space="preserve">Fellow-eye and repeat-image leakage often not excluded.</w:t>
            </w:r>
          </w:p>
        </w:tc>
      </w:tr>
      <w:tr>
        <w:trPr>
          <w:cantSplit/>
        </w:trPr>
        <w:tc>
          <w:tcPr>
            <w:tcW w:w="4260" w:type="dxa"/>
            <w:vAlign w:val="center"/>
          </w:tcPr>
          <w:p>
            <w:pPr>
              <w:pStyle w:val="MDPI42tablebody"/>
              <w:spacing w:line="240" w:lineRule="auto"/>
              <w:jc w:val="left"/>
            </w:pPr>
            <w:r>
              <w:t xml:space="preserve">Distinct-source evaluation</w:t>
            </w:r>
          </w:p>
        </w:tc>
        <w:tc>
          <w:tcPr>
            <w:tcW w:w="1500" w:type="dxa"/>
            <w:vAlign w:val="center"/>
          </w:tcPr>
          <w:p>
            <w:pPr>
              <w:pStyle w:val="MDPI42tablebody"/>
              <w:spacing w:line="240" w:lineRule="auto"/>
              <w:jc w:val="center"/>
            </w:pPr>
            <w:r>
              <w:t xml:space="preserve">9 (16.4)</w:t>
            </w:r>
          </w:p>
        </w:tc>
        <w:tc>
          <w:tcPr>
            <w:tcW w:w="4700" w:type="dxa"/>
            <w:vAlign w:val="center"/>
          </w:tcPr>
          <w:p>
            <w:pPr>
              <w:pStyle w:val="MDPI42tablebody"/>
              <w:spacing w:line="240" w:lineRule="auto"/>
              <w:jc w:val="left"/>
            </w:pPr>
            <w:r>
              <w:t xml:space="preserve">Eight cross-dataset and one leave-one-domain-out.</w:t>
            </w:r>
          </w:p>
        </w:tc>
      </w:tr>
      <w:tr>
        <w:trPr>
          <w:cantSplit/>
        </w:trPr>
        <w:tc>
          <w:tcPr>
            <w:tcW w:w="4260" w:type="dxa"/>
            <w:vAlign w:val="center"/>
          </w:tcPr>
          <w:p>
            <w:pPr>
              <w:pStyle w:val="MDPI42tablebody"/>
              <w:spacing w:line="240" w:lineRule="auto"/>
              <w:jc w:val="left"/>
            </w:pPr>
            <w:r>
              <w:t xml:space="preserve">Participant-level separation and distinct-source evaluation</w:t>
            </w:r>
          </w:p>
        </w:tc>
        <w:tc>
          <w:tcPr>
            <w:tcW w:w="1500" w:type="dxa"/>
            <w:vAlign w:val="center"/>
          </w:tcPr>
          <w:p>
            <w:pPr>
              <w:pStyle w:val="MDPI42tablebody"/>
              <w:spacing w:line="240" w:lineRule="auto"/>
              <w:jc w:val="center"/>
            </w:pPr>
            <w:r>
              <w:t xml:space="preserve">4 (7.3)</w:t>
            </w:r>
          </w:p>
        </w:tc>
        <w:tc>
          <w:tcPr>
            <w:tcW w:w="4700" w:type="dxa"/>
            <w:vAlign w:val="center"/>
          </w:tcPr>
          <w:p>
            <w:pPr>
              <w:pStyle w:val="MDPI42tablebody"/>
              <w:spacing w:line="240" w:lineRule="auto"/>
              <w:jc w:val="left"/>
            </w:pPr>
            <w:r>
              <w:t xml:space="preserve">Strongest validation designs.</w:t>
            </w:r>
          </w:p>
        </w:tc>
      </w:tr>
      <w:tr>
        <w:trPr>
          <w:cantSplit/>
        </w:trPr>
        <w:tc>
          <w:tcPr>
            <w:tcW w:w="4260" w:type="dxa"/>
            <w:vAlign w:val="center"/>
          </w:tcPr>
          <w:p>
            <w:pPr>
              <w:pStyle w:val="MDPI42tablebody"/>
              <w:spacing w:line="240" w:lineRule="auto"/>
              <w:jc w:val="left"/>
            </w:pPr>
            <w:r>
              <w:t xml:space="preserve">Operational mild/early perimetric definition</w:t>
            </w:r>
          </w:p>
        </w:tc>
        <w:tc>
          <w:tcPr>
            <w:tcW w:w="1500" w:type="dxa"/>
            <w:vAlign w:val="center"/>
          </w:tcPr>
          <w:p>
            <w:pPr>
              <w:pStyle w:val="MDPI42tablebody"/>
              <w:spacing w:line="240" w:lineRule="auto"/>
              <w:jc w:val="center"/>
            </w:pPr>
            <w:r>
              <w:t xml:space="preserve">6 (10.9)</w:t>
            </w:r>
          </w:p>
        </w:tc>
        <w:tc>
          <w:tcPr>
            <w:tcW w:w="4700" w:type="dxa"/>
            <w:vAlign w:val="center"/>
          </w:tcPr>
          <w:p>
            <w:pPr>
              <w:pStyle w:val="MDPI42tablebody"/>
              <w:spacing w:line="240" w:lineRule="auto"/>
              <w:jc w:val="left"/>
            </w:pPr>
            <w:r>
              <w:t xml:space="preserve">Two gave an extractable early-disease estimate.</w:t>
            </w:r>
          </w:p>
        </w:tc>
      </w:tr>
      <w:tr>
        <w:trPr>
          <w:cantSplit/>
        </w:trPr>
        <w:tc>
          <w:tcPr>
            <w:tcW w:w="4260" w:type="dxa"/>
            <w:vAlign w:val="center"/>
          </w:tcPr>
          <w:p>
            <w:pPr>
              <w:pStyle w:val="MDPI42tablebody"/>
              <w:spacing w:line="240" w:lineRule="auto"/>
              <w:jc w:val="left"/>
            </w:pPr>
            <w:r>
              <w:t xml:space="preserve">Early-disease estimate credible for clinical inference</w:t>
            </w:r>
          </w:p>
        </w:tc>
        <w:tc>
          <w:tcPr>
            <w:tcW w:w="1500" w:type="dxa"/>
            <w:vAlign w:val="center"/>
          </w:tcPr>
          <w:p>
            <w:pPr>
              <w:pStyle w:val="MDPI42tablebody"/>
              <w:spacing w:line="240" w:lineRule="auto"/>
              <w:jc w:val="center"/>
            </w:pPr>
            <w:r>
              <w:t xml:space="preserve">1 (1.8)</w:t>
            </w:r>
          </w:p>
        </w:tc>
        <w:tc>
          <w:tcPr>
            <w:tcW w:w="4700" w:type="dxa"/>
            <w:vAlign w:val="center"/>
          </w:tcPr>
          <w:p>
            <w:pPr>
              <w:pStyle w:val="MDPI42tablebody"/>
              <w:spacing w:line="240" w:lineRule="auto"/>
              <w:jc w:val="left"/>
            </w:pPr>
            <w:r>
              <w:t xml:space="preserve">The other was confounded by site and internally inconsistent.</w:t>
            </w:r>
          </w:p>
        </w:tc>
      </w:tr>
      <w:tr>
        <w:trPr>
          <w:cantSplit/>
        </w:trPr>
        <w:tc>
          <w:tcPr>
            <w:tcW w:w="4260" w:type="dxa"/>
            <w:vAlign w:val="center"/>
          </w:tcPr>
          <w:p>
            <w:pPr>
              <w:pStyle w:val="MDPI42tablebody"/>
              <w:spacing w:line="240" w:lineRule="auto"/>
              <w:jc w:val="left"/>
            </w:pPr>
            <w:r>
              <w:t xml:space="preserve">Separately extractable preperimetric result</w:t>
            </w:r>
          </w:p>
        </w:tc>
        <w:tc>
          <w:tcPr>
            <w:tcW w:w="1500" w:type="dxa"/>
            <w:vAlign w:val="center"/>
          </w:tcPr>
          <w:p>
            <w:pPr>
              <w:pStyle w:val="MDPI42tablebody"/>
              <w:spacing w:line="240" w:lineRule="auto"/>
              <w:jc w:val="center"/>
            </w:pPr>
            <w:r>
              <w:t xml:space="preserve">0 (0.0)</w:t>
            </w:r>
          </w:p>
        </w:tc>
        <w:tc>
          <w:tcPr>
            <w:tcW w:w="4700" w:type="dxa"/>
            <w:vAlign w:val="center"/>
          </w:tcPr>
          <w:p>
            <w:pPr>
              <w:pStyle w:val="MDPI42tablebody"/>
              <w:spacing w:line="240" w:lineRule="auto"/>
              <w:jc w:val="left"/>
            </w:pPr>
            <w:r>
              <w:t xml:space="preserve">Principal clinical evidence gap.</w:t>
            </w:r>
          </w:p>
        </w:tc>
      </w:tr>
      <w:tr>
        <w:trPr>
          <w:cantSplit/>
        </w:trPr>
        <w:tc>
          <w:tcPr>
            <w:tcW w:w="4260" w:type="dxa"/>
            <w:vAlign w:val="center"/>
          </w:tcPr>
          <w:p>
            <w:pPr>
              <w:pStyle w:val="MDPI42tablebody"/>
              <w:spacing w:line="240" w:lineRule="auto"/>
              <w:jc w:val="left"/>
            </w:pPr>
            <w:r>
              <w:t xml:space="preserve">Explanation or transparent biomarker pathway</w:t>
            </w:r>
          </w:p>
        </w:tc>
        <w:tc>
          <w:tcPr>
            <w:tcW w:w="1500" w:type="dxa"/>
            <w:vAlign w:val="center"/>
          </w:tcPr>
          <w:p>
            <w:pPr>
              <w:pStyle w:val="MDPI42tablebody"/>
              <w:spacing w:line="240" w:lineRule="auto"/>
              <w:jc w:val="center"/>
            </w:pPr>
            <w:r>
              <w:t xml:space="preserve">12 (21.8)</w:t>
            </w:r>
          </w:p>
        </w:tc>
        <w:tc>
          <w:tcPr>
            <w:tcW w:w="4700" w:type="dxa"/>
            <w:vAlign w:val="center"/>
          </w:tcPr>
          <w:p>
            <w:pPr>
              <w:pStyle w:val="MDPI42tablebody"/>
              <w:spacing w:line="240" w:lineRule="auto"/>
              <w:jc w:val="left"/>
            </w:pPr>
            <w:r>
              <w:t xml:space="preserve">No explanation output validated as a biomarker.</w:t>
            </w:r>
          </w:p>
        </w:tc>
      </w:tr>
      <w:tr>
        <w:trPr>
          <w:cantSplit/>
        </w:trPr>
        <w:tc>
          <w:tcPr>
            <w:tcW w:w="4260" w:type="dxa"/>
            <w:vAlign w:val="center"/>
          </w:tcPr>
          <w:p>
            <w:pPr>
              <w:pStyle w:val="MDPI42tablebody"/>
              <w:spacing w:line="240" w:lineRule="auto"/>
              <w:jc w:val="left"/>
            </w:pPr>
            <w:r>
              <w:t xml:space="preserve">High PROBAST+AI risk of bias (evaluation)</w:t>
            </w:r>
          </w:p>
        </w:tc>
        <w:tc>
          <w:tcPr>
            <w:tcW w:w="1500" w:type="dxa"/>
            <w:vAlign w:val="center"/>
          </w:tcPr>
          <w:p>
            <w:pPr>
              <w:pStyle w:val="MDPI42tablebody"/>
              <w:spacing w:line="240" w:lineRule="auto"/>
              <w:jc w:val="center"/>
            </w:pPr>
            <w:r>
              <w:t xml:space="preserve">51 (92.7)</w:t>
            </w:r>
          </w:p>
        </w:tc>
        <w:tc>
          <w:tcPr>
            <w:tcW w:w="4700" w:type="dxa"/>
            <w:vAlign w:val="center"/>
          </w:tcPr>
          <w:p>
            <w:pPr>
              <w:pStyle w:val="MDPI42tablebody"/>
              <w:spacing w:line="240" w:lineRule="auto"/>
              <w:jc w:val="left"/>
            </w:pPr>
            <w:r>
              <w:t xml:space="preserve">High risk in at least one domain.</w:t>
            </w:r>
          </w:p>
        </w:tc>
      </w:tr>
      <w:tr>
        <w:trPr>
          <w:cantSplit/>
        </w:trPr>
        <w:tc>
          <w:tcPr>
            <w:tcW w:w="4260" w:type="dxa"/>
            <w:vAlign w:val="center"/>
          </w:tcPr>
          <w:p>
            <w:pPr>
              <w:pStyle w:val="MDPI42tablebody"/>
              <w:spacing w:line="240" w:lineRule="auto"/>
              <w:jc w:val="left"/>
            </w:pPr>
            <w:r>
              <w:t xml:space="preserve">High applicability concern (evaluation)</w:t>
            </w:r>
          </w:p>
        </w:tc>
        <w:tc>
          <w:tcPr>
            <w:tcW w:w="1500" w:type="dxa"/>
            <w:vAlign w:val="center"/>
          </w:tcPr>
          <w:p>
            <w:pPr>
              <w:pStyle w:val="MDPI42tablebody"/>
              <w:spacing w:line="240" w:lineRule="auto"/>
              <w:jc w:val="center"/>
            </w:pPr>
            <w:r>
              <w:t xml:space="preserve">45 (81.8)</w:t>
            </w:r>
          </w:p>
        </w:tc>
        <w:tc>
          <w:tcPr>
            <w:tcW w:w="4700" w:type="dxa"/>
            <w:vAlign w:val="center"/>
          </w:tcPr>
          <w:p>
            <w:pPr>
              <w:pStyle w:val="MDPI42tablebody"/>
              <w:spacing w:line="240" w:lineRule="auto"/>
              <w:jc w:val="left"/>
            </w:pPr>
            <w:r>
              <w:t xml:space="preserve">Mostly driven by participant/data-source mismatch.</w:t>
            </w:r>
          </w:p>
        </w:tc>
      </w:tr>
      <w:tr>
        <w:trPr>
          <w:cantSplit/>
        </w:trPr>
        <w:tc>
          <w:tcPr>
            <w:tcW w:w="4260" w:type="dxa"/>
            <w:vAlign w:val="center"/>
          </w:tcPr>
          <w:p>
            <w:pPr>
              <w:pStyle w:val="MDPI42tablebody"/>
              <w:spacing w:line="240" w:lineRule="auto"/>
              <w:jc w:val="left"/>
            </w:pPr>
            <w:r>
              <w:t xml:space="preserve">Low risk of bias and low applicability concern (diagnostic detection)</w:t>
            </w:r>
          </w:p>
        </w:tc>
        <w:tc>
          <w:tcPr>
            <w:tcW w:w="1500" w:type="dxa"/>
            <w:vAlign w:val="center"/>
          </w:tcPr>
          <w:p>
            <w:pPr>
              <w:pStyle w:val="MDPI42tablebody"/>
              <w:spacing w:line="240" w:lineRule="auto"/>
              <w:jc w:val="center"/>
            </w:pPr>
            <w:r>
              <w:t xml:space="preserve">3 (5.5)</w:t>
            </w:r>
          </w:p>
        </w:tc>
        <w:tc>
          <w:tcPr>
            <w:tcW w:w="4700" w:type="dxa"/>
            <w:vAlign w:val="center"/>
          </w:tcPr>
          <w:p>
            <w:pPr>
              <w:pStyle w:val="MDPI42tablebody"/>
              <w:spacing w:line="240" w:lineRule="auto"/>
              <w:jc w:val="left"/>
            </w:pPr>
            <w:r>
              <w:t xml:space="preserve">Research or clinically selected cohorts.</w:t>
            </w:r>
          </w:p>
        </w:tc>
      </w:tr>
      <w:tr>
        <w:trPr>
          <w:cantSplit/>
        </w:trPr>
        <w:tc>
          <w:tcPr>
            <w:tcW w:w="4260" w:type="dxa"/>
            <w:vAlign w:val="center"/>
          </w:tcPr>
          <w:p>
            <w:pPr>
              <w:pStyle w:val="MDPI42tablebody"/>
              <w:spacing w:line="240" w:lineRule="auto"/>
              <w:jc w:val="left"/>
            </w:pPr>
            <w:r>
              <w:t xml:space="preserve">Applicable to population screening</w:t>
            </w:r>
          </w:p>
        </w:tc>
        <w:tc>
          <w:tcPr>
            <w:tcW w:w="1500" w:type="dxa"/>
            <w:vAlign w:val="center"/>
          </w:tcPr>
          <w:p>
            <w:pPr>
              <w:pStyle w:val="MDPI42tablebody"/>
              <w:spacing w:line="240" w:lineRule="auto"/>
              <w:jc w:val="center"/>
            </w:pPr>
            <w:r>
              <w:t xml:space="preserve">0 (0.0)</w:t>
            </w:r>
          </w:p>
        </w:tc>
        <w:tc>
          <w:tcPr>
            <w:tcW w:w="4700" w:type="dxa"/>
            <w:vAlign w:val="center"/>
          </w:tcPr>
          <w:p>
            <w:pPr>
              <w:pStyle w:val="MDPI42tablebody"/>
              <w:spacing w:line="240" w:lineRule="auto"/>
              <w:jc w:val="left"/>
            </w:pPr>
            <w:r>
              <w:t xml:space="preserve">No screening sample or triage-role evaluation.</w:t>
            </w:r>
          </w:p>
        </w:tc>
      </w:tr>
    </w:tbl>
    <w:p w14:paraId="2471621E" w14:textId="77777777" w:rsidR="007C1CDA" w:rsidRPr="001A0468" w:rsidRDefault="007C1CDA" w:rsidP="006D1F3D">
      <w:pPr>
        <w:pStyle w:val="MDPI43tablefooter"/>
        <w:ind w:left="0" w:firstLine="0"/>
      </w:pPr>
      <w:r>
        <w:t xml:space="preserve">Counts describe reports, not independent cohorts; modality categories overlap. GON, glaucomatous optic neuropathy; OCT, optical coherence tomography.</w:t>
      </w:r>
    </w:p>
    <w:p w14:paraId="154606C3" w14:textId="77777777" w:rsidR="007C1CDA" w:rsidRPr="001A0468" w:rsidRDefault="007C1CDA" w:rsidP="006D1F3D">
      <w:pPr>
        <w:pStyle w:val="MDPI22heading2"/>
        <w:spacing w:before="240"/>
      </w:pPr>
      <w:r>
        <w:t xml:space="preserve">3.3. Model Architectures and Diagnostic Tasks</w:t>
      </w:r>
    </w:p>
    <w:p w14:paraId="7EB1C0F3" w14:textId="77777777" w:rsidR="007C1CDA" w:rsidRPr="001A0468" w:rsidRDefault="007C1CDA" w:rsidP="006D1F3D">
      <w:pPr>
        <w:pStyle w:val="MDPI31text"/>
      </w:pPr>
      <w:r>
        <w:t xml:space="preserve">Architectures ranged from standard ViT, DeiT, CaiT, ConViT, and Swin implementations to foundation-model backbones (RETFound and DINOv2), convolution–transformer hybrids, transformer-assisted segmentation pipelines, dual-domain models, and multimodal cross-attention networks. Transformers were used for global image representation, local–global feature fusion, integration across OCT slices, combination of structural and functional data, and aggregation of segmented disc and cup information.</w:t>
      </w:r>
    </w:p>
    <w:p w14:paraId="7EB1C0F3" w14:textId="77777777" w:rsidR="007C1CDA" w:rsidRPr="001A0468" w:rsidRDefault="007C1CDA" w:rsidP="006D1F3D">
      <w:pPr>
        <w:pStyle w:val="MDPI31text"/>
      </w:pPr>
      <w:r>
        <w:t xml:space="preserve">Thirty-five reports addressed binary glaucoma, glaucomatous optic neuropathy (GON), or referable-glaucoma classification; ten addressed staging, grading, or suspect-related tasks; and ten used multidisease or multilabel classification. Multidisease reports often presented strong overall accuracy but few glaucoma-specific operating characteristics. Several reports segmented the disc and cup before classification, whereas others used segmentation, contours, or cup-to-disc information as auxiliary inputs.</w:t>
      </w:r>
    </w:p>
    <w:p w14:paraId="154606C3" w14:textId="77777777" w:rsidR="007C1CDA" w:rsidRPr="001A0468" w:rsidRDefault="007C1CDA" w:rsidP="006D1F3D">
      <w:pPr>
        <w:pStyle w:val="MDPI22heading2"/>
        <w:spacing w:before="240"/>
      </w:pPr>
      <w:r>
        <w:t xml:space="preserve">3.4. Reference Standards and Early-Disease Definitions</w:t>
      </w:r>
    </w:p>
    <w:p w14:paraId="7EB1C0F3" w14:textId="77777777" w:rsidR="007C1CDA" w:rsidRPr="001A0468" w:rsidRDefault="007C1CDA" w:rsidP="006D1F3D">
      <w:pPr>
        <w:pStyle w:val="MDPI31text"/>
      </w:pPr>
      <w:r>
        <w:t xml:space="preserve">Twenty-five reports used labels inherited from a repository, 4 mixed repository and clinical or expert labels, 9 surrogate or algorithmic thresholds, 7 a clinical or clinical-composite diagnosis, 6 an adjudicated, reading-centre, or multiple-expert reference, and 4 an unclear standard (Table S5). Inherited, mixed-repository, or surrogate labels therefore accounted for 38 of 55 reports (69.1%), and only 13 (23.6%) used a clinical or adjudicated reference standard.</w:t>
      </w:r>
    </w:p>
    <w:p w14:paraId="7EB1C0F3" w14:textId="77777777" w:rsidR="007C1CDA" w:rsidRPr="001A0468" w:rsidRDefault="007C1CDA" w:rsidP="006D1F3D">
      <w:pPr>
        <w:pStyle w:val="MDPI31text"/>
      </w:pPr>
      <w:r>
        <w:t xml:space="preserve">Thirty-nine reports (70.9%) neither defined nor analysed an early-disease or suspect state. Of the 16 reports making an early-stage, severity, or suspect-related claim, six used an operational mild or early perimetric definition [70,76,77,103,111,112], eight used an author-labelled early or staged category without reproducible criteria, and two analysed a glaucoma-suspect class as a risk state. Four of the six operational definitions applied a visual-field mean-deviation threshold of approximately −6 dB, and two used a named or report-defined visual-field staging system. No report provided separately extractable performance for preperimetric glaucoma.</w:t>
      </w:r>
    </w:p>
    <w:p w14:paraId="7EB1C0F3" w14:textId="77777777" w:rsidR="007C1CDA" w:rsidRPr="001A0468" w:rsidRDefault="007C1CDA" w:rsidP="006D1F3D">
      <w:pPr>
        <w:pStyle w:val="MDPI31text"/>
      </w:pPr>
      <w:r>
        <w:t xml:space="preserve">Two reports provided an extractable estimate of early-disease discrimination against non-glaucomatous eyes, but only one was credible for clinical inference. A DeiT model developed in the Ocular Hypertension Treatment Study (OHTS) cohort reported an area under the receiver operating characteristic curve (AUC) of 0.87 (95% confidence interval [CI], 0.80–0.91) for early glaucoma defined by mean deviation [70]. A second study reported an AUC of 1.00 in an explicitly mild cohort, but all glaucoma images came from one clinic whereas most controls came from public datasets, creating severe site-by-outcome confounding, and values differed between the abstract and tables; this estimate was therefore classified as extractable but not credible for clinical inference [111]. Two further reports used the same 300-examination GAMMA benchmark for three-level grading [76,77], and two multimodal clinical reports included staged participants without a separately extractable early-stage estimate [103,112]. The six operationally defined reports therefore did not constitute six independent validations of early-glaucoma detection.</w:t>
      </w:r>
    </w:p>
    <w:p w14:paraId="154606C3" w14:textId="77777777" w:rsidR="007C1CDA" w:rsidRPr="001A0468" w:rsidRDefault="007C1CDA" w:rsidP="006D1F3D">
      <w:pPr>
        <w:pStyle w:val="MDPI22heading2"/>
        <w:spacing w:before="240"/>
      </w:pPr>
      <w:r>
        <w:t xml:space="preserve">3.5. Validation Design and Diagnostic Performance</w:t>
      </w:r>
    </w:p>
    <w:p w14:paraId="7EB1C0F3" w14:textId="77777777" w:rsidR="007C1CDA" w:rsidRPr="001A0468" w:rsidRDefault="007C1CDA" w:rsidP="006D1F3D">
      <w:pPr>
        <w:pStyle w:val="MDPI31text"/>
      </w:pPr>
      <w:r>
        <w:t xml:space="preserve">Nine reports (16.4%) evaluated glaucoma detection on a distinct data source: eight used external or cross-dataset evaluation and one used leave-one-domain-out evaluation [70,72,85,94,99,100,102,104,113]. Only four combined distinct-source evaluation with confirmed participant-level separation. Of the remaining reports, 32 used a same-source held-out or fixed partition, 8 internal resampling only, 4 an unclear internal allocation, and 2 development-derived or validation-only results. Cross-dataset testing often changed both the image distribution and the outcome definition, so it assessed combined domain and label shift rather than performance against a uniform reference standard. Confidence intervals accompanied the extracted headline estimate in only six reports (10.9%; Table S4).</w:t>
      </w:r>
    </w:p>
    <w:p w14:paraId="7EB1C0F3" w14:textId="77777777" w:rsidR="007C1CDA" w:rsidRPr="001A0468" w:rsidRDefault="007C1CDA" w:rsidP="006D1F3D">
      <w:pPr>
        <w:pStyle w:val="MDPI31text"/>
      </w:pPr>
      <w:r>
        <w:t xml:space="preserve">Internal estimates varied widely across non-exchangeable tasks and datasets, and several near-perfect values arose from image-level splits of public or aggregated datasets, small test sets, synthetically augmented samples, or unreconciled denominators. More rigorous external testing exposed marked domain effects. In a foundation-model comparison, internal AUCs of 0.958 (DINOv2) and 0.940 (RETFound) fell to 0.625 and 0.558, respectively, on the external PAPILA dataset [99]. In a transformer comparison using ONH crops, the best internal balanced accuracy of 97.32% fell to 78.78–88.84% across three external datasets [72].</w:t>
      </w:r>
    </w:p>
    <w:p w14:paraId="7EB1C0F3" w14:textId="77777777" w:rsidR="007C1CDA" w:rsidRPr="001A0468" w:rsidRDefault="007C1CDA" w:rsidP="006D1F3D">
      <w:pPr>
        <w:pStyle w:val="MDPI31text"/>
      </w:pPr>
      <w:r>
        <w:t xml:space="preserve">Performance did not always degrade. A participant-separated study of individuals of African ancestry reported visit-level AUCs of 0.925 internally and 0.920 in an external Chinese dataset (REFUGE-1) [104]. A multidomain foundation model reported AUCs of approximately 0.88–0.99 under leave-one-domain-out evaluation, although source labels were heterogeneous [100], and a diffusion-augmented Swin model reported an internal AUC of 0.992 and zero-shot AUCs of 0.806–0.981 across ten external public datasets [113]. Cross-source performance is therefore achievable, but differences in labels, prevalence, devices, and recruitment pathways limit direct comparison.</w:t>
      </w:r>
    </w:p>
    <w:p w14:paraId="7EB1C0F3" w14:textId="77777777" w:rsidR="007C1CDA" w:rsidRPr="001A0468" w:rsidRDefault="007C1CDA" w:rsidP="006D1F3D">
      <w:pPr>
        <w:pStyle w:val="MDPI31text"/>
      </w:pPr>
      <w:r>
        <w:t xml:space="preserve">OCT and multimodal models also reported high discrimination, predominantly under internal evaluation. A paired OCT–visual-field transformer reported an AUC of 0.939 [69], and a participant-level cross-validated three-dimensional OCT model an AUC of 0.942 [83]. In a participant-held-out clinical cohort, a fundus-plus-OCT foundation model achieved an AUC of 0.94, compared with 0.93 for OCT and 0.86 for photographs alone [103], and a fundus–visual-field–OCT model reported an AUC of 0.981 under participant-grouped five-fold cross-validation [112]. In this small, internally evaluated body of evidence, multimodal models outperformed their single-modality comparators, but independent confirmation is lacking.</w:t>
      </w:r>
    </w:p>
    <w:p w14:paraId="7EB1C0F3" w14:textId="77777777" w:rsidR="007C1CDA" w:rsidRPr="001A0468" w:rsidRDefault="007C1CDA" w:rsidP="006D1F3D">
      <w:pPr>
        <w:pStyle w:val="MDPI31text"/>
      </w:pPr>
      <w:r>
        <w:t xml:space="preserve">Reported results were dominated by discrimination and threshold-dependent classification measures. No included report described a prospective, comparative, or implementation evaluation of a transformer-based screening pathway. Table 3 presents the reports that met the prespecified operational early-disease criterion, the distinct-source evaluation criterion, or both; complete results for all 55 reports are given in Table S4.</w:t>
      </w:r>
    </w:p>
    <w:p w14:paraId="2DC56296" w14:textId="77777777" w:rsidR="007C1CDA" w:rsidRPr="001A0468" w:rsidRDefault="007C1CDA" w:rsidP="006D1F3D">
      <w:pPr>
        <w:pStyle w:val="MDPI41tablecaption"/>
        <w:keepNext/>
        <w:ind w:left="0" w:firstLine="0"/>
      </w:pPr>
      <w:r>
        <w:rPr>
          <w:b/>
        </w:rPr>
        <w:t xml:space="preserve">Table 3.</w:t>
      </w:r>
      <w:r>
        <w:t xml:space="preserve"> Reports with an operational mild/early glaucoma definition and/or evaluation on a distinct data source.</w:t>
      </w:r>
    </w:p>
    <w:tbl>
      <w:tblPr>
        <w:tblW w:w="10466" w:type="dxa"/>
        <w:jc w:val="center"/>
        <w:tblBorders>
          <w:top w:val="single" w:sz="8" w:space="0" w:color="auto"/>
          <w:bottom w:val="single" w:sz="8" w:space="0" w:color="auto"/>
        </w:tblBorders>
        <w:tblLayout w:type="fixed"/>
        <w:tblCellMar>
          <w:left w:w="57" w:type="dxa"/>
          <w:right w:w="57" w:type="dxa"/>
        </w:tblCellMar>
        <w:tblLook w:val="04A0"/>
      </w:tblPr>
      <w:tblGrid>
        <w:gridCol w:w="1750"/>
        <w:gridCol w:w="3350"/>
        <w:gridCol w:w="3000"/>
        <w:gridCol w:w="2366"/>
      </w:tblGrid>
      <w:tr>
        <w:trPr>
          <w:cantSplit/>
          <w:tblHeader/>
        </w:trPr>
        <w:tc>
          <w:tcPr>
            <w:tcW w:w="1750" w:type="dxa"/>
            <w:tcBorders>
              <w:bottom w:val="single" w:sz="4" w:space="0" w:color="auto"/>
            </w:tcBorders>
            <w:vAlign w:val="center"/>
          </w:tcPr>
          <w:p>
            <w:pPr>
              <w:pStyle w:val="MDPI42tablebody"/>
              <w:spacing w:line="240" w:lineRule="auto"/>
              <w:jc w:val="center"/>
            </w:pPr>
            <w:r>
              <w:rPr>
                <w:b/>
              </w:rPr>
              <w:t xml:space="preserve">Report</w:t>
            </w:r>
          </w:p>
        </w:tc>
        <w:tc>
          <w:tcPr>
            <w:tcW w:w="3350" w:type="dxa"/>
            <w:tcBorders>
              <w:bottom w:val="single" w:sz="4" w:space="0" w:color="auto"/>
            </w:tcBorders>
            <w:vAlign w:val="center"/>
          </w:tcPr>
          <w:p>
            <w:pPr>
              <w:pStyle w:val="MDPI42tablebody"/>
              <w:spacing w:line="240" w:lineRule="auto"/>
              <w:jc w:val="center"/>
            </w:pPr>
            <w:r>
              <w:rPr>
                <w:b/>
              </w:rPr>
              <w:t xml:space="preserve">Data, task, and reference standard</w:t>
            </w:r>
          </w:p>
        </w:tc>
        <w:tc>
          <w:tcPr>
            <w:tcW w:w="3000" w:type="dxa"/>
            <w:tcBorders>
              <w:bottom w:val="single" w:sz="4" w:space="0" w:color="auto"/>
            </w:tcBorders>
            <w:vAlign w:val="center"/>
          </w:tcPr>
          <w:p>
            <w:pPr>
              <w:pStyle w:val="MDPI42tablebody"/>
              <w:spacing w:line="240" w:lineRule="auto"/>
              <w:jc w:val="center"/>
            </w:pPr>
            <w:r>
              <w:rPr>
                <w:b/>
              </w:rPr>
              <w:t xml:space="preserve">Validation and reported performance (95% CI)</w:t>
            </w:r>
          </w:p>
        </w:tc>
        <w:tc>
          <w:tcPr>
            <w:tcW w:w="2366" w:type="dxa"/>
            <w:tcBorders>
              <w:bottom w:val="single" w:sz="4" w:space="0" w:color="auto"/>
            </w:tcBorders>
            <w:vAlign w:val="center"/>
          </w:tcPr>
          <w:p>
            <w:pPr>
              <w:pStyle w:val="MDPI42tablebody"/>
              <w:spacing w:line="240" w:lineRule="auto"/>
              <w:jc w:val="center"/>
            </w:pPr>
            <w:r>
              <w:rPr>
                <w:b/>
              </w:rPr>
              <w:t xml:space="preserve">Principal strength or limitation</w:t>
            </w:r>
          </w:p>
        </w:tc>
      </w:tr>
      <w:tr>
        <w:trPr>
          <w:cantSplit/>
        </w:trPr>
        <w:tc>
          <w:tcPr>
            <w:tcW w:w="1750" w:type="dxa"/>
            <w:vAlign w:val="center"/>
          </w:tcPr>
          <w:p>
            <w:pPr>
              <w:pStyle w:val="MDPI42tablebody"/>
              <w:spacing w:line="240" w:lineRule="auto"/>
              <w:jc w:val="left"/>
            </w:pPr>
            <w:r>
              <w:t xml:space="preserve">Fan et al., 2023 [70]</w:t>
            </w:r>
          </w:p>
        </w:tc>
        <w:tc>
          <w:tcPr>
            <w:tcW w:w="3350" w:type="dxa"/>
            <w:vAlign w:val="center"/>
          </w:tcPr>
          <w:p>
            <w:pPr>
              <w:pStyle w:val="MDPI42tablebody"/>
              <w:spacing w:line="240" w:lineRule="auto"/>
              <w:jc w:val="left"/>
            </w:pPr>
            <w:r>
              <w:t xml:space="preserve">OHTS + DIGS, ACRIMA, LAG, RIM-ONE, ORIGA; POAG detection under five outcome definitions. Reference: OHTS endpoint committee and reading centres (disc and/or reproducible visual-field change).</w:t>
            </w:r>
          </w:p>
        </w:tc>
        <w:tc>
          <w:tcPr>
            <w:tcW w:w="3000" w:type="dxa"/>
            <w:vAlign w:val="center"/>
          </w:tcPr>
          <w:p>
            <w:pPr>
              <w:pStyle w:val="MDPI42tablebody"/>
              <w:spacing w:line="240" w:lineRule="auto"/>
              <w:jc w:val="left"/>
            </w:pPr>
            <w:r>
              <w:t xml:space="preserve">External; participant-level. OHTS AUC 0.82–0.91; main endpoint 0.88 (0.82–0.92); early glaucoma 0.87 (0.80–0.91); external AUC 0.73–0.91.</w:t>
            </w:r>
          </w:p>
        </w:tc>
        <w:tc>
          <w:tcPr>
            <w:tcW w:w="2366" w:type="dxa"/>
            <w:vAlign w:val="center"/>
          </w:tcPr>
          <w:p>
            <w:pPr>
              <w:pStyle w:val="MDPI42tablebody"/>
              <w:spacing w:line="240" w:lineRule="auto"/>
              <w:jc w:val="left"/>
            </w:pPr>
            <w:r>
              <w:t xml:space="preserve">Strongest early-disease and generalisability evidence; external labels varied by dataset.</w:t>
            </w:r>
          </w:p>
        </w:tc>
      </w:tr>
      <w:tr>
        <w:trPr>
          <w:cantSplit/>
        </w:trPr>
        <w:tc>
          <w:tcPr>
            <w:tcW w:w="1750" w:type="dxa"/>
            <w:vAlign w:val="center"/>
          </w:tcPr>
          <w:p>
            <w:pPr>
              <w:pStyle w:val="MDPI42tablebody"/>
              <w:spacing w:line="240" w:lineRule="auto"/>
              <w:jc w:val="left"/>
            </w:pPr>
            <w:r>
              <w:t xml:space="preserve">Alayón et al., 2023 [72]</w:t>
            </w:r>
          </w:p>
        </w:tc>
        <w:tc>
          <w:tcPr>
            <w:tcW w:w="3350" w:type="dxa"/>
            <w:vAlign w:val="center"/>
          </w:tcPr>
          <w:p>
            <w:pPr>
              <w:pStyle w:val="MDPI42tablebody"/>
              <w:spacing w:line="240" w:lineRule="auto"/>
              <w:jc w:val="left"/>
            </w:pPr>
            <w:r>
              <w:t xml:space="preserve">RIM-ONE DL + private development; REFUGE, DRISHTI-GS, PAPILA external; binary classification. Reference: dataset-specific labels.</w:t>
            </w:r>
          </w:p>
        </w:tc>
        <w:tc>
          <w:tcPr>
            <w:tcW w:w="3000" w:type="dxa"/>
            <w:vAlign w:val="center"/>
          </w:tcPr>
          <w:p>
            <w:pPr>
              <w:pStyle w:val="MDPI42tablebody"/>
              <w:spacing w:line="240" w:lineRule="auto"/>
              <w:jc w:val="left"/>
            </w:pPr>
            <w:r>
              <w:t xml:space="preserve">External; image/eye-level. Internal balanced accuracy 97.32%; external best transformer 88.84% (REFUGE), 83.02% (DRISHTI-GS), 78.78% (PAPILA).</w:t>
            </w:r>
          </w:p>
        </w:tc>
        <w:tc>
          <w:tcPr>
            <w:tcW w:w="2366" w:type="dxa"/>
            <w:vAlign w:val="center"/>
          </w:tcPr>
          <w:p>
            <w:pPr>
              <w:pStyle w:val="MDPI42tablebody"/>
              <w:spacing w:line="240" w:lineRule="auto"/>
              <w:jc w:val="left"/>
            </w:pPr>
            <w:r>
              <w:t xml:space="preserve">Informative cross-dataset test; image-level allocation and non-equivalent labels.</w:t>
            </w:r>
          </w:p>
        </w:tc>
      </w:tr>
      <w:tr>
        <w:trPr>
          <w:cantSplit/>
        </w:trPr>
        <w:tc>
          <w:tcPr>
            <w:tcW w:w="1750" w:type="dxa"/>
            <w:vAlign w:val="center"/>
          </w:tcPr>
          <w:p>
            <w:pPr>
              <w:pStyle w:val="MDPI42tablebody"/>
              <w:spacing w:line="240" w:lineRule="auto"/>
              <w:jc w:val="left"/>
            </w:pPr>
            <w:r>
              <w:t xml:space="preserve">Wang et al., 2023 [76]</w:t>
            </w:r>
          </w:p>
        </w:tc>
        <w:tc>
          <w:tcPr>
            <w:tcW w:w="3350" w:type="dxa"/>
            <w:vAlign w:val="center"/>
          </w:tcPr>
          <w:p>
            <w:pPr>
              <w:pStyle w:val="MDPI42tablebody"/>
              <w:spacing w:line="240" w:lineRule="auto"/>
              <w:jc w:val="left"/>
            </w:pPr>
            <w:r>
              <w:t xml:space="preserve">GAMMA; three-level grading. Reference: GAMMA labels integrating fundus, OCT, and visual field.</w:t>
            </w:r>
          </w:p>
        </w:tc>
        <w:tc>
          <w:tcPr>
            <w:tcW w:w="3000" w:type="dxa"/>
            <w:vAlign w:val="center"/>
          </w:tcPr>
          <w:p>
            <w:pPr>
              <w:pStyle w:val="MDPI42tablebody"/>
              <w:spacing w:line="240" w:lineRule="auto"/>
              <w:jc w:val="left"/>
            </w:pPr>
            <w:r>
              <w:t xml:space="preserve">Same-source held-out; split unclear. Grading performance reported; diagnostic point estimates NR.</w:t>
            </w:r>
          </w:p>
        </w:tc>
        <w:tc>
          <w:tcPr>
            <w:tcW w:w="2366" w:type="dxa"/>
            <w:vAlign w:val="center"/>
          </w:tcPr>
          <w:p>
            <w:pPr>
              <w:pStyle w:val="MDPI42tablebody"/>
              <w:spacing w:line="240" w:lineRule="auto"/>
              <w:jc w:val="left"/>
            </w:pPr>
            <w:r>
              <w:t xml:space="preserve">Operational staging; small shared benchmark with unclear split level.</w:t>
            </w:r>
          </w:p>
        </w:tc>
      </w:tr>
      <w:tr>
        <w:trPr>
          <w:cantSplit/>
        </w:trPr>
        <w:tc>
          <w:tcPr>
            <w:tcW w:w="1750" w:type="dxa"/>
            <w:vAlign w:val="center"/>
          </w:tcPr>
          <w:p>
            <w:pPr>
              <w:pStyle w:val="MDPI42tablebody"/>
              <w:spacing w:line="240" w:lineRule="auto"/>
              <w:jc w:val="left"/>
            </w:pPr>
            <w:r>
              <w:t xml:space="preserve">Wu et al., 2023 [77]</w:t>
            </w:r>
          </w:p>
        </w:tc>
        <w:tc>
          <w:tcPr>
            <w:tcW w:w="3350" w:type="dxa"/>
            <w:vAlign w:val="center"/>
          </w:tcPr>
          <w:p>
            <w:pPr>
              <w:pStyle w:val="MDPI42tablebody"/>
              <w:spacing w:line="240" w:lineRule="auto"/>
              <w:jc w:val="left"/>
            </w:pPr>
            <w:r>
              <w:t xml:space="preserve">GAMMA; three-level grading. Reference: challenge reference integrating structure and function.</w:t>
            </w:r>
          </w:p>
        </w:tc>
        <w:tc>
          <w:tcPr>
            <w:tcW w:w="3000" w:type="dxa"/>
            <w:vAlign w:val="center"/>
          </w:tcPr>
          <w:p>
            <w:pPr>
              <w:pStyle w:val="MDPI42tablebody"/>
              <w:spacing w:line="240" w:lineRule="auto"/>
              <w:jc w:val="left"/>
            </w:pPr>
            <w:r>
              <w:t xml:space="preserve">Same-source held-out; split unclear. Leading quadratic-weighted kappa 0.8477.</w:t>
            </w:r>
          </w:p>
        </w:tc>
        <w:tc>
          <w:tcPr>
            <w:tcW w:w="2366" w:type="dxa"/>
            <w:vAlign w:val="center"/>
          </w:tcPr>
          <w:p>
            <w:pPr>
              <w:pStyle w:val="MDPI42tablebody"/>
              <w:spacing w:line="240" w:lineRule="auto"/>
              <w:jc w:val="left"/>
            </w:pPr>
            <w:r>
              <w:t xml:space="preserve">Well-defined challenge hold-out; cohort overlaps [76]; not an external clinical cohort.</w:t>
            </w:r>
          </w:p>
        </w:tc>
      </w:tr>
      <w:tr>
        <w:trPr>
          <w:cantSplit/>
        </w:trPr>
        <w:tc>
          <w:tcPr>
            <w:tcW w:w="1750" w:type="dxa"/>
            <w:vAlign w:val="center"/>
          </w:tcPr>
          <w:p>
            <w:pPr>
              <w:pStyle w:val="MDPI42tablebody"/>
              <w:spacing w:line="240" w:lineRule="auto"/>
              <w:jc w:val="left"/>
            </w:pPr>
            <w:r>
              <w:t xml:space="preserve">Das et al., 2025 [85]</w:t>
            </w:r>
          </w:p>
        </w:tc>
        <w:tc>
          <w:tcPr>
            <w:tcW w:w="3350" w:type="dxa"/>
            <w:vAlign w:val="center"/>
          </w:tcPr>
          <w:p>
            <w:pPr>
              <w:pStyle w:val="MDPI42tablebody"/>
              <w:spacing w:line="240" w:lineRule="auto"/>
              <w:jc w:val="left"/>
            </w:pPr>
            <w:r>
              <w:t xml:space="preserve">Benchmark development set + unseen dataset; multistage classification. Reference: dataset-specific stage labels.</w:t>
            </w:r>
          </w:p>
        </w:tc>
        <w:tc>
          <w:tcPr>
            <w:tcW w:w="3000" w:type="dxa"/>
            <w:vAlign w:val="center"/>
          </w:tcPr>
          <w:p>
            <w:pPr>
              <w:pStyle w:val="MDPI42tablebody"/>
              <w:spacing w:line="240" w:lineRule="auto"/>
              <w:jc w:val="left"/>
            </w:pPr>
            <w:r>
              <w:t xml:space="preserve">External; split unclear. Dataset-specific point estimates NR.</w:t>
            </w:r>
          </w:p>
        </w:tc>
        <w:tc>
          <w:tcPr>
            <w:tcW w:w="2366" w:type="dxa"/>
            <w:vAlign w:val="center"/>
          </w:tcPr>
          <w:p>
            <w:pPr>
              <w:pStyle w:val="MDPI42tablebody"/>
              <w:spacing w:line="240" w:lineRule="auto"/>
              <w:jc w:val="left"/>
            </w:pPr>
            <w:r>
              <w:t xml:space="preserve">Unseen-dataset design; provenance, stage definition, and split insufficiently reported.</w:t>
            </w:r>
          </w:p>
        </w:tc>
      </w:tr>
      <w:tr>
        <w:trPr>
          <w:cantSplit/>
        </w:trPr>
        <w:tc>
          <w:tcPr>
            <w:tcW w:w="1750" w:type="dxa"/>
            <w:vAlign w:val="center"/>
          </w:tcPr>
          <w:p>
            <w:pPr>
              <w:pStyle w:val="MDPI42tablebody"/>
              <w:spacing w:line="240" w:lineRule="auto"/>
              <w:jc w:val="left"/>
            </w:pPr>
            <w:r>
              <w:t xml:space="preserve">Prakash and Vinoth Kumar, 2025 [94]</w:t>
            </w:r>
          </w:p>
        </w:tc>
        <w:tc>
          <w:tcPr>
            <w:tcW w:w="3350" w:type="dxa"/>
            <w:vAlign w:val="center"/>
          </w:tcPr>
          <w:p>
            <w:pPr>
              <w:pStyle w:val="MDPI42tablebody"/>
              <w:spacing w:line="240" w:lineRule="auto"/>
              <w:jc w:val="left"/>
            </w:pPr>
            <w:r>
              <w:t xml:space="preserve">DRISHTI-GS1, RIM-ONE, ORIGA-Light; segmentation and binary classification. Reference: inherited labels and masks.</w:t>
            </w:r>
          </w:p>
        </w:tc>
        <w:tc>
          <w:tcPr>
            <w:tcW w:w="3000" w:type="dxa"/>
            <w:vAlign w:val="center"/>
          </w:tcPr>
          <w:p>
            <w:pPr>
              <w:pStyle w:val="MDPI42tablebody"/>
              <w:spacing w:line="240" w:lineRule="auto"/>
              <w:jc w:val="left"/>
            </w:pPr>
            <w:r>
              <w:t xml:space="preserve">External; image/eye-level. RIM-ONE accuracy 98.7%, AUC 0.983; ORIGA-Light accuracy 99.1%; reciprocal cross-dataset accuracy ≈97%.</w:t>
            </w:r>
          </w:p>
        </w:tc>
        <w:tc>
          <w:tcPr>
            <w:tcW w:w="2366" w:type="dxa"/>
            <w:vAlign w:val="center"/>
          </w:tcPr>
          <w:p>
            <w:pPr>
              <w:pStyle w:val="MDPI42tablebody"/>
              <w:spacing w:line="240" w:lineRule="auto"/>
              <w:jc w:val="left"/>
            </w:pPr>
            <w:r>
              <w:t xml:space="preserve">Very small repositories, surrogate labels, and internal table inconsistencies.</w:t>
            </w:r>
          </w:p>
        </w:tc>
      </w:tr>
      <w:tr>
        <w:trPr>
          <w:cantSplit/>
        </w:trPr>
        <w:tc>
          <w:tcPr>
            <w:tcW w:w="1750" w:type="dxa"/>
            <w:vAlign w:val="center"/>
          </w:tcPr>
          <w:p>
            <w:pPr>
              <w:pStyle w:val="MDPI42tablebody"/>
              <w:spacing w:line="240" w:lineRule="auto"/>
              <w:jc w:val="left"/>
            </w:pPr>
            <w:r>
              <w:t xml:space="preserve">Hou et al., 2026 [99]</w:t>
            </w:r>
          </w:p>
        </w:tc>
        <w:tc>
          <w:tcPr>
            <w:tcW w:w="3350" w:type="dxa"/>
            <w:vAlign w:val="center"/>
          </w:tcPr>
          <w:p>
            <w:pPr>
              <w:pStyle w:val="MDPI42tablebody"/>
              <w:spacing w:line="240" w:lineRule="auto"/>
              <w:jc w:val="left"/>
            </w:pPr>
            <w:r>
              <w:t xml:space="preserve">Glaucoma_fundus development + PAPILA external; binary classification in a multidisease study. Reference: dataset-native labels.</w:t>
            </w:r>
          </w:p>
        </w:tc>
        <w:tc>
          <w:tcPr>
            <w:tcW w:w="3000" w:type="dxa"/>
            <w:vAlign w:val="center"/>
          </w:tcPr>
          <w:p>
            <w:pPr>
              <w:pStyle w:val="MDPI42tablebody"/>
              <w:spacing w:line="240" w:lineRule="auto"/>
              <w:jc w:val="left"/>
            </w:pPr>
            <w:r>
              <w:t xml:space="preserve">External; split unclear. Internal AUC 0.958 (DINOv2) vs. 0.940 (RETFound); external 0.625 vs. 0.558.</w:t>
            </w:r>
          </w:p>
        </w:tc>
        <w:tc>
          <w:tcPr>
            <w:tcW w:w="2366" w:type="dxa"/>
            <w:vAlign w:val="center"/>
          </w:tcPr>
          <w:p>
            <w:pPr>
              <w:pStyle w:val="MDPI42tablebody"/>
              <w:spacing w:line="240" w:lineRule="auto"/>
              <w:jc w:val="left"/>
            </w:pPr>
            <w:r>
              <w:t xml:space="preserve">Large external drop: internal discrimination did not transport.</w:t>
            </w:r>
          </w:p>
        </w:tc>
      </w:tr>
      <w:tr>
        <w:trPr>
          <w:cantSplit/>
        </w:trPr>
        <w:tc>
          <w:tcPr>
            <w:tcW w:w="1750" w:type="dxa"/>
            <w:vAlign w:val="center"/>
          </w:tcPr>
          <w:p>
            <w:pPr>
              <w:pStyle w:val="MDPI42tablebody"/>
              <w:spacing w:line="240" w:lineRule="auto"/>
              <w:jc w:val="left"/>
            </w:pPr>
            <w:r>
              <w:t xml:space="preserve">Abramovich et al., 2026 [100]</w:t>
            </w:r>
          </w:p>
        </w:tc>
        <w:tc>
          <w:tcPr>
            <w:tcW w:w="3350" w:type="dxa"/>
            <w:vAlign w:val="center"/>
          </w:tcPr>
          <w:p>
            <w:pPr>
              <w:pStyle w:val="MDPI42tablebody"/>
              <w:spacing w:line="240" w:lineRule="auto"/>
              <w:jc w:val="left"/>
            </w:pPr>
            <w:r>
              <w:t xml:space="preserve">KULRD, HYRD/HYGD, PAPILA, DRISHTI-GS, REFUGE/2, GAMMA; binary GON detection. Reference: dataset-specific specialist/repository labels; suspects/OHT excluded.</w:t>
            </w:r>
          </w:p>
        </w:tc>
        <w:tc>
          <w:tcPr>
            <w:tcW w:w="3000" w:type="dxa"/>
            <w:vAlign w:val="center"/>
          </w:tcPr>
          <w:p>
            <w:pPr>
              <w:pStyle w:val="MDPI42tablebody"/>
              <w:spacing w:line="240" w:lineRule="auto"/>
              <w:jc w:val="left"/>
            </w:pPr>
            <w:r>
              <w:t xml:space="preserve">Leave-one-domain-out; participant-level. AUC ≈0.88–0.99 across domains.</w:t>
            </w:r>
          </w:p>
        </w:tc>
        <w:tc>
          <w:tcPr>
            <w:tcW w:w="2366" w:type="dxa"/>
            <w:vAlign w:val="center"/>
          </w:tcPr>
          <w:p>
            <w:pPr>
              <w:pStyle w:val="MDPI42tablebody"/>
              <w:spacing w:line="240" w:lineRule="auto"/>
              <w:jc w:val="left"/>
            </w:pPr>
            <w:r>
              <w:t xml:space="preserve">Large multidomain evaluation; heterogeneous target labels.</w:t>
            </w:r>
          </w:p>
        </w:tc>
      </w:tr>
      <w:tr>
        <w:trPr>
          <w:cantSplit/>
        </w:trPr>
        <w:tc>
          <w:tcPr>
            <w:tcW w:w="1750" w:type="dxa"/>
            <w:vAlign w:val="center"/>
          </w:tcPr>
          <w:p>
            <w:pPr>
              <w:pStyle w:val="MDPI42tablebody"/>
              <w:spacing w:line="240" w:lineRule="auto"/>
              <w:jc w:val="left"/>
            </w:pPr>
            <w:r>
              <w:t xml:space="preserve">Bolo et al., 2026 [102]</w:t>
            </w:r>
          </w:p>
        </w:tc>
        <w:tc>
          <w:tcPr>
            <w:tcW w:w="3350" w:type="dxa"/>
            <w:vAlign w:val="center"/>
          </w:tcPr>
          <w:p>
            <w:pPr>
              <w:pStyle w:val="MDPI42tablebody"/>
              <w:spacing w:line="240" w:lineRule="auto"/>
              <w:jc w:val="left"/>
            </w:pPr>
            <w:r>
              <w:t xml:space="preserve">LAC-DHS development + USC external; referable glaucoma. Reference: CDR ≥ 0.6; optometrist (development) and specialist (test) labels.</w:t>
            </w:r>
          </w:p>
        </w:tc>
        <w:tc>
          <w:tcPr>
            <w:tcW w:w="3000" w:type="dxa"/>
            <w:vAlign w:val="center"/>
          </w:tcPr>
          <w:p>
            <w:pPr>
              <w:pStyle w:val="MDPI42tablebody"/>
              <w:spacing w:line="240" w:lineRule="auto"/>
              <w:jc w:val="left"/>
            </w:pPr>
            <w:r>
              <w:t xml:space="preserve">External; participant-level. RETFound internal AUC 0.915 (0.898–0.930); external performance reported separately.</w:t>
            </w:r>
          </w:p>
        </w:tc>
        <w:tc>
          <w:tcPr>
            <w:tcW w:w="2366" w:type="dxa"/>
            <w:vAlign w:val="center"/>
          </w:tcPr>
          <w:p>
            <w:pPr>
              <w:pStyle w:val="MDPI42tablebody"/>
              <w:spacing w:line="240" w:lineRule="auto"/>
              <w:jc w:val="left"/>
            </w:pPr>
            <w:r>
              <w:t xml:space="preserve">Robust design; target was a morphological referral threshold, not clinical glaucoma.</w:t>
            </w:r>
          </w:p>
        </w:tc>
      </w:tr>
      <w:tr>
        <w:trPr>
          <w:cantSplit/>
        </w:trPr>
        <w:tc>
          <w:tcPr>
            <w:tcW w:w="1750" w:type="dxa"/>
            <w:vAlign w:val="center"/>
          </w:tcPr>
          <w:p>
            <w:pPr>
              <w:pStyle w:val="MDPI42tablebody"/>
              <w:spacing w:line="240" w:lineRule="auto"/>
              <w:jc w:val="left"/>
            </w:pPr>
            <w:r>
              <w:t xml:space="preserve">Chuter et al., 2026 [103]</w:t>
            </w:r>
          </w:p>
        </w:tc>
        <w:tc>
          <w:tcPr>
            <w:tcW w:w="3350" w:type="dxa"/>
            <w:vAlign w:val="center"/>
          </w:tcPr>
          <w:p>
            <w:pPr>
              <w:pStyle w:val="MDPI42tablebody"/>
              <w:spacing w:line="240" w:lineRule="auto"/>
              <w:jc w:val="left"/>
            </w:pPr>
            <w:r>
              <w:t xml:space="preserve">DIGS/ADAGES; binary GON detection with severity analysis. Reference: photographic GON with or without repeatable visual-field loss.</w:t>
            </w:r>
          </w:p>
        </w:tc>
        <w:tc>
          <w:tcPr>
            <w:tcW w:w="3000" w:type="dxa"/>
            <w:vAlign w:val="center"/>
          </w:tcPr>
          <w:p>
            <w:pPr>
              <w:pStyle w:val="MDPI42tablebody"/>
              <w:spacing w:line="240" w:lineRule="auto"/>
              <w:jc w:val="left"/>
            </w:pPr>
            <w:r>
              <w:t xml:space="preserve">Same-source held-out; participant-level. Multimodal AUC 0.94 (0.91–0.97); OCT 0.93; photographs 0.86.</w:t>
            </w:r>
          </w:p>
        </w:tc>
        <w:tc>
          <w:tcPr>
            <w:tcW w:w="2366" w:type="dxa"/>
            <w:vAlign w:val="center"/>
          </w:tcPr>
          <w:p>
            <w:pPr>
              <w:pStyle w:val="MDPI42tablebody"/>
              <w:spacing w:line="240" w:lineRule="auto"/>
              <w:jc w:val="left"/>
            </w:pPr>
            <w:r>
              <w:t xml:space="preserve">Clinical outcome and patient-level split; no independent-centre test.</w:t>
            </w:r>
          </w:p>
        </w:tc>
      </w:tr>
      <w:tr>
        <w:trPr>
          <w:cantSplit/>
        </w:trPr>
        <w:tc>
          <w:tcPr>
            <w:tcW w:w="1750" w:type="dxa"/>
            <w:vAlign w:val="center"/>
          </w:tcPr>
          <w:p>
            <w:pPr>
              <w:pStyle w:val="MDPI42tablebody"/>
              <w:spacing w:line="240" w:lineRule="auto"/>
              <w:jc w:val="left"/>
            </w:pPr>
            <w:r>
              <w:t xml:space="preserve">Li et al., 2026 [104]</w:t>
            </w:r>
          </w:p>
        </w:tc>
        <w:tc>
          <w:tcPr>
            <w:tcW w:w="3350" w:type="dxa"/>
            <w:vAlign w:val="center"/>
          </w:tcPr>
          <w:p>
            <w:pPr>
              <w:pStyle w:val="MDPI42tablebody"/>
              <w:spacing w:line="240" w:lineRule="auto"/>
              <w:jc w:val="left"/>
            </w:pPr>
            <w:r>
              <w:t xml:space="preserve">POAAGG development + REFUGE-1 external; binary POAG. Reference: open angles, characteristic optic nerve damage, and corresponding visual-field loss.</w:t>
            </w:r>
          </w:p>
        </w:tc>
        <w:tc>
          <w:tcPr>
            <w:tcW w:w="3000" w:type="dxa"/>
            <w:vAlign w:val="center"/>
          </w:tcPr>
          <w:p>
            <w:pPr>
              <w:pStyle w:val="MDPI42tablebody"/>
              <w:spacing w:line="240" w:lineRule="auto"/>
              <w:jc w:val="left"/>
            </w:pPr>
            <w:r>
              <w:t xml:space="preserve">External; participant-level. Visit-level AUC 0.925 internal; 0.920 external.</w:t>
            </w:r>
          </w:p>
        </w:tc>
        <w:tc>
          <w:tcPr>
            <w:tcW w:w="2366" w:type="dxa"/>
            <w:vAlign w:val="center"/>
          </w:tcPr>
          <w:p>
            <w:pPr>
              <w:pStyle w:val="MDPI42tablebody"/>
              <w:spacing w:line="240" w:lineRule="auto"/>
              <w:jc w:val="left"/>
            </w:pPr>
            <w:r>
              <w:t xml:space="preserve">Large ancestry-focused clinical cohort; early-stage and calibration evidence limited.</w:t>
            </w:r>
          </w:p>
        </w:tc>
      </w:tr>
      <w:tr>
        <w:trPr>
          <w:cantSplit/>
        </w:trPr>
        <w:tc>
          <w:tcPr>
            <w:tcW w:w="1750" w:type="dxa"/>
            <w:vAlign w:val="center"/>
          </w:tcPr>
          <w:p>
            <w:pPr>
              <w:pStyle w:val="MDPI42tablebody"/>
              <w:spacing w:line="240" w:lineRule="auto"/>
              <w:jc w:val="left"/>
            </w:pPr>
            <w:r>
              <w:t xml:space="preserve">Bouris et al., 2026 [111]</w:t>
            </w:r>
          </w:p>
        </w:tc>
        <w:tc>
          <w:tcPr>
            <w:tcW w:w="3350" w:type="dxa"/>
            <w:vAlign w:val="center"/>
          </w:tcPr>
          <w:p>
            <w:pPr>
              <w:pStyle w:val="MDPI42tablebody"/>
              <w:spacing w:line="240" w:lineRule="auto"/>
              <w:jc w:val="left"/>
            </w:pPr>
            <w:r>
              <w:t xml:space="preserve">UCLA early POAG + ACRIMA/RIM-ONE controls; binary GON. Reference: two glaucoma specialists with third-grader adjudication.</w:t>
            </w:r>
          </w:p>
        </w:tc>
        <w:tc>
          <w:tcPr>
            <w:tcW w:w="3000" w:type="dxa"/>
            <w:vAlign w:val="center"/>
          </w:tcPr>
          <w:p>
            <w:pPr>
              <w:pStyle w:val="MDPI42tablebody"/>
              <w:spacing w:line="240" w:lineRule="auto"/>
              <w:jc w:val="left"/>
            </w:pPr>
            <w:r>
              <w:t xml:space="preserve">Same-source held-out; image/eye-level. Abstract AUC 1.00, sensitivity 0.994, specificity 0.969; table values differ.</w:t>
            </w:r>
          </w:p>
        </w:tc>
        <w:tc>
          <w:tcPr>
            <w:tcW w:w="2366" w:type="dxa"/>
            <w:vAlign w:val="center"/>
          </w:tcPr>
          <w:p>
            <w:pPr>
              <w:pStyle w:val="MDPI42tablebody"/>
              <w:spacing w:line="240" w:lineRule="auto"/>
              <w:jc w:val="left"/>
            </w:pPr>
            <w:r>
              <w:t xml:space="preserve">Explicit early disease; near-complete site-by-class confounding; early estimate not credible for clinical inference.</w:t>
            </w:r>
          </w:p>
        </w:tc>
      </w:tr>
      <w:tr>
        <w:trPr>
          <w:cantSplit/>
        </w:trPr>
        <w:tc>
          <w:tcPr>
            <w:tcW w:w="1750" w:type="dxa"/>
            <w:vAlign w:val="center"/>
          </w:tcPr>
          <w:p>
            <w:pPr>
              <w:pStyle w:val="MDPI42tablebody"/>
              <w:spacing w:line="240" w:lineRule="auto"/>
              <w:jc w:val="left"/>
            </w:pPr>
            <w:r>
              <w:t xml:space="preserve">Hasan et al., 2026 [112]</w:t>
            </w:r>
          </w:p>
        </w:tc>
        <w:tc>
          <w:tcPr>
            <w:tcW w:w="3350" w:type="dxa"/>
            <w:vAlign w:val="center"/>
          </w:tcPr>
          <w:p>
            <w:pPr>
              <w:pStyle w:val="MDPI42tablebody"/>
              <w:spacing w:line="240" w:lineRule="auto"/>
              <w:jc w:val="left"/>
            </w:pPr>
            <w:r>
              <w:t xml:space="preserve">CFEH clinical cohort; diagnosis and staging. Reference: clinical record with second-expert review; Mills visual-field staging.</w:t>
            </w:r>
          </w:p>
        </w:tc>
        <w:tc>
          <w:tcPr>
            <w:tcW w:w="3000" w:type="dxa"/>
            <w:vAlign w:val="center"/>
          </w:tcPr>
          <w:p>
            <w:pPr>
              <w:pStyle w:val="MDPI42tablebody"/>
              <w:spacing w:line="240" w:lineRule="auto"/>
              <w:jc w:val="left"/>
            </w:pPr>
            <w:r>
              <w:t xml:space="preserve">Internal resampling; participant-level. Fundus + visual field + OCT AUC 0.981 (0.966–0.996).</w:t>
            </w:r>
          </w:p>
        </w:tc>
        <w:tc>
          <w:tcPr>
            <w:tcW w:w="2366" w:type="dxa"/>
            <w:vAlign w:val="center"/>
          </w:tcPr>
          <w:p>
            <w:pPr>
              <w:pStyle w:val="MDPI42tablebody"/>
              <w:spacing w:line="240" w:lineRule="auto"/>
              <w:jc w:val="left"/>
            </w:pPr>
            <w:r>
              <w:t xml:space="preserve">Explicit staging and multimodal fusion; case–control design without independent test.</w:t>
            </w:r>
          </w:p>
        </w:tc>
      </w:tr>
      <w:tr>
        <w:trPr>
          <w:cantSplit/>
        </w:trPr>
        <w:tc>
          <w:tcPr>
            <w:tcW w:w="1750" w:type="dxa"/>
            <w:vAlign w:val="center"/>
          </w:tcPr>
          <w:p>
            <w:pPr>
              <w:pStyle w:val="MDPI42tablebody"/>
              <w:spacing w:line="240" w:lineRule="auto"/>
              <w:jc w:val="left"/>
            </w:pPr>
            <w:r>
              <w:t xml:space="preserve">Wu et al., 2026 [113]</w:t>
            </w:r>
          </w:p>
        </w:tc>
        <w:tc>
          <w:tcPr>
            <w:tcW w:w="3350" w:type="dxa"/>
            <w:vAlign w:val="center"/>
          </w:tcPr>
          <w:p>
            <w:pPr>
              <w:pStyle w:val="MDPI42tablebody"/>
              <w:spacing w:line="240" w:lineRule="auto"/>
              <w:jc w:val="left"/>
            </w:pPr>
            <w:r>
              <w:t xml:space="preserve">Fourteen fundus datasets (AIROGS/EyePACS largest); referable glaucoma. Reference: dataset-specific labels, including certified graders.</w:t>
            </w:r>
          </w:p>
        </w:tc>
        <w:tc>
          <w:tcPr>
            <w:tcW w:w="3000" w:type="dxa"/>
            <w:vAlign w:val="center"/>
          </w:tcPr>
          <w:p>
            <w:pPr>
              <w:pStyle w:val="MDPI42tablebody"/>
              <w:spacing w:line="240" w:lineRule="auto"/>
              <w:jc w:val="left"/>
            </w:pPr>
            <w:r>
              <w:t xml:space="preserve">External; image/eye-level. Internal AUC 0.992; zero-shot AUC 0.806–0.981 (ten datasets); fine-tuned 0.887–0.988 (three datasets).</w:t>
            </w:r>
          </w:p>
        </w:tc>
        <w:tc>
          <w:tcPr>
            <w:tcW w:w="2366" w:type="dxa"/>
            <w:vAlign w:val="center"/>
          </w:tcPr>
          <w:p>
            <w:pPr>
              <w:pStyle w:val="MDPI42tablebody"/>
              <w:spacing w:line="240" w:lineRule="auto"/>
              <w:jc w:val="left"/>
            </w:pPr>
            <w:r>
              <w:t xml:space="preserve">Broad cross-dataset testing; label heterogeneity and image-level allocation.</w:t>
            </w:r>
          </w:p>
        </w:tc>
      </w:tr>
    </w:tbl>
    <w:p w14:paraId="2471621E" w14:textId="77777777" w:rsidR="007C1CDA" w:rsidRPr="001A0468" w:rsidRDefault="007C1CDA" w:rsidP="006D1F3D">
      <w:pPr>
        <w:pStyle w:val="MDPI43tablefooter"/>
        <w:ind w:left="0" w:firstLine="0"/>
      </w:pPr>
      <w:r>
        <w:t xml:space="preserve">Inclusion in this table followed the stated criteria and is not a performance ranking; distinct-source testing is not synonymous with independent clinical validation. Complete data for all 55 reports are provided in Tables S3–S5. AUC, area under the receiver operating characteristic curve; CDR, cup-to-disc ratio; CI, confidence interval; GON, glaucomatous optic neuropathy; NR, not reported; OHT, ocular hypertension; OHTS, Ocular Hypertension Treatment Study; POAG, primary open-angle glaucoma. Dataset and cohort names are as reported in the source articles.</w:t>
      </w:r>
    </w:p>
    <w:p w14:paraId="154606C3" w14:textId="77777777" w:rsidR="007C1CDA" w:rsidRPr="001A0468" w:rsidRDefault="007C1CDA" w:rsidP="006D1F3D">
      <w:pPr>
        <w:pStyle w:val="MDPI22heading2"/>
        <w:spacing w:before="240"/>
      </w:pPr>
      <w:r>
        <w:t xml:space="preserve">3.6. Imaging Biomarkers and Explainability</w:t>
      </w:r>
    </w:p>
    <w:p w14:paraId="7EB1C0F3" w14:textId="77777777" w:rsidR="007C1CDA" w:rsidRPr="001A0468" w:rsidRDefault="007C1CDA" w:rsidP="006D1F3D">
      <w:pPr>
        <w:pStyle w:val="MDPI31text"/>
      </w:pPr>
      <w:r>
        <w:t xml:space="preserve">Fundus models most often represented ONH and retinal information implicitly. Explicit pathways included disc and cup contours, segmentation-derived vCDR, neuroretinal-rim morphology, OCT RNFL structure, visual-field information, and spectral-band or pseudo-hyperspectral signals. Several models used a vCDR threshold as the diagnostic target itself [80,91,93,102]. Such designs make the decision pathway transparent but become circular when the same threshold is then presented as evidence that the model has identified glaucoma.</w:t>
      </w:r>
    </w:p>
    <w:p w14:paraId="7EB1C0F3" w14:textId="77777777" w:rsidR="007C1CDA" w:rsidRPr="001A0468" w:rsidRDefault="007C1CDA" w:rsidP="006D1F3D">
      <w:pPr>
        <w:pStyle w:val="MDPI31text"/>
      </w:pPr>
      <w:r>
        <w:t xml:space="preserve">Twelve reports provided an explanation method or a transparent biomarker pathway [70,78,82,83,88,91,97,110,117,119–121], including transformer attention maps, attention rollout, Grad-CAM and related visualisations, layer-wise relevance propagation, intrinsic superpixel tokens, and segmentation-to-vCDR pathways. Most explanations were qualitative and highlighted the disc, cup, rim, or peripapillary region; one report presented simulated examples [97], whereas another quantified insertion–deletion behaviour [121]. No report independently validated an explanation output as a glaucoma biomarker. Agreement between a heat map and a plausible anatomical region does not establish model reasoning, causal relevance, or transportability.</w:t>
      </w:r>
    </w:p>
    <w:p w14:paraId="154606C3" w14:textId="77777777" w:rsidR="007C1CDA" w:rsidRPr="001A0468" w:rsidRDefault="007C1CDA" w:rsidP="006D1F3D">
      <w:pPr>
        <w:pStyle w:val="MDPI22heading2"/>
        <w:spacing w:before="240"/>
      </w:pPr>
      <w:r>
        <w:t xml:space="preserve">3.7. Risk of Bias and Applicability</w:t>
      </w:r>
    </w:p>
    <w:p w14:paraId="7EB1C0F3" w14:textId="77777777" w:rsidR="007C1CDA" w:rsidRPr="001A0468" w:rsidRDefault="007C1CDA" w:rsidP="006D1F3D">
      <w:pPr>
        <w:pStyle w:val="MDPI31text"/>
      </w:pPr>
      <w:r>
        <w:t xml:space="preserve">Under PROBAST+AI, 51 of 55 reports (92.7%) had a high overall risk of bias in model evaluation, 1 was unclear, and 3 were low. Model-development quality raised high concern in 52 reports (94.5%) and low concern in 3. Applicability concern for diagnostic detection was high in 45 reports (81.8%), unclear in 7, and low in 3 (Figure 2). The three reports rated low in all three assessments were the OHTS-based transformer study, the participant-level multimodal study in the Diagnostic Innovations in Glaucoma Study/African Descent and Glaucoma Evaluation Study (DIGS/ADAGES) cohort, and the Primary Open-Angle African American Glaucoma Genetics (POAAGG) study [70,103,104].</w:t>
      </w:r>
    </w:p>
    <w:p w14:paraId="7EB1C0F3" w14:textId="77777777" w:rsidR="007C1CDA" w:rsidRPr="001A0468" w:rsidRDefault="007C1CDA" w:rsidP="006D1F3D">
      <w:pPr>
        <w:pStyle w:val="MDPI31text"/>
      </w:pPr>
      <w:r>
        <w:t xml:space="preserve">No report was applicable to population screening as defined in Section 2.1. None evaluated a model in a sample drawn from adults without known glaucoma in primary care, optometry, community, or teleophthalmology settings with the model in its triage role. The three reports rated low for applicability concern drew participants from a randomised trial of people with ocular hypertension (OHTS), from glaucoma research cohorts (DIGS/ADAGES), and from a case–control genetics study (POAAGG). Their low ratings therefore apply to diagnostic detection in eye-care settings, not to population screening. Seven reports used images from EyePACS/AIROGS/JustRAIGS, which originate from a diabetic-retinopathy screening programme, but analysed them retrospectively as benchmark data, often as class-balanced subsets or in combination with other repositories [75,78,92,101,108,113,123].</w:t>
      </w:r>
    </w:p>
    <w:p w14:paraId="7EB1C0F3" w14:textId="77777777" w:rsidR="007C1CDA" w:rsidRPr="001A0468" w:rsidRDefault="007C1CDA" w:rsidP="006D1F3D">
      <w:pPr>
        <w:pStyle w:val="MDPI31text"/>
      </w:pPr>
      <w:r>
        <w:t xml:space="preserve">For model evaluation, the participants and data sources domain was rated high risk in 51 reports, unclear in 1, and low in 3. The predictors domain was unclear in 43 and low in 12, with no report at high risk. The outcome domain was high risk in 18, unclear in 23, and low in 14, and the analysis domain was high risk in 38, unclear in 9, and low in 8. For model development, concern was high for participants and data sources in 51 reports (unclear, 1; low, 3), unclear for predictors in 43 (low, 12), high for outcome in 16 (unclear, 25; low, 14), and high for analysis in 45 (unclear, 3; low, 7). Applicability concern was driven by participants and data sources (high, 44; unclear, 7; low, 4); predictor applicability was unclear in 16 and low in 39, and outcome applicability was high in 5, unclear in 6, and low in 44.</w:t>
      </w:r>
    </w:p>
    <w:p w14:paraId="7EB1C0F3" w14:textId="77777777" w:rsidR="007C1CDA" w:rsidRPr="001A0468" w:rsidRDefault="007C1CDA" w:rsidP="006D1F3D">
      <w:pPr>
        <w:pStyle w:val="MDPI31text"/>
      </w:pPr>
      <w:r>
        <w:t xml:space="preserve">Recurrent sources of bias were enriched or convenience samples, image-level allocation, uncertain separation of fellow eyes or repeated visits, augmentation before data splitting, small test sets, unverified or surrogate labels, heterogeneous reference standards across datasets, post hoc model or threshold selection, incomplete accounting for excluded images, and inconsistent denominators or metrics. High reported accuracy therefore did not imply low risk of bias or readiness for clinical use.</w:t>
      </w:r>
    </w:p>
    <w:p w14:paraId="76C87192" w14:textId="77777777" w:rsidR="007C1CDA" w:rsidRPr="001A0468" w:rsidRDefault="00A120CD" w:rsidP="002F6FFF">
      <w:pPr>
        <w:pStyle w:val="MDPI52figure"/>
        <w:keepNext/>
        <w:ind w:left="0" w:firstLine="0"/>
        <w:jc w:val="left"/>
      </w:pPr>
      <w:r>
        <w:drawing>
          <wp:inline xmlns:a="http://schemas.openxmlformats.org/drawingml/2006/main" xmlns:pic="http://schemas.openxmlformats.org/drawingml/2006/picture">
            <wp:extent cx="6120000" cy="3415128"/>
            <wp:docPr id="2" name="Picture 2"/>
            <wp:cNvGraphicFramePr>
              <a:graphicFrameLocks noChangeAspect="1"/>
            </wp:cNvGraphicFramePr>
            <a:graphic>
              <a:graphicData uri="http://schemas.openxmlformats.org/drawingml/2006/picture">
                <pic:pic>
                  <pic:nvPicPr>
                    <pic:cNvPr id="0" name="Figure2.png"/>
                    <pic:cNvPicPr/>
                  </pic:nvPicPr>
                  <pic:blipFill>
                    <a:blip r:embed="rId18"/>
                    <a:stretch>
                      <a:fillRect/>
                    </a:stretch>
                  </pic:blipFill>
                  <pic:spPr>
                    <a:xfrm>
                      <a:off x="0" y="0"/>
                      <a:ext cx="6120000" cy="3415128"/>
                    </a:xfrm>
                    <a:prstGeom prst="rect"/>
                  </pic:spPr>
                </pic:pic>
              </a:graphicData>
            </a:graphic>
          </wp:inline>
        </w:drawing>
      </w:r>
    </w:p>
    <w:p w14:paraId="02B9D24C" w14:textId="77777777" w:rsidR="007C1CDA" w:rsidRPr="001A0468" w:rsidRDefault="007C1CDA" w:rsidP="006D1F3D">
      <w:pPr>
        <w:pStyle w:val="MDPI51figurecaption"/>
        <w:ind w:left="0" w:firstLine="0"/>
      </w:pPr>
      <w:r>
        <w:rPr>
          <w:b/>
        </w:rPr>
        <w:t xml:space="preserve">Figure 2.</w:t>
      </w:r>
      <w:r>
        <w:t xml:space="preserve"> PROBAST+AI judgements across the 55 included reports: (</w:t>
      </w:r>
      <w:r>
        <w:rPr>
          <w:b/>
        </w:rPr>
        <w:t xml:space="preserve">a</w:t>
      </w:r>
      <w:r>
        <w:t xml:space="preserve">) model-development quality; (</w:t>
      </w:r>
      <w:r>
        <w:rPr>
          <w:b/>
        </w:rPr>
        <w:t xml:space="preserve">b</w:t>
      </w:r>
      <w:r>
        <w:t xml:space="preserve">) risk of bias in model evaluation; and (</w:t>
      </w:r>
      <w:r>
        <w:rPr>
          <w:b/>
        </w:rPr>
        <w:t xml:space="preserve">c</w:t>
      </w:r>
      <w:r>
        <w:t xml:space="preserve">) applicability of the evaluation evidence to diagnostic detection of current glaucoma in eye-care settings; applicability to population screening was assessed separately (Section 3.7). Bars show the percentage of reports rated low, unclear, or high; numbers are report counts. The overall rating was high when any domain was high, low only when every domain was low, and unclear otherwise.</w:t>
      </w:r>
    </w:p>
    <w:p w14:paraId="154606C3" w14:textId="77777777" w:rsidR="007C1CDA" w:rsidRPr="001A0468" w:rsidRDefault="007C1CDA" w:rsidP="006D1F3D">
      <w:pPr>
        <w:pStyle w:val="MDPI22heading2"/>
        <w:spacing w:before="240"/>
      </w:pPr>
      <w:r>
        <w:t xml:space="preserve">3.8. Individual and Combined Criteria for Clinical Readiness</w:t>
      </w:r>
    </w:p>
    <w:p w14:paraId="7EB1C0F3" w14:textId="77777777" w:rsidR="007C1CDA" w:rsidRPr="001A0468" w:rsidRDefault="007C1CDA" w:rsidP="006D1F3D">
      <w:pPr>
        <w:pStyle w:val="MDPI31text"/>
      </w:pPr>
      <w:r>
        <w:t xml:space="preserve">Figure 3 compares the proportion of reports meeting individual criteria relevant to clinical readiness with the proportion meeting combinations of them; the criteria are not nested. Thirteen reports (23.6%) used a clinical or adjudicated reference standard, 9 (16.4%) tested models on a distinct data source, and 8 (14.5%) confirmed participant-level separation. Four (7.3%) combined participant-level separation with distinct-source evaluation, and only two (3.6%) also used a clinical reference standard. Three reports (5.5%) had low risk of bias and low applicability concern for diagnostic detection. One report (1.8%) provided a credible early-disease estimate. No report provided a preperimetric result, was applicable to population screening, or described a prospective or implementation evaluation.</w:t>
      </w:r>
    </w:p>
    <w:p w14:paraId="7EB1C0F3" w14:textId="77777777" w:rsidR="007C1CDA" w:rsidRPr="001A0468" w:rsidRDefault="007C1CDA" w:rsidP="006D1F3D">
      <w:pPr>
        <w:pStyle w:val="MDPI31text"/>
      </w:pPr>
      <w:r>
        <w:t xml:space="preserve">All included reports except one published glaucoma-specific results of identifiable metric type; the basis for each report is given in Table S4. The exception reported glaucoma-stage values without identifying the metric [101]. Excluding it in the sensitivity analysis changed no headline proportion by more than 0.6 percentage points (Table S8; n = 54), so the findings do not depend on this report.</w:t>
      </w:r>
    </w:p>
    <w:p w14:paraId="76C87192" w14:textId="77777777" w:rsidR="007C1CDA" w:rsidRPr="001A0468" w:rsidRDefault="00A120CD" w:rsidP="002F6FFF">
      <w:pPr>
        <w:pStyle w:val="MDPI52figure"/>
        <w:keepNext/>
        <w:ind w:left="0" w:firstLine="0"/>
        <w:jc w:val="left"/>
      </w:pPr>
      <w:r>
        <w:drawing>
          <wp:inline xmlns:a="http://schemas.openxmlformats.org/drawingml/2006/main" xmlns:pic="http://schemas.openxmlformats.org/drawingml/2006/picture">
            <wp:extent cx="6120000" cy="3649541"/>
            <wp:docPr id="3" name="Picture 3"/>
            <wp:cNvGraphicFramePr>
              <a:graphicFrameLocks noChangeAspect="1"/>
            </wp:cNvGraphicFramePr>
            <a:graphic>
              <a:graphicData uri="http://schemas.openxmlformats.org/drawingml/2006/picture">
                <pic:pic>
                  <pic:nvPicPr>
                    <pic:cNvPr id="0" name="Figure3.png"/>
                    <pic:cNvPicPr/>
                  </pic:nvPicPr>
                  <pic:blipFill>
                    <a:blip r:embed="rId19"/>
                    <a:stretch>
                      <a:fillRect/>
                    </a:stretch>
                  </pic:blipFill>
                  <pic:spPr>
                    <a:xfrm>
                      <a:off x="0" y="0"/>
                      <a:ext cx="6120000" cy="3649541"/>
                    </a:xfrm>
                    <a:prstGeom prst="rect"/>
                  </pic:spPr>
                </pic:pic>
              </a:graphicData>
            </a:graphic>
          </wp:inline>
        </w:drawing>
      </w:r>
    </w:p>
    <w:p w14:paraId="02B9D24C" w14:textId="77777777" w:rsidR="007C1CDA" w:rsidRPr="001A0468" w:rsidRDefault="007C1CDA" w:rsidP="006D1F3D">
      <w:pPr>
        <w:pStyle w:val="MDPI51figurecaption"/>
        <w:ind w:left="0" w:firstLine="0"/>
      </w:pPr>
      <w:r>
        <w:rPr>
          <w:b/>
        </w:rPr>
        <w:t xml:space="preserve">Figure 3.</w:t>
      </w:r>
      <w:r>
        <w:t xml:space="preserve"> Proportion of the 55 included reports meeting individual and combined criteria relevant to clinical readiness. The criteria are not nested; lighter bars show individual criteria and darker bars show combinations of criteria. Distinct-source evaluation comprises external or cross-dataset evaluation and leave-one-domain-out evaluation. Counts are reports, not independent cohorts.</w:t>
      </w:r>
    </w:p>
    <w:p w14:paraId="43686E48" w14:textId="77777777" w:rsidR="007C1CDA" w:rsidRPr="001A0468" w:rsidRDefault="007C1CDA" w:rsidP="006D1F3D">
      <w:pPr>
        <w:pStyle w:val="MDPI21heading1"/>
      </w:pPr>
      <w:r>
        <w:t xml:space="preserve">4. Discussion</w:t>
      </w:r>
    </w:p>
    <w:p w14:paraId="154606C3" w14:textId="77777777" w:rsidR="007C1CDA" w:rsidRPr="001A0468" w:rsidRDefault="007C1CDA" w:rsidP="006D1F3D">
      <w:pPr>
        <w:pStyle w:val="MDPI22heading2"/>
        <w:spacing w:before="240"/>
      </w:pPr>
      <w:r>
        <w:t xml:space="preserve">4.1. Principal Findings</w:t>
      </w:r>
    </w:p>
    <w:p w14:paraId="7EB1C0F3" w14:textId="77777777" w:rsidR="007C1CDA" w:rsidRPr="001A0468" w:rsidRDefault="007C1CDA" w:rsidP="006D1F3D">
      <w:pPr>
        <w:pStyle w:val="MDPI31text"/>
      </w:pPr>
      <w:r>
        <w:t xml:space="preserve">This review shows that transformer-based glaucoma detection is a rapidly expanding but clinically immature field. Technical discrimination was often high, but the credibility of the evidence was limited by repeated reuse of public datasets, weak or heterogeneous labels, infrequent participant-level separation, and predominantly internal evaluation. The 55 reports should therefore not be read as 55 independent replications. High risk of bias in 92.7% of evaluations and high applicability concern in 81.8% explain why headline accuracy and readiness for screening diverged: only two reports combined a clinical reference standard, participant-level separation, and evaluation on a distinct data source, and none was applicable to population screening.</w:t>
      </w:r>
    </w:p>
    <w:p w14:paraId="7EB1C0F3" w14:textId="77777777" w:rsidR="007C1CDA" w:rsidRPr="001A0468" w:rsidRDefault="007C1CDA" w:rsidP="006D1F3D">
      <w:pPr>
        <w:pStyle w:val="MDPI31text"/>
      </w:pPr>
      <w:r>
        <w:t xml:space="preserve">These findings qualify the high pooled accuracy reported by earlier meta-analyses of glaucoma AI, which estimated a pooled sensitivity of 0.92 and specificity of 0.93 for fundus-based deep learning [23], and extend evidence that glaucoma AI studies are incompletely reported [26]. They also mirror patterns observed across medical imaging AI, where most studies are retrospective, few are externally validated, and claims frequently exceed the supporting designs [19,21,124]. The most informative transformer studies illustrate both the potential and the fragility of performance. The OHTS-based model and the POAAGG study combined clinically meaningful outcomes with participant separation, and the latter maintained an AUC near 0.92 externally [70,104]. Conversely, two models with excellent internal results deteriorated substantially on new datasets [72,99]. These contrasts are compatible with population and device shift, but also with changes in labels, recruitment, image quality, and disease spectrum, and they cannot be reduced to a single estimate of transformer generalisability.</w:t>
      </w:r>
    </w:p>
    <w:p w14:paraId="154606C3" w14:textId="77777777" w:rsidR="007C1CDA" w:rsidRPr="001A0468" w:rsidRDefault="007C1CDA" w:rsidP="006D1F3D">
      <w:pPr>
        <w:pStyle w:val="MDPI22heading2"/>
        <w:spacing w:before="240"/>
      </w:pPr>
      <w:r>
        <w:t xml:space="preserve">4.2. Early Glaucoma Is the Limiting Clinical Target</w:t>
      </w:r>
    </w:p>
    <w:p w14:paraId="7EB1C0F3" w14:textId="77777777" w:rsidR="007C1CDA" w:rsidRPr="001A0468" w:rsidRDefault="007C1CDA" w:rsidP="006D1F3D">
      <w:pPr>
        <w:pStyle w:val="MDPI31text"/>
      </w:pPr>
      <w:r>
        <w:t xml:space="preserve">The main clinical gap is definitional as well as statistical. Only six reports operationalised mild or early perimetric disease, two provided an extractable early-disease estimate, only one of these was credible for clinical inference, and none reported a preperimetric result. Suspect status, ocular hypertension, referable ONH morphology, preperimetric glaucoma, and mild perimetric glaucoma are not interchangeable targets [1,8–11]; merging them changes the reference standard, expected prevalence, management consequences, and difficulty of discrimination. Yet early detection is the very reason for screening: treatment prevents further loss but cannot restore lost function.</w:t>
      </w:r>
    </w:p>
    <w:p w14:paraId="7EB1C0F3" w14:textId="77777777" w:rsidR="007C1CDA" w:rsidRPr="001A0468" w:rsidRDefault="007C1CDA" w:rsidP="006D1F3D">
      <w:pPr>
        <w:pStyle w:val="MDPI31text"/>
      </w:pPr>
      <w:r>
        <w:t xml:space="preserve">The two extractable estimates show why target definition alone is not sufficient. The OHTS-based AUC of 0.87 was tied to an explicit mean-deviation criterion [70], whereas the AUC of 1.00 reported in another mild cohort was highly vulnerable to site-by-outcome confounding and internal inconsistency [111], a recognised mechanism by which models learn acquisition source rather than disease [20]. Neither result establishes preperimetric screening performance. Future studies should prespecify whether the target is risk or suspect status, referable morphology, preperimetric glaucoma, mild perimetric glaucoma, or any established glaucoma; apply reproducible structural and functional criteria; and report performance for each state separately.</w:t>
      </w:r>
    </w:p>
    <w:p w14:paraId="154606C3" w14:textId="77777777" w:rsidR="007C1CDA" w:rsidRPr="001A0468" w:rsidRDefault="007C1CDA" w:rsidP="006D1F3D">
      <w:pPr>
        <w:pStyle w:val="MDPI22heading2"/>
        <w:spacing w:before="240"/>
      </w:pPr>
      <w:r>
        <w:t xml:space="preserve">4.3. From Benchmark Performance to Clinical Validation</w:t>
      </w:r>
    </w:p>
    <w:p w14:paraId="7EB1C0F3" w14:textId="77777777" w:rsidR="007C1CDA" w:rsidRPr="001A0468" w:rsidRDefault="007C1CDA" w:rsidP="006D1F3D">
      <w:pPr>
        <w:pStyle w:val="MDPI31text"/>
      </w:pPr>
      <w:r>
        <w:t xml:space="preserve">The current evidence supports model development and carefully bounded triage research, not autonomous population screening. A clinically evaluable system requires a fixed intended use and care pathway, representative or consecutive sampling, a defensible reference standard, participant-level separation, a frozen model and threshold, calibration, confidence intervals, operating characteristics relevant to screening, and transparent subgroup, error, and failure analyses. Reporting should follow STARD-AI for diagnostic accuracy studies and TRIPOD+AI for prediction model development and evaluation [125,126].</w:t>
      </w:r>
    </w:p>
    <w:p w14:paraId="7EB1C0F3" w14:textId="77777777" w:rsidR="007C1CDA" w:rsidRPr="001A0468" w:rsidRDefault="007C1CDA" w:rsidP="006D1F3D">
      <w:pPr>
        <w:pStyle w:val="MDPI31text"/>
      </w:pPr>
      <w:r>
        <w:t xml:space="preserve">External validation should answer a clinical transport question rather than simply exchange one public repository for another. A real-world multicentre evaluation of a glaucomatous optic neuropathy detection system demonstrates that testing across heterogeneous clinical settings is feasible [47]. Geographic, temporal, device, and care-setting evaluations should use a frozen model and threshold and, wherever possible, a consistent target condition; where labels differ, authors should state that observed changes combine domain shift and reference-standard shift. Established validation frameworks require assessment of discrimination, calibration, and clinical utility rather than AUC alone [127,128]. Prospective work should then proceed in stages: silent evaluation within the intended workflow; assessment of calibration, handling of ungradable images, failure modes, and subgroup performance; comparison with current care; and, when justified, evaluation of referral rates, time to diagnosis, resource use, and patient outcomes [22]. The pathway followed by autonomous AI for diabetic retinopathy, culminating in a prospective pivotal trial in primary care, provides a concrete precedent [12].</w:t>
      </w:r>
    </w:p>
    <w:p w14:paraId="154606C3" w14:textId="77777777" w:rsidR="007C1CDA" w:rsidRPr="001A0468" w:rsidRDefault="007C1CDA" w:rsidP="006D1F3D">
      <w:pPr>
        <w:pStyle w:val="MDPI22heading2"/>
        <w:spacing w:before="240"/>
      </w:pPr>
      <w:r>
        <w:t xml:space="preserve">4.4. Implications for Health Systems and Screening Policy</w:t>
      </w:r>
    </w:p>
    <w:p w14:paraId="7EB1C0F3" w14:textId="77777777" w:rsidR="007C1CDA" w:rsidRPr="001A0468" w:rsidRDefault="007C1CDA" w:rsidP="006D1F3D">
      <w:pPr>
        <w:pStyle w:val="MDPI31text"/>
      </w:pPr>
      <w:r>
        <w:t xml:space="preserve">Accuracy measured in enriched datasets translates poorly into the workload a screening programme would face. Most benchmark datasets contain similar numbers of glaucomatous and healthy eyes, whereas the global prevalence of glaucoma among people aged 40–80 years is approximately 3.5% [2]. Table 4 illustrates the consequence with hypothetical values. In scenario A (sensitivity 0.90, specificity 0.95), screening 10,000 adults would detect 315 of 350 people with glaucoma but generate 483 false-positive referrals, so that only 39.5% of referred people would have the disease, compared with 94.7% in a balanced benchmark. In scenarios B and C, lower sensitivity and specificity would roughly double or triple the number of false-positive referrals and reduce the positive predictive value to 15–24%. These scenarios are arithmetic illustrations chosen to span plausible values. They are not estimates of the performance, or of the loss of performance, of any included model. For health systems with limited specialist capacity, these referrals carry costs in clinic time, patient anxiety, and delayed care for others; the missed cases carry the irreversible cost of undetected disease.</w:t>
      </w:r>
    </w:p>
    <w:p w14:paraId="2DC56296" w14:textId="77777777" w:rsidR="007C1CDA" w:rsidRPr="001A0468" w:rsidRDefault="007C1CDA" w:rsidP="006D1F3D">
      <w:pPr>
        <w:pStyle w:val="MDPI41tablecaption"/>
        <w:keepNext/>
        <w:ind w:left="0" w:firstLine="0"/>
      </w:pPr>
      <w:r>
        <w:rPr>
          <w:b/>
        </w:rPr>
        <w:t xml:space="preserve">Table 4.</w:t>
      </w:r>
      <w:r>
        <w:t xml:space="preserve"> Illustrative referral consequences of screening 10,000 adults at population prevalence (3.5%) compared with a balanced benchmark (50%).</w:t>
      </w:r>
    </w:p>
    <w:tbl>
      <w:tblPr>
        <w:tblW w:w="10466" w:type="dxa"/>
        <w:jc w:val="center"/>
        <w:tblBorders>
          <w:top w:val="single" w:sz="8" w:space="0" w:color="auto"/>
          <w:bottom w:val="single" w:sz="8" w:space="0" w:color="auto"/>
        </w:tblBorders>
        <w:tblLayout w:type="fixed"/>
        <w:tblCellMar>
          <w:left w:w="57" w:type="dxa"/>
          <w:right w:w="57" w:type="dxa"/>
        </w:tblCellMar>
        <w:tblLook w:val="04A0"/>
      </w:tblPr>
      <w:tblGrid>
        <w:gridCol w:w="3066"/>
        <w:gridCol w:w="1200"/>
        <w:gridCol w:w="1200"/>
        <w:gridCol w:w="1300"/>
        <w:gridCol w:w="1200"/>
        <w:gridCol w:w="1200"/>
        <w:gridCol w:w="1300"/>
      </w:tblGrid>
      <w:tr>
        <w:trPr>
          <w:cantSplit/>
          <w:tblHeader/>
        </w:trPr>
        <w:tc>
          <w:tcPr>
            <w:tcW w:w="3066" w:type="dxa"/>
            <w:tcBorders>
              <w:bottom w:val="single" w:sz="4" w:space="0" w:color="auto"/>
            </w:tcBorders>
            <w:vAlign w:val="center"/>
          </w:tcPr>
          <w:p>
            <w:pPr>
              <w:pStyle w:val="MDPI42tablebody"/>
              <w:spacing w:line="240" w:lineRule="auto"/>
              <w:jc w:val="center"/>
            </w:pPr>
            <w:r>
              <w:rPr>
                <w:b/>
              </w:rPr>
              <w:t xml:space="preserve">Hypothetical scenario (sensitivity/specificity)</w:t>
            </w:r>
          </w:p>
        </w:tc>
        <w:tc>
          <w:tcPr>
            <w:tcW w:w="1200" w:type="dxa"/>
            <w:tcBorders>
              <w:bottom w:val="single" w:sz="4" w:space="0" w:color="auto"/>
            </w:tcBorders>
            <w:vAlign w:val="center"/>
          </w:tcPr>
          <w:p>
            <w:pPr>
              <w:pStyle w:val="MDPI42tablebody"/>
              <w:spacing w:line="240" w:lineRule="auto"/>
              <w:jc w:val="center"/>
            </w:pPr>
            <w:r>
              <w:rPr>
                <w:b/>
              </w:rPr>
              <w:t xml:space="preserve">Glaucoma detected</w:t>
            </w:r>
          </w:p>
        </w:tc>
        <w:tc>
          <w:tcPr>
            <w:tcW w:w="1200" w:type="dxa"/>
            <w:tcBorders>
              <w:bottom w:val="single" w:sz="4" w:space="0" w:color="auto"/>
            </w:tcBorders>
            <w:vAlign w:val="center"/>
          </w:tcPr>
          <w:p>
            <w:pPr>
              <w:pStyle w:val="MDPI42tablebody"/>
              <w:spacing w:line="240" w:lineRule="auto"/>
              <w:jc w:val="center"/>
            </w:pPr>
            <w:r>
              <w:rPr>
                <w:b/>
              </w:rPr>
              <w:t xml:space="preserve">Glaucoma missed</w:t>
            </w:r>
          </w:p>
        </w:tc>
        <w:tc>
          <w:tcPr>
            <w:tcW w:w="1300" w:type="dxa"/>
            <w:tcBorders>
              <w:bottom w:val="single" w:sz="4" w:space="0" w:color="auto"/>
            </w:tcBorders>
            <w:vAlign w:val="center"/>
          </w:tcPr>
          <w:p>
            <w:pPr>
              <w:pStyle w:val="MDPI42tablebody"/>
              <w:spacing w:line="240" w:lineRule="auto"/>
              <w:jc w:val="center"/>
            </w:pPr>
            <w:r>
              <w:rPr>
                <w:b/>
              </w:rPr>
              <w:t xml:space="preserve">False-positive referrals</w:t>
            </w:r>
          </w:p>
        </w:tc>
        <w:tc>
          <w:tcPr>
            <w:tcW w:w="1200" w:type="dxa"/>
            <w:tcBorders>
              <w:bottom w:val="single" w:sz="4" w:space="0" w:color="auto"/>
            </w:tcBorders>
            <w:vAlign w:val="center"/>
          </w:tcPr>
          <w:p>
            <w:pPr>
              <w:pStyle w:val="MDPI42tablebody"/>
              <w:spacing w:line="240" w:lineRule="auto"/>
              <w:jc w:val="center"/>
            </w:pPr>
            <w:r>
              <w:rPr>
                <w:b/>
              </w:rPr>
              <w:t xml:space="preserve">Total referrals</w:t>
            </w:r>
          </w:p>
        </w:tc>
        <w:tc>
          <w:tcPr>
            <w:tcW w:w="1200" w:type="dxa"/>
            <w:tcBorders>
              <w:bottom w:val="single" w:sz="4" w:space="0" w:color="auto"/>
            </w:tcBorders>
            <w:vAlign w:val="center"/>
          </w:tcPr>
          <w:p>
            <w:pPr>
              <w:pStyle w:val="MDPI42tablebody"/>
              <w:spacing w:line="240" w:lineRule="auto"/>
              <w:jc w:val="center"/>
            </w:pPr>
            <w:r>
              <w:rPr>
                <w:b/>
              </w:rPr>
              <w:t xml:space="preserve">PPV at 3.5%</w:t>
            </w:r>
          </w:p>
        </w:tc>
        <w:tc>
          <w:tcPr>
            <w:tcW w:w="1300" w:type="dxa"/>
            <w:tcBorders>
              <w:bottom w:val="single" w:sz="4" w:space="0" w:color="auto"/>
            </w:tcBorders>
            <w:vAlign w:val="center"/>
          </w:tcPr>
          <w:p>
            <w:pPr>
              <w:pStyle w:val="MDPI42tablebody"/>
              <w:spacing w:line="240" w:lineRule="auto"/>
              <w:jc w:val="center"/>
            </w:pPr>
            <w:r>
              <w:rPr>
                <w:b/>
              </w:rPr>
              <w:t xml:space="preserve">PPV at 50%</w:t>
            </w:r>
          </w:p>
        </w:tc>
      </w:tr>
      <w:tr>
        <w:trPr>
          <w:cantSplit/>
        </w:trPr>
        <w:tc>
          <w:tcPr>
            <w:tcW w:w="3066" w:type="dxa"/>
            <w:vAlign w:val="center"/>
          </w:tcPr>
          <w:p>
            <w:pPr>
              <w:pStyle w:val="MDPI42tablebody"/>
              <w:spacing w:line="240" w:lineRule="auto"/>
              <w:jc w:val="left"/>
            </w:pPr>
            <w:r>
              <w:t xml:space="preserve">A (0.90/0.95)</w:t>
            </w:r>
          </w:p>
        </w:tc>
        <w:tc>
          <w:tcPr>
            <w:tcW w:w="1200" w:type="dxa"/>
            <w:vAlign w:val="center"/>
          </w:tcPr>
          <w:p>
            <w:pPr>
              <w:pStyle w:val="MDPI42tablebody"/>
              <w:spacing w:line="240" w:lineRule="auto"/>
              <w:jc w:val="center"/>
            </w:pPr>
            <w:r>
              <w:t xml:space="preserve">315</w:t>
            </w:r>
          </w:p>
        </w:tc>
        <w:tc>
          <w:tcPr>
            <w:tcW w:w="1200" w:type="dxa"/>
            <w:vAlign w:val="center"/>
          </w:tcPr>
          <w:p>
            <w:pPr>
              <w:pStyle w:val="MDPI42tablebody"/>
              <w:spacing w:line="240" w:lineRule="auto"/>
              <w:jc w:val="center"/>
            </w:pPr>
            <w:r>
              <w:t xml:space="preserve">35</w:t>
            </w:r>
          </w:p>
        </w:tc>
        <w:tc>
          <w:tcPr>
            <w:tcW w:w="1300" w:type="dxa"/>
            <w:vAlign w:val="center"/>
          </w:tcPr>
          <w:p>
            <w:pPr>
              <w:pStyle w:val="MDPI42tablebody"/>
              <w:spacing w:line="240" w:lineRule="auto"/>
              <w:jc w:val="center"/>
            </w:pPr>
            <w:r>
              <w:t xml:space="preserve">483</w:t>
            </w:r>
          </w:p>
        </w:tc>
        <w:tc>
          <w:tcPr>
            <w:tcW w:w="1200" w:type="dxa"/>
            <w:vAlign w:val="center"/>
          </w:tcPr>
          <w:p>
            <w:pPr>
              <w:pStyle w:val="MDPI42tablebody"/>
              <w:spacing w:line="240" w:lineRule="auto"/>
              <w:jc w:val="center"/>
            </w:pPr>
            <w:r>
              <w:t xml:space="preserve">798</w:t>
            </w:r>
          </w:p>
        </w:tc>
        <w:tc>
          <w:tcPr>
            <w:tcW w:w="1200" w:type="dxa"/>
            <w:vAlign w:val="center"/>
          </w:tcPr>
          <w:p>
            <w:pPr>
              <w:pStyle w:val="MDPI42tablebody"/>
              <w:spacing w:line="240" w:lineRule="auto"/>
              <w:jc w:val="center"/>
            </w:pPr>
            <w:r>
              <w:t xml:space="preserve">39.5%</w:t>
            </w:r>
          </w:p>
        </w:tc>
        <w:tc>
          <w:tcPr>
            <w:tcW w:w="1300" w:type="dxa"/>
            <w:vAlign w:val="center"/>
          </w:tcPr>
          <w:p>
            <w:pPr>
              <w:pStyle w:val="MDPI42tablebody"/>
              <w:spacing w:line="240" w:lineRule="auto"/>
              <w:jc w:val="center"/>
            </w:pPr>
            <w:r>
              <w:t xml:space="preserve">94.7%</w:t>
            </w:r>
          </w:p>
        </w:tc>
      </w:tr>
      <w:tr>
        <w:trPr>
          <w:cantSplit/>
        </w:trPr>
        <w:tc>
          <w:tcPr>
            <w:tcW w:w="3066" w:type="dxa"/>
            <w:vAlign w:val="center"/>
          </w:tcPr>
          <w:p>
            <w:pPr>
              <w:pStyle w:val="MDPI42tablebody"/>
              <w:spacing w:line="240" w:lineRule="auto"/>
              <w:jc w:val="left"/>
            </w:pPr>
            <w:r>
              <w:t xml:space="preserve">B (0.85/0.90)</w:t>
            </w:r>
          </w:p>
        </w:tc>
        <w:tc>
          <w:tcPr>
            <w:tcW w:w="1200" w:type="dxa"/>
            <w:vAlign w:val="center"/>
          </w:tcPr>
          <w:p>
            <w:pPr>
              <w:pStyle w:val="MDPI42tablebody"/>
              <w:spacing w:line="240" w:lineRule="auto"/>
              <w:jc w:val="center"/>
            </w:pPr>
            <w:r>
              <w:t xml:space="preserve">298</w:t>
            </w:r>
          </w:p>
        </w:tc>
        <w:tc>
          <w:tcPr>
            <w:tcW w:w="1200" w:type="dxa"/>
            <w:vAlign w:val="center"/>
          </w:tcPr>
          <w:p>
            <w:pPr>
              <w:pStyle w:val="MDPI42tablebody"/>
              <w:spacing w:line="240" w:lineRule="auto"/>
              <w:jc w:val="center"/>
            </w:pPr>
            <w:r>
              <w:t xml:space="preserve">52</w:t>
            </w:r>
          </w:p>
        </w:tc>
        <w:tc>
          <w:tcPr>
            <w:tcW w:w="1300" w:type="dxa"/>
            <w:vAlign w:val="center"/>
          </w:tcPr>
          <w:p>
            <w:pPr>
              <w:pStyle w:val="MDPI42tablebody"/>
              <w:spacing w:line="240" w:lineRule="auto"/>
              <w:jc w:val="center"/>
            </w:pPr>
            <w:r>
              <w:t xml:space="preserve">965</w:t>
            </w:r>
          </w:p>
        </w:tc>
        <w:tc>
          <w:tcPr>
            <w:tcW w:w="1200" w:type="dxa"/>
            <w:vAlign w:val="center"/>
          </w:tcPr>
          <w:p>
            <w:pPr>
              <w:pStyle w:val="MDPI42tablebody"/>
              <w:spacing w:line="240" w:lineRule="auto"/>
              <w:jc w:val="center"/>
            </w:pPr>
            <w:r>
              <w:t xml:space="preserve">1263</w:t>
            </w:r>
          </w:p>
        </w:tc>
        <w:tc>
          <w:tcPr>
            <w:tcW w:w="1200" w:type="dxa"/>
            <w:vAlign w:val="center"/>
          </w:tcPr>
          <w:p>
            <w:pPr>
              <w:pStyle w:val="MDPI42tablebody"/>
              <w:spacing w:line="240" w:lineRule="auto"/>
              <w:jc w:val="center"/>
            </w:pPr>
            <w:r>
              <w:t xml:space="preserve">23.6%</w:t>
            </w:r>
          </w:p>
        </w:tc>
        <w:tc>
          <w:tcPr>
            <w:tcW w:w="1300" w:type="dxa"/>
            <w:vAlign w:val="center"/>
          </w:tcPr>
          <w:p>
            <w:pPr>
              <w:pStyle w:val="MDPI42tablebody"/>
              <w:spacing w:line="240" w:lineRule="auto"/>
              <w:jc w:val="center"/>
            </w:pPr>
            <w:r>
              <w:t xml:space="preserve">89.5%</w:t>
            </w:r>
          </w:p>
        </w:tc>
      </w:tr>
      <w:tr>
        <w:trPr>
          <w:cantSplit/>
        </w:trPr>
        <w:tc>
          <w:tcPr>
            <w:tcW w:w="3066" w:type="dxa"/>
            <w:vAlign w:val="center"/>
          </w:tcPr>
          <w:p>
            <w:pPr>
              <w:pStyle w:val="MDPI42tablebody"/>
              <w:spacing w:line="240" w:lineRule="auto"/>
              <w:jc w:val="left"/>
            </w:pPr>
            <w:r>
              <w:t xml:space="preserve">C (0.75/0.85)</w:t>
            </w:r>
          </w:p>
        </w:tc>
        <w:tc>
          <w:tcPr>
            <w:tcW w:w="1200" w:type="dxa"/>
            <w:vAlign w:val="center"/>
          </w:tcPr>
          <w:p>
            <w:pPr>
              <w:pStyle w:val="MDPI42tablebody"/>
              <w:spacing w:line="240" w:lineRule="auto"/>
              <w:jc w:val="center"/>
            </w:pPr>
            <w:r>
              <w:t xml:space="preserve">263</w:t>
            </w:r>
          </w:p>
        </w:tc>
        <w:tc>
          <w:tcPr>
            <w:tcW w:w="1200" w:type="dxa"/>
            <w:vAlign w:val="center"/>
          </w:tcPr>
          <w:p>
            <w:pPr>
              <w:pStyle w:val="MDPI42tablebody"/>
              <w:spacing w:line="240" w:lineRule="auto"/>
              <w:jc w:val="center"/>
            </w:pPr>
            <w:r>
              <w:t xml:space="preserve">87</w:t>
            </w:r>
          </w:p>
        </w:tc>
        <w:tc>
          <w:tcPr>
            <w:tcW w:w="1300" w:type="dxa"/>
            <w:vAlign w:val="center"/>
          </w:tcPr>
          <w:p>
            <w:pPr>
              <w:pStyle w:val="MDPI42tablebody"/>
              <w:spacing w:line="240" w:lineRule="auto"/>
              <w:jc w:val="center"/>
            </w:pPr>
            <w:r>
              <w:t xml:space="preserve">1448</w:t>
            </w:r>
          </w:p>
        </w:tc>
        <w:tc>
          <w:tcPr>
            <w:tcW w:w="1200" w:type="dxa"/>
            <w:vAlign w:val="center"/>
          </w:tcPr>
          <w:p>
            <w:pPr>
              <w:pStyle w:val="MDPI42tablebody"/>
              <w:spacing w:line="240" w:lineRule="auto"/>
              <w:jc w:val="center"/>
            </w:pPr>
            <w:r>
              <w:t xml:space="preserve">1711</w:t>
            </w:r>
          </w:p>
        </w:tc>
        <w:tc>
          <w:tcPr>
            <w:tcW w:w="1200" w:type="dxa"/>
            <w:vAlign w:val="center"/>
          </w:tcPr>
          <w:p>
            <w:pPr>
              <w:pStyle w:val="MDPI42tablebody"/>
              <w:spacing w:line="240" w:lineRule="auto"/>
              <w:jc w:val="center"/>
            </w:pPr>
            <w:r>
              <w:t xml:space="preserve">15.4%</w:t>
            </w:r>
          </w:p>
        </w:tc>
        <w:tc>
          <w:tcPr>
            <w:tcW w:w="1300" w:type="dxa"/>
            <w:vAlign w:val="center"/>
          </w:tcPr>
          <w:p>
            <w:pPr>
              <w:pStyle w:val="MDPI42tablebody"/>
              <w:spacing w:line="240" w:lineRule="auto"/>
              <w:jc w:val="center"/>
            </w:pPr>
            <w:r>
              <w:t xml:space="preserve">83.3%</w:t>
            </w:r>
          </w:p>
        </w:tc>
      </w:tr>
    </w:tbl>
    <w:p w14:paraId="2471621E" w14:textId="77777777" w:rsidR="007C1CDA" w:rsidRPr="001A0468" w:rsidRDefault="007C1CDA" w:rsidP="006D1F3D">
      <w:pPr>
        <w:pStyle w:val="MDPI43tablefooter"/>
        <w:ind w:left="0" w:firstLine="0"/>
      </w:pPr>
      <w:r>
        <w:t xml:space="preserve">At 3.5% prevalence, 350 of 10,000 people screened have glaucoma. Scenarios are hypothetical, are not pooled estimates, and do not represent any included model. PPV, positive predictive value.</w:t>
      </w:r>
    </w:p>
    <w:p w14:paraId="7EB1C0F3" w14:textId="77777777" w:rsidR="007C1CDA" w:rsidRPr="001A0468" w:rsidRDefault="007C1CDA" w:rsidP="006D1F3D">
      <w:pPr>
        <w:pStyle w:val="MDPI31text"/>
      </w:pPr>
      <w:r>
        <w:t xml:space="preserve">Equity is a second health-system concern. Thirty-two reports (58.2%) relied solely on international public repositories that were not assembled to represent a defined screening population, and most datasets were reused repeatedly. Performance in under-represented populations, on low-cost or portable cameras, and in settings with high rates of ungradable images therefore remains largely untested. The POAAGG study, which developed and externally evaluated a model in individuals of African ancestry, a group at high risk of primary open-angle glaucoma, shows that population-specific evaluation is achievable [104]. Health-technology assessment, procurement, and regulatory decisions should require evidence from the population, device, and care setting in which a system is to be used, rather than from benchmark repositories.</w:t>
      </w:r>
    </w:p>
    <w:p w14:paraId="7EB1C0F3" w14:textId="77777777" w:rsidR="007C1CDA" w:rsidRPr="001A0468" w:rsidRDefault="007C1CDA" w:rsidP="006D1F3D">
      <w:pPr>
        <w:pStyle w:val="MDPI31text"/>
      </w:pPr>
      <w:r>
        <w:t xml:space="preserve">For policy makers and funders, the findings suggest three priorities: to support prospective, multicentre datasets with adjudicated structural–functional reference standards and early-disease subgroups; to fund independent evaluations of frozen models rather than further benchmark optimisation; and to embed evaluation of referral pathways and cost in any pilot deployment. Minimum evidence requirements derived from the gaps identified in this review are summarised in Table 5.</w:t>
      </w:r>
    </w:p>
    <w:p w14:paraId="2DC56296" w14:textId="77777777" w:rsidR="007C1CDA" w:rsidRPr="001A0468" w:rsidRDefault="007C1CDA" w:rsidP="006D1F3D">
      <w:pPr>
        <w:pStyle w:val="MDPI41tablecaption"/>
        <w:keepNext/>
        <w:ind w:left="0" w:firstLine="0"/>
      </w:pPr>
      <w:r>
        <w:rPr>
          <w:b/>
        </w:rPr>
        <w:t xml:space="preserve">Table 5.</w:t>
      </w:r>
      <w:r>
        <w:t xml:space="preserve"> Evidence gaps identified in this review and minimum evidence requirements before screening deployment.</w:t>
      </w:r>
    </w:p>
    <w:tbl>
      <w:tblPr>
        <w:tblW w:w="10466" w:type="dxa"/>
        <w:jc w:val="center"/>
        <w:tblBorders>
          <w:top w:val="single" w:sz="8" w:space="0" w:color="auto"/>
          <w:bottom w:val="single" w:sz="8" w:space="0" w:color="auto"/>
        </w:tblBorders>
        <w:tblLayout w:type="fixed"/>
        <w:tblCellMar>
          <w:left w:w="57" w:type="dxa"/>
          <w:right w:w="57" w:type="dxa"/>
        </w:tblCellMar>
        <w:tblLook w:val="04A0"/>
      </w:tblPr>
      <w:tblGrid>
        <w:gridCol w:w="1800"/>
        <w:gridCol w:w="3100"/>
        <w:gridCol w:w="5566"/>
      </w:tblGrid>
      <w:tr>
        <w:trPr>
          <w:cantSplit/>
          <w:tblHeader/>
        </w:trPr>
        <w:tc>
          <w:tcPr>
            <w:tcW w:w="1800" w:type="dxa"/>
            <w:tcBorders>
              <w:bottom w:val="single" w:sz="4" w:space="0" w:color="auto"/>
            </w:tcBorders>
            <w:vAlign w:val="center"/>
          </w:tcPr>
          <w:p>
            <w:pPr>
              <w:pStyle w:val="MDPI42tablebody"/>
              <w:spacing w:line="240" w:lineRule="auto"/>
              <w:jc w:val="center"/>
            </w:pPr>
            <w:r>
              <w:rPr>
                <w:b/>
              </w:rPr>
              <w:t xml:space="preserve">Domain</w:t>
            </w:r>
          </w:p>
        </w:tc>
        <w:tc>
          <w:tcPr>
            <w:tcW w:w="3100" w:type="dxa"/>
            <w:tcBorders>
              <w:bottom w:val="single" w:sz="4" w:space="0" w:color="auto"/>
            </w:tcBorders>
            <w:vAlign w:val="center"/>
          </w:tcPr>
          <w:p>
            <w:pPr>
              <w:pStyle w:val="MDPI42tablebody"/>
              <w:spacing w:line="240" w:lineRule="auto"/>
              <w:jc w:val="center"/>
            </w:pPr>
            <w:r>
              <w:rPr>
                <w:b/>
              </w:rPr>
              <w:t xml:space="preserve">Observed in the 55 reports</w:t>
            </w:r>
          </w:p>
        </w:tc>
        <w:tc>
          <w:tcPr>
            <w:tcW w:w="5566" w:type="dxa"/>
            <w:tcBorders>
              <w:bottom w:val="single" w:sz="4" w:space="0" w:color="auto"/>
            </w:tcBorders>
            <w:vAlign w:val="center"/>
          </w:tcPr>
          <w:p>
            <w:pPr>
              <w:pStyle w:val="MDPI42tablebody"/>
              <w:spacing w:line="240" w:lineRule="auto"/>
              <w:jc w:val="center"/>
            </w:pPr>
            <w:r>
              <w:rPr>
                <w:b/>
              </w:rPr>
              <w:t xml:space="preserve">Minimum requirement before deployment</w:t>
            </w:r>
          </w:p>
        </w:tc>
      </w:tr>
      <w:tr>
        <w:trPr>
          <w:cantSplit/>
        </w:trPr>
        <w:tc>
          <w:tcPr>
            <w:tcW w:w="1800" w:type="dxa"/>
            <w:vAlign w:val="center"/>
          </w:tcPr>
          <w:p>
            <w:pPr>
              <w:pStyle w:val="MDPI42tablebody"/>
              <w:spacing w:line="240" w:lineRule="auto"/>
              <w:jc w:val="left"/>
            </w:pPr>
            <w:r>
              <w:t xml:space="preserve">Target condition</w:t>
            </w:r>
          </w:p>
        </w:tc>
        <w:tc>
          <w:tcPr>
            <w:tcW w:w="3100" w:type="dxa"/>
            <w:vAlign w:val="center"/>
          </w:tcPr>
          <w:p>
            <w:pPr>
              <w:pStyle w:val="MDPI42tablebody"/>
              <w:spacing w:line="240" w:lineRule="auto"/>
              <w:jc w:val="left"/>
            </w:pPr>
            <w:r>
              <w:t xml:space="preserve">Operational mild/early definition, 6; credible early-disease estimate, 1; preperimetric result, 0</w:t>
            </w:r>
          </w:p>
        </w:tc>
        <w:tc>
          <w:tcPr>
            <w:tcW w:w="5566" w:type="dxa"/>
            <w:vAlign w:val="center"/>
          </w:tcPr>
          <w:p>
            <w:pPr>
              <w:pStyle w:val="MDPI42tablebody"/>
              <w:spacing w:line="240" w:lineRule="auto"/>
              <w:jc w:val="left"/>
            </w:pPr>
            <w:r>
              <w:t xml:space="preserve">Prespecify the target (suspect, preperimetric, mild perimetric, or any glaucoma) using reproducible structural and functional criteria, and report each state separately.</w:t>
            </w:r>
          </w:p>
        </w:tc>
      </w:tr>
      <w:tr>
        <w:trPr>
          <w:cantSplit/>
        </w:trPr>
        <w:tc>
          <w:tcPr>
            <w:tcW w:w="1800" w:type="dxa"/>
            <w:vAlign w:val="center"/>
          </w:tcPr>
          <w:p>
            <w:pPr>
              <w:pStyle w:val="MDPI42tablebody"/>
              <w:spacing w:line="240" w:lineRule="auto"/>
              <w:jc w:val="left"/>
            </w:pPr>
            <w:r>
              <w:t xml:space="preserve">Reference standard</w:t>
            </w:r>
          </w:p>
        </w:tc>
        <w:tc>
          <w:tcPr>
            <w:tcW w:w="3100" w:type="dxa"/>
            <w:vAlign w:val="center"/>
          </w:tcPr>
          <w:p>
            <w:pPr>
              <w:pStyle w:val="MDPI42tablebody"/>
              <w:spacing w:line="240" w:lineRule="auto"/>
              <w:jc w:val="left"/>
            </w:pPr>
            <w:r>
              <w:t xml:space="preserve">Clinical or adjudicated, 13; inherited, mixed, or surrogate, 38</w:t>
            </w:r>
          </w:p>
        </w:tc>
        <w:tc>
          <w:tcPr>
            <w:tcW w:w="5566" w:type="dxa"/>
            <w:vAlign w:val="center"/>
          </w:tcPr>
          <w:p>
            <w:pPr>
              <w:pStyle w:val="MDPI42tablebody"/>
              <w:spacing w:line="240" w:lineRule="auto"/>
              <w:jc w:val="left"/>
            </w:pPr>
            <w:r>
              <w:t xml:space="preserve">Use a masked, adjudicated multi-expert or reading-centre reference combining structure and function; avoid surrogate thresholds as the target.</w:t>
            </w:r>
          </w:p>
        </w:tc>
      </w:tr>
      <w:tr>
        <w:trPr>
          <w:cantSplit/>
        </w:trPr>
        <w:tc>
          <w:tcPr>
            <w:tcW w:w="1800" w:type="dxa"/>
            <w:vAlign w:val="center"/>
          </w:tcPr>
          <w:p>
            <w:pPr>
              <w:pStyle w:val="MDPI42tablebody"/>
              <w:spacing w:line="240" w:lineRule="auto"/>
              <w:jc w:val="left"/>
            </w:pPr>
            <w:r>
              <w:t xml:space="preserve">Population and sampling</w:t>
            </w:r>
          </w:p>
        </w:tc>
        <w:tc>
          <w:tcPr>
            <w:tcW w:w="3100" w:type="dxa"/>
            <w:vAlign w:val="center"/>
          </w:tcPr>
          <w:p>
            <w:pPr>
              <w:pStyle w:val="MDPI42tablebody"/>
              <w:spacing w:line="240" w:lineRule="auto"/>
              <w:jc w:val="left"/>
            </w:pPr>
            <w:r>
              <w:t xml:space="preserve">High participant/data-source risk of bias, 51; applicable to population screening, 0</w:t>
            </w:r>
          </w:p>
        </w:tc>
        <w:tc>
          <w:tcPr>
            <w:tcW w:w="5566" w:type="dxa"/>
            <w:vAlign w:val="center"/>
          </w:tcPr>
          <w:p>
            <w:pPr>
              <w:pStyle w:val="MDPI42tablebody"/>
              <w:spacing w:line="240" w:lineRule="auto"/>
              <w:jc w:val="left"/>
            </w:pPr>
            <w:r>
              <w:t xml:space="preserve">Recruit consecutive or population-representative participants in the intended setting and account for ungradable images.</w:t>
            </w:r>
          </w:p>
        </w:tc>
      </w:tr>
      <w:tr>
        <w:trPr>
          <w:cantSplit/>
        </w:trPr>
        <w:tc>
          <w:tcPr>
            <w:tcW w:w="1800" w:type="dxa"/>
            <w:vAlign w:val="center"/>
          </w:tcPr>
          <w:p>
            <w:pPr>
              <w:pStyle w:val="MDPI42tablebody"/>
              <w:spacing w:line="240" w:lineRule="auto"/>
              <w:jc w:val="left"/>
            </w:pPr>
            <w:r>
              <w:t xml:space="preserve">Data partitioning</w:t>
            </w:r>
          </w:p>
        </w:tc>
        <w:tc>
          <w:tcPr>
            <w:tcW w:w="3100" w:type="dxa"/>
            <w:vAlign w:val="center"/>
          </w:tcPr>
          <w:p>
            <w:pPr>
              <w:pStyle w:val="MDPI42tablebody"/>
              <w:spacing w:line="240" w:lineRule="auto"/>
              <w:jc w:val="left"/>
            </w:pPr>
            <w:r>
              <w:t xml:space="preserve">Confirmed participant-level separation, 8</w:t>
            </w:r>
          </w:p>
        </w:tc>
        <w:tc>
          <w:tcPr>
            <w:tcW w:w="5566" w:type="dxa"/>
            <w:vAlign w:val="center"/>
          </w:tcPr>
          <w:p>
            <w:pPr>
              <w:pStyle w:val="MDPI42tablebody"/>
              <w:spacing w:line="240" w:lineRule="auto"/>
              <w:jc w:val="left"/>
            </w:pPr>
            <w:r>
              <w:t xml:space="preserve">Split data at the participant level, remove duplicates, and apply augmentation only after splitting.</w:t>
            </w:r>
          </w:p>
        </w:tc>
      </w:tr>
      <w:tr>
        <w:trPr>
          <w:cantSplit/>
        </w:trPr>
        <w:tc>
          <w:tcPr>
            <w:tcW w:w="1800" w:type="dxa"/>
            <w:vAlign w:val="center"/>
          </w:tcPr>
          <w:p>
            <w:pPr>
              <w:pStyle w:val="MDPI42tablebody"/>
              <w:spacing w:line="240" w:lineRule="auto"/>
              <w:jc w:val="left"/>
            </w:pPr>
            <w:r>
              <w:t xml:space="preserve">Validation</w:t>
            </w:r>
          </w:p>
        </w:tc>
        <w:tc>
          <w:tcPr>
            <w:tcW w:w="3100" w:type="dxa"/>
            <w:vAlign w:val="center"/>
          </w:tcPr>
          <w:p>
            <w:pPr>
              <w:pStyle w:val="MDPI42tablebody"/>
              <w:spacing w:line="240" w:lineRule="auto"/>
              <w:jc w:val="left"/>
            </w:pPr>
            <w:r>
              <w:t xml:space="preserve">Distinct-source evaluation, 9; with participant-level separation, 4</w:t>
            </w:r>
          </w:p>
        </w:tc>
        <w:tc>
          <w:tcPr>
            <w:tcW w:w="5566" w:type="dxa"/>
            <w:vAlign w:val="center"/>
          </w:tcPr>
          <w:p>
            <w:pPr>
              <w:pStyle w:val="MDPI42tablebody"/>
              <w:spacing w:line="240" w:lineRule="auto"/>
              <w:jc w:val="left"/>
            </w:pPr>
            <w:r>
              <w:t xml:space="preserve">Test a frozen model and threshold on geographically or temporally independent data with a consistent target condition.</w:t>
            </w:r>
          </w:p>
        </w:tc>
      </w:tr>
      <w:tr>
        <w:trPr>
          <w:cantSplit/>
        </w:trPr>
        <w:tc>
          <w:tcPr>
            <w:tcW w:w="1800" w:type="dxa"/>
            <w:vAlign w:val="center"/>
          </w:tcPr>
          <w:p>
            <w:pPr>
              <w:pStyle w:val="MDPI42tablebody"/>
              <w:spacing w:line="240" w:lineRule="auto"/>
              <w:jc w:val="left"/>
            </w:pPr>
            <w:r>
              <w:t xml:space="preserve">Performance reporting</w:t>
            </w:r>
          </w:p>
        </w:tc>
        <w:tc>
          <w:tcPr>
            <w:tcW w:w="3100" w:type="dxa"/>
            <w:vAlign w:val="center"/>
          </w:tcPr>
          <w:p>
            <w:pPr>
              <w:pStyle w:val="MDPI42tablebody"/>
              <w:spacing w:line="240" w:lineRule="auto"/>
              <w:jc w:val="left"/>
            </w:pPr>
            <w:r>
              <w:t xml:space="preserve">Confidence intervals with headline estimate, 6</w:t>
            </w:r>
          </w:p>
        </w:tc>
        <w:tc>
          <w:tcPr>
            <w:tcW w:w="5566" w:type="dxa"/>
            <w:vAlign w:val="center"/>
          </w:tcPr>
          <w:p>
            <w:pPr>
              <w:pStyle w:val="MDPI42tablebody"/>
              <w:spacing w:line="240" w:lineRule="auto"/>
              <w:jc w:val="left"/>
            </w:pPr>
            <w:r>
              <w:t xml:space="preserve">Report sensitivity and specificity at prespecified thresholds with 95% CIs, calibration, predictive values at expected prevalence, and subgroup and failure analyses.</w:t>
            </w:r>
          </w:p>
        </w:tc>
      </w:tr>
      <w:tr>
        <w:trPr>
          <w:cantSplit/>
        </w:trPr>
        <w:tc>
          <w:tcPr>
            <w:tcW w:w="1800" w:type="dxa"/>
            <w:vAlign w:val="center"/>
          </w:tcPr>
          <w:p>
            <w:pPr>
              <w:pStyle w:val="MDPI42tablebody"/>
              <w:spacing w:line="240" w:lineRule="auto"/>
              <w:jc w:val="left"/>
            </w:pPr>
            <w:r>
              <w:t xml:space="preserve">Explainability</w:t>
            </w:r>
          </w:p>
        </w:tc>
        <w:tc>
          <w:tcPr>
            <w:tcW w:w="3100" w:type="dxa"/>
            <w:vAlign w:val="center"/>
          </w:tcPr>
          <w:p>
            <w:pPr>
              <w:pStyle w:val="MDPI42tablebody"/>
              <w:spacing w:line="240" w:lineRule="auto"/>
              <w:jc w:val="left"/>
            </w:pPr>
            <w:r>
              <w:t xml:space="preserve">Explanation or biomarker pathway, 12; validated biomarker, 0</w:t>
            </w:r>
          </w:p>
        </w:tc>
        <w:tc>
          <w:tcPr>
            <w:tcW w:w="5566" w:type="dxa"/>
            <w:vAlign w:val="center"/>
          </w:tcPr>
          <w:p>
            <w:pPr>
              <w:pStyle w:val="MDPI42tablebody"/>
              <w:spacing w:line="240" w:lineRule="auto"/>
              <w:jc w:val="left"/>
            </w:pPr>
            <w:r>
              <w:t xml:space="preserve">Use explanations for error analysis only; validate candidate biomarkers for repeatability, association with adjudicated outcomes, and incremental value.</w:t>
            </w:r>
          </w:p>
        </w:tc>
      </w:tr>
      <w:tr>
        <w:trPr>
          <w:cantSplit/>
        </w:trPr>
        <w:tc>
          <w:tcPr>
            <w:tcW w:w="1800" w:type="dxa"/>
            <w:vAlign w:val="center"/>
          </w:tcPr>
          <w:p>
            <w:pPr>
              <w:pStyle w:val="MDPI42tablebody"/>
              <w:spacing w:line="240" w:lineRule="auto"/>
              <w:jc w:val="left"/>
            </w:pPr>
            <w:r>
              <w:t xml:space="preserve">Clinical impact</w:t>
            </w:r>
          </w:p>
        </w:tc>
        <w:tc>
          <w:tcPr>
            <w:tcW w:w="3100" w:type="dxa"/>
            <w:vAlign w:val="center"/>
          </w:tcPr>
          <w:p>
            <w:pPr>
              <w:pStyle w:val="MDPI42tablebody"/>
              <w:spacing w:line="240" w:lineRule="auto"/>
              <w:jc w:val="left"/>
            </w:pPr>
            <w:r>
              <w:t xml:space="preserve">Prospective or implementation evaluation, 0</w:t>
            </w:r>
          </w:p>
        </w:tc>
        <w:tc>
          <w:tcPr>
            <w:tcW w:w="5566" w:type="dxa"/>
            <w:vAlign w:val="center"/>
          </w:tcPr>
          <w:p>
            <w:pPr>
              <w:pStyle w:val="MDPI42tablebody"/>
              <w:spacing w:line="240" w:lineRule="auto"/>
              <w:jc w:val="left"/>
            </w:pPr>
            <w:r>
              <w:t xml:space="preserve">Conduct silent-mode and then prospective comparative evaluation of referral accuracy, workload, cost, and patient outcomes, reported according to DECIDE-AI, STARD-AI, and TRIPOD+AI.</w:t>
            </w:r>
          </w:p>
        </w:tc>
      </w:tr>
    </w:tbl>
    <w:p w14:paraId="2471621E" w14:textId="77777777" w:rsidR="007C1CDA" w:rsidRPr="001A0468" w:rsidRDefault="007C1CDA" w:rsidP="006D1F3D">
      <w:pPr>
        <w:pStyle w:val="MDPI43tablefooter"/>
        <w:ind w:left="0" w:firstLine="0"/>
      </w:pPr>
      <w:r>
        <w:t xml:space="preserve">Numbers are counts of reports (n = 55). CI, confidence interval.</w:t>
      </w:r>
    </w:p>
    <w:p w14:paraId="154606C3" w14:textId="77777777" w:rsidR="007C1CDA" w:rsidRPr="001A0468" w:rsidRDefault="007C1CDA" w:rsidP="006D1F3D">
      <w:pPr>
        <w:pStyle w:val="MDPI22heading2"/>
        <w:spacing w:before="240"/>
      </w:pPr>
      <w:r>
        <w:t xml:space="preserve">4.5. Biomarkers, Explanations, and Multimodal Interpretation</w:t>
      </w:r>
    </w:p>
    <w:p w14:paraId="7EB1C0F3" w14:textId="77777777" w:rsidR="007C1CDA" w:rsidRPr="001A0468" w:rsidRDefault="007C1CDA" w:rsidP="006D1F3D">
      <w:pPr>
        <w:pStyle w:val="MDPI31text"/>
      </w:pPr>
      <w:r>
        <w:t xml:space="preserve">The reviewed systems represented clinically plausible information, including disc and cup geometry, neuroretinal-rim configuration, RNFL structure, and structure–function relationships. Explicit segmentation-to-vCDR pathways were more traceable than unconstrained classifiers. In a small number of internally evaluated studies, multimodal models reported higher discrimination than single-modality comparators [103,112], but independent confirmation is lacking, and any incremental value must be weighed against acquisition cost, access to OCT and perimetry in primary care, and failure when a modality is missing.</w:t>
      </w:r>
    </w:p>
    <w:p w14:paraId="7EB1C0F3" w14:textId="77777777" w:rsidR="007C1CDA" w:rsidRPr="001A0468" w:rsidRDefault="007C1CDA" w:rsidP="006D1F3D">
      <w:pPr>
        <w:pStyle w:val="MDPI31text"/>
      </w:pPr>
      <w:r>
        <w:t xml:space="preserve">Interpretability must not be confused with biomarker validation. Attention maps, Grad-CAM, attention rollout, and related displays can support error analysis and hypothesis generation, but a map centred on the optic disc does not show that the highlighted feature drove a stable decision, is glaucoma-specific, or generalises across devices and populations, consistent with broader critiques of post hoc explainability in health care [129]. Circularity is especially problematic when a model trained against a vCDR threshold is presented as validating vCDR. Biomarker-oriented studies should evaluate repeatability, association with an adjudicated outcome, incremental value beyond established measurements, robustness to image quality and domain shift, and, where relevant, longitudinal relation to progression.</w:t>
      </w:r>
    </w:p>
    <w:p w14:paraId="154606C3" w14:textId="77777777" w:rsidR="007C1CDA" w:rsidRPr="001A0468" w:rsidRDefault="007C1CDA" w:rsidP="006D1F3D">
      <w:pPr>
        <w:pStyle w:val="MDPI22heading2"/>
        <w:spacing w:before="240"/>
      </w:pPr>
      <w:r>
        <w:t xml:space="preserve">4.6. Strengths and Limitations</w:t>
      </w:r>
    </w:p>
    <w:p w14:paraId="7EB1C0F3" w14:textId="77777777" w:rsidR="007C1CDA" w:rsidRPr="001A0468" w:rsidRDefault="007C1CDA" w:rsidP="006D1F3D">
      <w:pPr>
        <w:pStyle w:val="MDPI31text"/>
      </w:pPr>
      <w:r>
        <w:t xml:space="preserve">This review applied transformer-specific eligibility criteria, linked recurrent dataset families, separated early disease from suspect and surrogate states, and distinguished technical cross-dataset testing from clinical external validation. It appraised development quality, evaluation risk of bias, and applicability separately; performed screening, data extraction, and appraisal independently in duplicate, with disagreements adjudicated by two further authors; avoided pooling non-exchangeable estimates; and distinguished anatomical biomarkers from post hoc explanations. All report-level data and judgements are provided in the Supplementary Materials, making the synthesis fully auditable.</w:t>
      </w:r>
    </w:p>
    <w:p w14:paraId="7EB1C0F3" w14:textId="77777777" w:rsidR="007C1CDA" w:rsidRPr="001A0468" w:rsidRDefault="007C1CDA" w:rsidP="006D1F3D">
      <w:pPr>
        <w:pStyle w:val="MDPI31text"/>
      </w:pPr>
      <w:r>
        <w:t xml:space="preserve">Several limitations should be considered. The restriction to full-length, English-language journal reports may have omitted relevant non-English work and conference proceedings, which are a common publication route in computer vision; however, conference papers seldom report the participant-level partitioning and reference-standard details required for clinical appraisal. Google Scholar screening was limited to the first 200 relevance-ranked results. The field is evolving rapidly, and reports published after 15 July 2026 were not captured. Missing denominators, partition details, and glaucoma-specific metrics were recorded as not reported rather than imputed. Synthesis at report level and extensive dataset reuse prevented estimation of the total number of independent participants. Applicability to screening could be judged only from the sampling frames described in the reports, and several analyses were added after protocol registration; these are identified as post hoc in Section 2.1. Finally, heterogeneous targets, reference standards, units of analysis, and validation designs precluded meta-analysis, formal assessment of publication bias, and formal certainty grading; the conclusions therefore concern the maturity and credibility of the evidence rather than a pooled measure of diagnostic accuracy.</w:t>
      </w:r>
    </w:p>
    <w:p w14:paraId="43686E48" w14:textId="77777777" w:rsidR="007C1CDA" w:rsidRPr="001A0468" w:rsidRDefault="007C1CDA" w:rsidP="006D1F3D">
      <w:pPr>
        <w:pStyle w:val="MDPI21heading1"/>
      </w:pPr>
      <w:r>
        <w:t xml:space="preserve">5. Conclusions</w:t>
      </w:r>
    </w:p>
    <w:p w14:paraId="7EB1C0F3" w14:textId="77777777" w:rsidR="007C1CDA" w:rsidRPr="001A0468" w:rsidRDefault="007C1CDA" w:rsidP="006D1F3D">
      <w:pPr>
        <w:pStyle w:val="MDPI31text"/>
      </w:pPr>
      <w:r>
        <w:t xml:space="preserve">Transformer-based models can achieve high discrimination for glaucoma from fundus, ONH, OCT, and multimodal imaging, but the current evidence is dominated by internally evaluated, repeatedly reused benchmarks with heterogeneous labels and limited participant-level separation. Only six of 55 reports operationalised mild or early perimetric disease, one provided a credible early-disease estimate, none reported preperimetric performance, and none validated an explanation output as a glaucoma biomarker. Three reports combined low risk of bias with low applicability concern for diagnostic detection, but none was applicable to population screening or evaluated a screening pathway prospectively. Transformer-based glaucoma detection is therefore not yet ready for screening deployment. Progress now depends less on new architectures than on better evidence: prespecified early-disease definitions, clinical reference standards, participant-level data splits, frozen external and prospective validation, calibration and screening-relevant operating characteristics, and evaluation of effects on referral pathways, costs, and patient outcomes.</w:t>
      </w:r>
    </w:p>
    <w:p w14:paraId="685A4ED4" w14:textId="77777777" w:rsidR="007C1CDA" w:rsidRPr="001A0468" w:rsidRDefault="007C1CDA" w:rsidP="006D1F3D">
      <w:pPr>
        <w:pStyle w:val="MDPI62backmatter"/>
        <w:spacing w:before="240"/>
      </w:pPr>
      <w:r>
        <w:rPr>
          <w:b/>
        </w:rPr>
        <w:t xml:space="preserve">Supplementary Materials: </w:t>
      </w:r>
      <w:r>
        <w:t xml:space="preserve">The following supporting information can be downloaded at: https://www.mdpi.com/article/doi/s1, Table S1: Electronic search strategies and supplementary search methods; Table S2: Reports excluded at full-text assessment, with principal reasons; Table S3: Characteristics of the 55 included reports; Table S4: Validation design and diagnostic performance as reported; Table S5: Early-disease definitions, reference standards, imaging biomarkers, and explanation methods; Table S6: Recurring public dataset families and linked reports; Table S7: PROBAST+AI judgements for model development, model evaluation, and applicability, with report-specific rationales; Table S8: Sensitivity analysis of headline proportions. The completed PRISMA 2020 checklist is provided as a separate file.</w:t>
      </w:r>
    </w:p>
    <w:p w14:paraId="685A4ED4" w14:textId="77777777" w:rsidR="007C1CDA" w:rsidRPr="001A0468" w:rsidRDefault="007C1CDA" w:rsidP="006D1F3D">
      <w:pPr>
        <w:pStyle w:val="MDPI62backmatter"/>
        <w:spacing w:before="240"/>
      </w:pPr>
      <w:r>
        <w:rPr>
          <w:b/>
        </w:rPr>
        <w:t xml:space="preserve">Author Contributions: </w:t>
      </w:r>
      <w:r>
        <w:t xml:space="preserve">Conceptualization, M.S.A. and M.I.E.-K.G.; methodology, M.S.A., M.I.E.-K.G., A.K.D. and M.A.S.; investigation, M.S.A. and M.I.E.-K.G.; data curation, M.S.A. and M.I.E.-K.G.; validation, A.K.D. and M.A.S.; formal analysis, M.S.A. and M.I.E.-K.G.; visualization, M.S.A.; writing—original draft preparation, M.S.A.; writing—review and editing, M.I.E.-K.G., A.K.D. and M.A.S.; supervision, M.I.E.-K.G.; project administration, M.I.E.-K.G.; funding acquisition, M.I.E.-K.G. and A.K.D. All authors have read and agreed to the published version of the manuscript.</w:t>
      </w:r>
    </w:p>
    <w:p w14:paraId="685A4ED4" w14:textId="77777777" w:rsidR="007C1CDA" w:rsidRPr="001A0468" w:rsidRDefault="007C1CDA" w:rsidP="006D1F3D">
      <w:pPr>
        <w:pStyle w:val="MDPI62backmatter"/>
        <w:spacing w:before="240"/>
      </w:pPr>
      <w:r>
        <w:rPr>
          <w:b/>
        </w:rPr>
        <w:t xml:space="preserve">Funding: </w:t>
      </w:r>
      <w:r>
        <w:t xml:space="preserve">This research was funded by the King Salman Center for Disability Research, grant number KSRG-2026-457.</w:t>
      </w:r>
    </w:p>
    <w:p w14:paraId="685A4ED4" w14:textId="77777777" w:rsidR="007C1CDA" w:rsidRPr="001A0468" w:rsidRDefault="007C1CDA" w:rsidP="006D1F3D">
      <w:pPr>
        <w:pStyle w:val="MDPI62backmatter"/>
        <w:spacing w:before="240"/>
      </w:pPr>
      <w:r>
        <w:rPr>
          <w:b/>
        </w:rPr>
        <w:t xml:space="preserve">Institutional Review Board Statement: </w:t>
      </w:r>
      <w:r>
        <w:t xml:space="preserve">Not applicable. This study synthesised published reports and did not involve individual participant data.</w:t>
      </w:r>
    </w:p>
    <w:p w14:paraId="685A4ED4" w14:textId="77777777" w:rsidR="007C1CDA" w:rsidRPr="001A0468" w:rsidRDefault="007C1CDA" w:rsidP="006D1F3D">
      <w:pPr>
        <w:pStyle w:val="MDPI62backmatter"/>
        <w:spacing w:before="240"/>
      </w:pPr>
      <w:r>
        <w:rPr>
          <w:b/>
        </w:rPr>
        <w:t xml:space="preserve">Informed Consent Statement: </w:t>
      </w:r>
      <w:r>
        <w:t xml:space="preserve">Not applicable.</w:t>
      </w:r>
    </w:p>
    <w:p w14:paraId="685A4ED4" w14:textId="77777777" w:rsidR="007C1CDA" w:rsidRPr="001A0468" w:rsidRDefault="007C1CDA" w:rsidP="006D1F3D">
      <w:pPr>
        <w:pStyle w:val="MDPI62backmatter"/>
        <w:spacing w:before="240"/>
      </w:pPr>
      <w:r>
        <w:rPr>
          <w:b/>
        </w:rPr>
        <w:t xml:space="preserve">Data Availability Statement: </w:t>
      </w:r>
      <w:r>
        <w:t xml:space="preserve">All report-level extracted data, harmonised definitions, validation tiers, and PROBAST+AI judgements with rationales are provided in the Supplementary Materials (Tables S1–S8). A machine-readable version of the extraction dataset is available from the corresponding author on reasonable request.</w:t>
      </w:r>
    </w:p>
    <w:p w14:paraId="685A4ED4" w14:textId="77777777" w:rsidR="007C1CDA" w:rsidRPr="001A0468" w:rsidRDefault="007C1CDA" w:rsidP="006D1F3D">
      <w:pPr>
        <w:pStyle w:val="MDPI62backmatter"/>
        <w:spacing w:before="240"/>
      </w:pPr>
      <w:r>
        <w:rPr>
          <w:b/>
        </w:rPr>
        <w:t xml:space="preserve">Acknowledgments: </w:t>
      </w:r>
      <w:r>
        <w:t xml:space="preserve">The authors extend their appreciation to the King Salman Center for Disability Research for funding this work through Research Group Number KSRG-2026-457.</w:t>
      </w:r>
    </w:p>
    <w:p w14:paraId="685A4ED4" w14:textId="77777777" w:rsidR="007C1CDA" w:rsidRPr="001A0468" w:rsidRDefault="007C1CDA" w:rsidP="006D1F3D">
      <w:pPr>
        <w:pStyle w:val="MDPI62backmatter"/>
        <w:spacing w:before="240"/>
      </w:pPr>
      <w:r>
        <w:rPr>
          <w:b/>
        </w:rPr>
        <w:t xml:space="preserve">Conflicts of Interest: </w:t>
      </w:r>
      <w:r>
        <w:t xml:space="preserve">The authors declare no conflicts of interest. The funders had no role in the design of the study; in the collection, analyses, or interpretation of data; in the writing of the manuscript; or in the decision to publish the results.</w:t>
      </w:r>
    </w:p>
    <w:p w14:paraId="43686E48" w14:textId="77777777" w:rsidR="007C1CDA" w:rsidRPr="001A0468" w:rsidRDefault="007C1CDA" w:rsidP="006D1F3D">
      <w:pPr>
        <w:pStyle w:val="MDPI21heading1"/>
      </w:pPr>
      <w:r>
        <w:t xml:space="preserve">Abbreviations</w:t>
      </w:r>
    </w:p>
    <w:p w14:paraId="1882B93A" w14:textId="77777777" w:rsidR="007C1CDA" w:rsidRPr="001A0468" w:rsidRDefault="007C1CDA" w:rsidP="006D1F3D">
      <w:pPr>
        <w:pStyle w:val="MDPI32textnoindent"/>
      </w:pPr>
      <w:r>
        <w:t xml:space="preserve">The following abbreviations are used in this manuscript:</w:t>
      </w:r>
    </w:p>
    <w:tbl>
      <w:tblPr>
        <w:tblStyle w:val="TableGrid"/>
        <w:tblW w:w="7850"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0"/>
        <w:gridCol w:w="6150"/>
      </w:tblGrid>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AI</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artificial intelligence</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AUC</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area under the receiver operating characteristic curve</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CI</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confidence interval</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DIGS/ADAGES</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Diagnostic Innovations in Glaucoma Study/African Descent and Glaucoma Evaluation Study</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DECIDE-AI</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Developmental and Exploratory Clinical Investigations of Decision support systems driven by Artificial Intelligence</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GAMMA</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Glaucoma grAding from Multi-Modality imAges</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GON</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glaucomatous optic neuropathy</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Grad-CAM</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gradient-weighted class activation mapping</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NR</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not reported</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OCT</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optical coherence tomography</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OHT</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ocular hypertension</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OHTS</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Ocular Hypertension Treatment Study</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ONH</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optic nerve head</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POAAGG</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Primary Open-Angle African American Glaucoma Genetics</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POAG</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primary open-angle glaucoma</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PPV</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positive predictive value</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PRISMA</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Preferred Reporting Items for Systematic Reviews and Meta-Analyses</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PRISMA-DTA</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PRISMA for Diagnostic Test Accuracy</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PRISMA-S</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PRISMA extension for reporting literature searches</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PROBAST+AI</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Prediction model Risk Of Bias ASsessment Tool, updated for artificial intelligence</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QUADAS-3</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Quality Assessment of Diagnostic Accuracy Studies, version 3</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RNFL</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retinal nerve fibre layer</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RoB 2</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revised Cochrane risk-of-bias tool for randomised trials</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STARD-AI</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Standards for Reporting of Diagnostic Accuracy Studies–Artificial Intelligence</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SWiM</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Synthesis Without Meta-analysis</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TRIPOD+AI</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Transparent Reporting of a multivariable prediction model for Individual Prognosis Or Diagnosis, updated for artificial intelligence</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TRIPOD-SRMA</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TRIPOD checklist for Systematic Reviews and Meta-Analyses</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vCDR</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vertical cup-to-disc ratio</w:t>
            </w:r>
          </w:p>
        </w:tc>
      </w:tr>
      <w:tr w:rsidR="006D1F3D" w:rsidRPr="001A0468" w14:paraId="6861241C" w14:textId="77777777" w:rsidTr="000D20E3">
        <w:tc>
          <w:tcPr>
            <w:tcW w:w="1700" w:type="dxa"/>
            <w:vAlign w:val="center"/>
          </w:tcPr>
          <w:p w14:paraId="13E76191" w14:textId="77777777" w:rsidR="006D1F3D" w:rsidRPr="001A0468" w:rsidRDefault="006D1F3D" w:rsidP="000D20E3">
            <w:pPr>
              <w:pStyle w:val="MDPI42tablebody"/>
              <w:spacing w:line="240" w:lineRule="auto"/>
              <w:jc w:val="left"/>
              <w:rPr>
                <w:sz w:val="18"/>
                <w:szCs w:val="18"/>
              </w:rPr>
            </w:pPr>
            <w:r>
              <w:t xml:space="preserve">ViT</w:t>
            </w:r>
          </w:p>
        </w:tc>
        <w:tc>
          <w:tcPr>
            <w:tcW w:w="6150" w:type="dxa"/>
            <w:vAlign w:val="center"/>
          </w:tcPr>
          <w:p w14:paraId="2E96C06F" w14:textId="77777777" w:rsidR="006D1F3D" w:rsidRPr="001A0468" w:rsidRDefault="006D1F3D" w:rsidP="000D20E3">
            <w:pPr>
              <w:pStyle w:val="MDPI42tablebody"/>
              <w:spacing w:line="240" w:lineRule="auto"/>
              <w:jc w:val="left"/>
              <w:rPr>
                <w:sz w:val="18"/>
                <w:szCs w:val="18"/>
              </w:rPr>
            </w:pPr>
            <w:r>
              <w:t xml:space="preserve">Vision Transformer</w:t>
            </w:r>
          </w:p>
        </w:tc>
      </w:tr>
    </w:tbl>
    <w:p w14:paraId="43686E48" w14:textId="77777777" w:rsidR="007C1CDA" w:rsidRPr="001A0468" w:rsidRDefault="007C1CDA" w:rsidP="006D1F3D">
      <w:pPr>
        <w:pStyle w:val="MDPI21heading1"/>
      </w:pPr>
      <w:r>
        <w:t xml:space="preserve">References</w:t>
      </w:r>
    </w:p>
    <w:p w14:paraId="7D246A0D" w14:textId="77777777" w:rsidR="007C1CDA" w:rsidRPr="001A0468" w:rsidRDefault="007C1CDA" w:rsidP="006D1F3D">
      <w:pPr>
        <w:pStyle w:val="MDPI81references"/>
        <w:numPr>
          <w:ilvl w:val="0"/>
          <w:numId w:val="0"/>
        </w:numPr>
        <w:ind w:left="425"/>
      </w:pPr>
      <w:r>
        <w:rPr>
          <w:color w:val="000000" w:themeColor="text1"/>
        </w:rPr>
        <w:t xml:space="preserve">Gedde, S.J.; Vinod, K.; Wright, M.M.; Muir, K.W.; Lind, J.T.; Chen, P.P.; Li, T.; Mansberger, S.L. Primary Open-Angle Glaucoma Preferred Practice Pattern®. </w:t>
      </w:r>
      <w:r>
        <w:rPr>
          <w:i/>
          <w:color w:val="000000" w:themeColor="text1"/>
        </w:rPr>
        <w:t>Ophthalmology</w:t>
      </w:r>
      <w:r>
        <w:rPr>
          <w:color w:val="000000" w:themeColor="text1"/>
        </w:rPr>
        <w:t xml:space="preserve"> </w:t>
      </w:r>
      <w:r>
        <w:rPr>
          <w:b/>
          <w:color w:val="000000" w:themeColor="text1"/>
        </w:rPr>
        <w:t>2021</w:t>
      </w:r>
      <w:r>
        <w:rPr>
          <w:color w:val="000000" w:themeColor="text1"/>
        </w:rPr>
        <w:t xml:space="preserve">, </w:t>
      </w:r>
      <w:r>
        <w:rPr>
          <w:i/>
          <w:color w:val="000000" w:themeColor="text1"/>
        </w:rPr>
        <w:t>128</w:t>
      </w:r>
      <w:r>
        <w:rPr>
          <w:color w:val="000000" w:themeColor="text1"/>
        </w:rPr>
        <w:t>, P71–P150. https://doi.org/10.1016/j.ophtha.2020.10.022.</w:t>
      </w:r>
    </w:p>
    <w:p w14:paraId="7D246A0D" w14:textId="77777777" w:rsidR="007C1CDA" w:rsidRPr="001A0468" w:rsidRDefault="007C1CDA" w:rsidP="006D1F3D">
      <w:pPr>
        <w:pStyle w:val="MDPI81references"/>
        <w:numPr>
          <w:ilvl w:val="0"/>
          <w:numId w:val="0"/>
        </w:numPr>
        <w:ind w:left="425"/>
      </w:pPr>
      <w:r>
        <w:rPr>
          <w:color w:val="000000" w:themeColor="text1"/>
        </w:rPr>
        <w:lastRenderedPageBreak/>
        <w:t xml:space="preserve">Tham, Y.-C.; Li, X.; Wong, T.Y.; Quigley, H.A.; Aung, T.; Cheng, C.-Y. Global Prevalence of Glaucoma and Projections of Glaucoma Burden through 2040: A Systematic Review and Meta-Analysis. </w:t>
      </w:r>
      <w:r>
        <w:rPr>
          <w:i/>
          <w:color w:val="000000" w:themeColor="text1"/>
        </w:rPr>
        <w:t>Ophthalmology</w:t>
      </w:r>
      <w:r>
        <w:rPr>
          <w:color w:val="000000" w:themeColor="text1"/>
        </w:rPr>
        <w:t xml:space="preserve"> </w:t>
      </w:r>
      <w:r>
        <w:rPr>
          <w:b/>
          <w:color w:val="000000" w:themeColor="text1"/>
        </w:rPr>
        <w:t>2014</w:t>
      </w:r>
      <w:r>
        <w:rPr>
          <w:color w:val="000000" w:themeColor="text1"/>
        </w:rPr>
        <w:t xml:space="preserve">, </w:t>
      </w:r>
      <w:r>
        <w:rPr>
          <w:i/>
          <w:color w:val="000000" w:themeColor="text1"/>
        </w:rPr>
        <w:t>121</w:t>
      </w:r>
      <w:r>
        <w:rPr>
          <w:color w:val="000000" w:themeColor="text1"/>
        </w:rPr>
        <w:t>, 2081–2090. https://doi.org/10.1016/j.ophtha.2014.05.013.</w:t>
      </w:r>
    </w:p>
    <w:p w14:paraId="7D246A0D" w14:textId="77777777" w:rsidR="007C1CDA" w:rsidRPr="001A0468" w:rsidRDefault="007C1CDA" w:rsidP="006D1F3D">
      <w:pPr>
        <w:pStyle w:val="MDPI81references"/>
        <w:numPr>
          <w:ilvl w:val="0"/>
          <w:numId w:val="0"/>
        </w:numPr>
        <w:ind w:left="425"/>
      </w:pPr>
      <w:r>
        <w:rPr>
          <w:color w:val="000000" w:themeColor="text1"/>
        </w:rPr>
        <w:t xml:space="preserve">Soh, Z.; Yu, M.; Betzler, B.K.; Majithia, S.; Thakur, S.; Tham, Y.-C.; Wong, T.Y.; Aung, T.; Friedman, D.S.; Cheng, C.-Y. The Global Extent of Undetected Glaucoma in Adults: A Systematic Review and Meta-Analysis. </w:t>
      </w:r>
      <w:r>
        <w:rPr>
          <w:i/>
          <w:color w:val="000000" w:themeColor="text1"/>
        </w:rPr>
        <w:t>Ophthalmology</w:t>
      </w:r>
      <w:r>
        <w:rPr>
          <w:color w:val="000000" w:themeColor="text1"/>
        </w:rPr>
        <w:t xml:space="preserve"> </w:t>
      </w:r>
      <w:r>
        <w:rPr>
          <w:b/>
          <w:color w:val="000000" w:themeColor="text1"/>
        </w:rPr>
        <w:t>2021</w:t>
      </w:r>
      <w:r>
        <w:rPr>
          <w:color w:val="000000" w:themeColor="text1"/>
        </w:rPr>
        <w:t xml:space="preserve">, </w:t>
      </w:r>
      <w:r>
        <w:rPr>
          <w:i/>
          <w:color w:val="000000" w:themeColor="text1"/>
        </w:rPr>
        <w:t>128</w:t>
      </w:r>
      <w:r>
        <w:rPr>
          <w:color w:val="000000" w:themeColor="text1"/>
        </w:rPr>
        <w:t>, 1393–1404. https://doi.org/10.1016/j.ophtha.2021.04.009.</w:t>
      </w:r>
    </w:p>
    <w:p w14:paraId="7D246A0D" w14:textId="77777777" w:rsidR="007C1CDA" w:rsidRPr="001A0468" w:rsidRDefault="007C1CDA" w:rsidP="006D1F3D">
      <w:pPr>
        <w:pStyle w:val="MDPI81references"/>
        <w:numPr>
          <w:ilvl w:val="0"/>
          <w:numId w:val="0"/>
        </w:numPr>
        <w:ind w:left="425"/>
      </w:pPr>
      <w:r>
        <w:t xml:space="preserve">World Health Organization. </w:t>
      </w:r>
      <w:r>
        <w:rPr>
          <w:i/>
        </w:rPr>
        <w:t xml:space="preserve">World Report on Vision</w:t>
      </w:r>
      <w:r>
        <w:t xml:space="preserve">; World Health Organization: Geneva, Switzerland, 2019. Available online: https://www.who.int/publications/i/item/9789241516570 (accessed on 29 September 2026).</w:t>
      </w:r>
    </w:p>
    <w:p w14:paraId="7D246A0D" w14:textId="77777777" w:rsidR="007C1CDA" w:rsidRPr="001A0468" w:rsidRDefault="007C1CDA" w:rsidP="006D1F3D">
      <w:pPr>
        <w:pStyle w:val="MDPI81references"/>
        <w:numPr>
          <w:ilvl w:val="0"/>
          <w:numId w:val="0"/>
        </w:numPr>
        <w:ind w:left="425"/>
      </w:pPr>
      <w:r>
        <w:rPr>
          <w:color w:val="000000" w:themeColor="text1"/>
        </w:rPr>
        <w:t xml:space="preserve">Oddone, F.; Lucenteforte, E.; Michelessi, M.; Rizzo, S.; Donati, S.; Parravano, M.; Virgili, G. Macular versus Retinal Nerve Fiber Layer Parameters for Diagnosing Manifest Glaucoma: A Systematic Review of Diagnostic Accuracy Studies. </w:t>
      </w:r>
      <w:r>
        <w:rPr>
          <w:i/>
          <w:color w:val="000000" w:themeColor="text1"/>
        </w:rPr>
        <w:t>Ophthalmology</w:t>
      </w:r>
      <w:r>
        <w:rPr>
          <w:color w:val="000000" w:themeColor="text1"/>
        </w:rPr>
        <w:t xml:space="preserve"> </w:t>
      </w:r>
      <w:r>
        <w:rPr>
          <w:b/>
          <w:color w:val="000000" w:themeColor="text1"/>
        </w:rPr>
        <w:t>2016</w:t>
      </w:r>
      <w:r>
        <w:rPr>
          <w:color w:val="000000" w:themeColor="text1"/>
        </w:rPr>
        <w:t xml:space="preserve">, </w:t>
      </w:r>
      <w:r>
        <w:rPr>
          <w:i/>
          <w:color w:val="000000" w:themeColor="text1"/>
        </w:rPr>
        <w:t>123</w:t>
      </w:r>
      <w:r>
        <w:rPr>
          <w:color w:val="000000" w:themeColor="text1"/>
        </w:rPr>
        <w:t>, 939–949. https://doi.org/10.1016/j.ophtha.2015.12.041.</w:t>
      </w:r>
    </w:p>
    <w:p w14:paraId="7D246A0D" w14:textId="77777777" w:rsidR="007C1CDA" w:rsidRPr="001A0468" w:rsidRDefault="007C1CDA" w:rsidP="006D1F3D">
      <w:pPr>
        <w:pStyle w:val="MDPI81references"/>
        <w:numPr>
          <w:ilvl w:val="0"/>
          <w:numId w:val="0"/>
        </w:numPr>
        <w:ind w:left="425"/>
      </w:pPr>
      <w:r>
        <w:rPr>
          <w:color w:val="000000" w:themeColor="text1"/>
        </w:rPr>
        <w:t xml:space="preserve">Triolo, G.; Rabiolo, A. Optical Coherence Tomography and Optical Coherence Tomography Angiography in Glaucoma: Diagnosis, Progression, and Correlation with Functional Tests. </w:t>
      </w:r>
      <w:r>
        <w:rPr>
          <w:i/>
          <w:color w:val="000000" w:themeColor="text1"/>
        </w:rPr>
        <w:t>Ther. Adv. Ophthalmol.</w:t>
      </w:r>
      <w:r>
        <w:rPr>
          <w:color w:val="000000" w:themeColor="text1"/>
        </w:rPr>
        <w:t xml:space="preserve"> </w:t>
      </w:r>
      <w:r>
        <w:rPr>
          <w:b/>
          <w:color w:val="000000" w:themeColor="text1"/>
        </w:rPr>
        <w:t>2020</w:t>
      </w:r>
      <w:r>
        <w:rPr>
          <w:color w:val="000000" w:themeColor="text1"/>
        </w:rPr>
        <w:t xml:space="preserve">, </w:t>
      </w:r>
      <w:r>
        <w:rPr>
          <w:i/>
          <w:color w:val="000000" w:themeColor="text1"/>
        </w:rPr>
        <w:t>12</w:t>
      </w:r>
      <w:r>
        <w:rPr>
          <w:color w:val="000000" w:themeColor="text1"/>
        </w:rPr>
        <w:t>, 2515841419899822. https://doi.org/10.1177/2515841419899822.</w:t>
      </w:r>
    </w:p>
    <w:p w14:paraId="7D246A0D" w14:textId="77777777" w:rsidR="007C1CDA" w:rsidRPr="001A0468" w:rsidRDefault="007C1CDA" w:rsidP="006D1F3D">
      <w:pPr>
        <w:pStyle w:val="MDPI81references"/>
        <w:numPr>
          <w:ilvl w:val="0"/>
          <w:numId w:val="0"/>
        </w:numPr>
        <w:ind w:left="425"/>
      </w:pPr>
      <w:r>
        <w:rPr>
          <w:color w:val="000000" w:themeColor="text1"/>
        </w:rPr>
        <w:t xml:space="preserve">Miki, A.; Medeiros, F.A.; Weinreb, R.N.; Jain, S.; He, F.; Sharpsten, L.; Khachatryan, N.; Hammel, N.; Liebmann, J.M.; Girkin, C.A.; et al. Rates of Retinal Nerve Fiber Layer Thinning in Glaucoma Suspect Eyes. </w:t>
      </w:r>
      <w:r>
        <w:rPr>
          <w:i/>
          <w:color w:val="000000" w:themeColor="text1"/>
        </w:rPr>
        <w:t>Ophthalmology</w:t>
      </w:r>
      <w:r>
        <w:rPr>
          <w:color w:val="000000" w:themeColor="text1"/>
        </w:rPr>
        <w:t xml:space="preserve"> </w:t>
      </w:r>
      <w:r>
        <w:rPr>
          <w:b/>
          <w:color w:val="000000" w:themeColor="text1"/>
        </w:rPr>
        <w:t>2014</w:t>
      </w:r>
      <w:r>
        <w:rPr>
          <w:color w:val="000000" w:themeColor="text1"/>
        </w:rPr>
        <w:t xml:space="preserve">, </w:t>
      </w:r>
      <w:r>
        <w:rPr>
          <w:i/>
          <w:color w:val="000000" w:themeColor="text1"/>
        </w:rPr>
        <w:t>121</w:t>
      </w:r>
      <w:r>
        <w:rPr>
          <w:color w:val="000000" w:themeColor="text1"/>
        </w:rPr>
        <w:t>, 1350–1358. https://doi.org/10.1016/j.ophtha.2014.01.017.</w:t>
      </w:r>
    </w:p>
    <w:p w14:paraId="7D246A0D" w14:textId="77777777" w:rsidR="007C1CDA" w:rsidRPr="001A0468" w:rsidRDefault="007C1CDA" w:rsidP="006D1F3D">
      <w:pPr>
        <w:pStyle w:val="MDPI81references"/>
        <w:numPr>
          <w:ilvl w:val="0"/>
          <w:numId w:val="0"/>
        </w:numPr>
        <w:ind w:left="425"/>
      </w:pPr>
      <w:r>
        <w:rPr>
          <w:color w:val="000000" w:themeColor="text1"/>
        </w:rPr>
        <w:t xml:space="preserve">Gedde, S.J.; Lind, J.T.; Wright, M.M.; Chen, P.P.; Muir, K.W.; Vinod, K.; Li, T.; Mansberger, S.L. Primary Open-Angle Glaucoma Suspect Preferred Practice Pattern®. </w:t>
      </w:r>
      <w:r>
        <w:rPr>
          <w:i/>
          <w:color w:val="000000" w:themeColor="text1"/>
        </w:rPr>
        <w:t>Ophthalmology</w:t>
      </w:r>
      <w:r>
        <w:rPr>
          <w:color w:val="000000" w:themeColor="text1"/>
        </w:rPr>
        <w:t xml:space="preserve"> </w:t>
      </w:r>
      <w:r>
        <w:rPr>
          <w:b/>
          <w:color w:val="000000" w:themeColor="text1"/>
        </w:rPr>
        <w:t>2021</w:t>
      </w:r>
      <w:r>
        <w:rPr>
          <w:color w:val="000000" w:themeColor="text1"/>
        </w:rPr>
        <w:t xml:space="preserve">, </w:t>
      </w:r>
      <w:r>
        <w:rPr>
          <w:i/>
          <w:color w:val="000000" w:themeColor="text1"/>
        </w:rPr>
        <w:t>128</w:t>
      </w:r>
      <w:r>
        <w:rPr>
          <w:color w:val="000000" w:themeColor="text1"/>
        </w:rPr>
        <w:t>, P151–P192. https://doi.org/10.1016/j.ophtha.2020.10.023.</w:t>
      </w:r>
    </w:p>
    <w:p w14:paraId="7D246A0D" w14:textId="77777777" w:rsidR="007C1CDA" w:rsidRPr="001A0468" w:rsidRDefault="007C1CDA" w:rsidP="006D1F3D">
      <w:pPr>
        <w:pStyle w:val="MDPI81references"/>
        <w:numPr>
          <w:ilvl w:val="0"/>
          <w:numId w:val="0"/>
        </w:numPr>
        <w:ind w:left="425"/>
      </w:pPr>
      <w:r>
        <w:rPr>
          <w:color w:val="000000" w:themeColor="text1"/>
        </w:rPr>
        <w:t xml:space="preserve">Kass, M.A.; Heuer, D.K.; Higginbotham, E.J.; Johnson, C.A.; Keltner, J.L.; Miller, J.P.; Parrish, R.K., II; Wilson, M.R.; Gordon, M.O.; Ocular Hypertension Treatment Study Group. The Ocular Hypertension Treatment Study: A Randomized Trial Determines That Topical Ocular Hypotensive Medication Delays or Prevents the Onset of Primary Open-Angle Glaucoma. </w:t>
      </w:r>
      <w:r>
        <w:rPr>
          <w:i/>
          <w:color w:val="000000" w:themeColor="text1"/>
        </w:rPr>
        <w:t>Arch. Ophthalmol.</w:t>
      </w:r>
      <w:r>
        <w:rPr>
          <w:color w:val="000000" w:themeColor="text1"/>
        </w:rPr>
        <w:t xml:space="preserve"> </w:t>
      </w:r>
      <w:r>
        <w:rPr>
          <w:b/>
          <w:color w:val="000000" w:themeColor="text1"/>
        </w:rPr>
        <w:t>2002</w:t>
      </w:r>
      <w:r>
        <w:rPr>
          <w:color w:val="000000" w:themeColor="text1"/>
        </w:rPr>
        <w:t xml:space="preserve">, </w:t>
      </w:r>
      <w:r>
        <w:rPr>
          <w:i/>
          <w:color w:val="000000" w:themeColor="text1"/>
        </w:rPr>
        <w:t>120</w:t>
      </w:r>
      <w:r>
        <w:rPr>
          <w:color w:val="000000" w:themeColor="text1"/>
        </w:rPr>
        <w:t>, 701–713. https://doi.org/10.1001/archopht.120.6.701.</w:t>
      </w:r>
    </w:p>
    <w:p w14:paraId="7D246A0D" w14:textId="77777777" w:rsidR="007C1CDA" w:rsidRPr="001A0468" w:rsidRDefault="007C1CDA" w:rsidP="006D1F3D">
      <w:pPr>
        <w:pStyle w:val="MDPI81references"/>
        <w:numPr>
          <w:ilvl w:val="0"/>
          <w:numId w:val="0"/>
        </w:numPr>
        <w:ind w:left="425"/>
      </w:pPr>
      <w:r>
        <w:rPr>
          <w:color w:val="000000" w:themeColor="text1"/>
        </w:rPr>
        <w:t xml:space="preserve">Tong, Y.; Wang, T.; Zhang, X.; He, Y.; Jiang, B. Optical Coherence Tomography Evaluation of Peripapillary and Macular Structure Changes in Pre-perimetric Glaucoma, Early Perimetric Glaucoma, and Ocular Hypertension: A Systematic Review and Meta-Analysis. </w:t>
      </w:r>
      <w:r>
        <w:rPr>
          <w:i/>
          <w:color w:val="000000" w:themeColor="text1"/>
        </w:rPr>
        <w:t>Front. Med.</w:t>
      </w:r>
      <w:r>
        <w:rPr>
          <w:color w:val="000000" w:themeColor="text1"/>
        </w:rPr>
        <w:t xml:space="preserve"> </w:t>
      </w:r>
      <w:r>
        <w:rPr>
          <w:b/>
          <w:color w:val="000000" w:themeColor="text1"/>
        </w:rPr>
        <w:t>2021</w:t>
      </w:r>
      <w:r>
        <w:rPr>
          <w:color w:val="000000" w:themeColor="text1"/>
        </w:rPr>
        <w:t xml:space="preserve">, </w:t>
      </w:r>
      <w:r>
        <w:rPr>
          <w:i/>
          <w:color w:val="000000" w:themeColor="text1"/>
        </w:rPr>
        <w:t>8</w:t>
      </w:r>
      <w:r>
        <w:rPr>
          <w:color w:val="000000" w:themeColor="text1"/>
        </w:rPr>
        <w:t>, 696004. https://doi.org/10.3389/fmed.2021.696004.</w:t>
      </w:r>
    </w:p>
    <w:p w14:paraId="7D246A0D" w14:textId="77777777" w:rsidR="007C1CDA" w:rsidRPr="001A0468" w:rsidRDefault="007C1CDA" w:rsidP="006D1F3D">
      <w:pPr>
        <w:pStyle w:val="MDPI81references"/>
        <w:numPr>
          <w:ilvl w:val="0"/>
          <w:numId w:val="0"/>
        </w:numPr>
        <w:ind w:left="425"/>
      </w:pPr>
      <w:r>
        <w:rPr>
          <w:color w:val="000000" w:themeColor="text1"/>
        </w:rPr>
        <w:t xml:space="preserve">US Preventive Services Task Force. Screening for Primary Open-Angle Glaucoma: US Preventive Services Task Force Recommendation Statement. </w:t>
      </w:r>
      <w:r>
        <w:rPr>
          <w:i/>
          <w:color w:val="000000" w:themeColor="text1"/>
        </w:rPr>
        <w:t>JAMA</w:t>
      </w:r>
      <w:r>
        <w:rPr>
          <w:color w:val="000000" w:themeColor="text1"/>
        </w:rPr>
        <w:t xml:space="preserve"> </w:t>
      </w:r>
      <w:r>
        <w:rPr>
          <w:b/>
          <w:color w:val="000000" w:themeColor="text1"/>
        </w:rPr>
        <w:t>2022</w:t>
      </w:r>
      <w:r>
        <w:rPr>
          <w:color w:val="000000" w:themeColor="text1"/>
        </w:rPr>
        <w:t xml:space="preserve">, </w:t>
      </w:r>
      <w:r>
        <w:rPr>
          <w:i/>
          <w:color w:val="000000" w:themeColor="text1"/>
        </w:rPr>
        <w:t>327</w:t>
      </w:r>
      <w:r>
        <w:rPr>
          <w:color w:val="000000" w:themeColor="text1"/>
        </w:rPr>
        <w:t>, 1992–1997. https://doi.org/10.1001/jama.2022.7013.</w:t>
      </w:r>
    </w:p>
    <w:p w14:paraId="7D246A0D" w14:textId="77777777" w:rsidR="007C1CDA" w:rsidRPr="001A0468" w:rsidRDefault="007C1CDA" w:rsidP="006D1F3D">
      <w:pPr>
        <w:pStyle w:val="MDPI81references"/>
        <w:numPr>
          <w:ilvl w:val="0"/>
          <w:numId w:val="0"/>
        </w:numPr>
        <w:ind w:left="425"/>
      </w:pPr>
      <w:r>
        <w:t xml:space="preserve">Abràmoff, M.D.; Lavin, P.T.; Birch, M.; Shah, N.; Folk, J.C. Pivotal Trial of an Autonomous AI-Based Diagnostic System for Detection of Diabetic Retinopathy in Primary Care Offices. </w:t>
      </w:r>
      <w:r>
        <w:rPr>
          <w:i/>
        </w:rPr>
        <w:t xml:space="preserve">npj Digit. Med.</w:t>
      </w:r>
      <w:r>
        <w:t xml:space="preserve"> </w:t>
      </w:r>
      <w:r>
        <w:rPr>
          <w:b/>
        </w:rPr>
        <w:t xml:space="preserve">2018</w:t>
      </w:r>
      <w:r>
        <w:t xml:space="preserve">, </w:t>
      </w:r>
      <w:r>
        <w:rPr>
          <w:i/>
        </w:rPr>
        <w:t xml:space="preserve">1</w:t>
      </w:r>
      <w:r>
        <w:t xml:space="preserve">, 39. https://doi.org/10.1038/s41746-018-0040-6.</w:t>
      </w:r>
    </w:p>
    <w:p w14:paraId="7D246A0D" w14:textId="77777777" w:rsidR="007C1CDA" w:rsidRPr="001A0468" w:rsidRDefault="007C1CDA" w:rsidP="006D1F3D">
      <w:pPr>
        <w:pStyle w:val="MDPI81references"/>
        <w:numPr>
          <w:ilvl w:val="0"/>
          <w:numId w:val="0"/>
        </w:numPr>
        <w:ind w:left="425"/>
      </w:pPr>
      <w:r>
        <w:rPr>
          <w:color w:val="000000" w:themeColor="text1"/>
        </w:rPr>
        <w:t xml:space="preserve">Vaswani, A.; Shazeer, N.; Parmar, N.; Uszkoreit, J.; Jones, L.; Gomez, A.N.; Kaiser, Ł.; Polosukhin, I. Attention Is All You Need. In </w:t>
      </w:r>
      <w:r>
        <w:rPr>
          <w:i/>
          <w:color w:val="000000" w:themeColor="text1"/>
        </w:rPr>
        <w:t>Advances in Neural Information Processing Systems 30</w:t>
      </w:r>
      <w:r>
        <w:rPr>
          <w:color w:val="000000" w:themeColor="text1"/>
        </w:rPr>
        <w:t xml:space="preserve">; Curran Associates: Red Hook, NY, USA, </w:t>
      </w:r>
      <w:r>
        <w:rPr>
          <w:b/>
          <w:color w:val="000000" w:themeColor="text1"/>
        </w:rPr>
        <w:t>2017</w:t>
      </w:r>
      <w:r>
        <w:rPr>
          <w:color w:val="000000" w:themeColor="text1"/>
        </w:rPr>
        <w:t>; pp. 5998–6008. Available online: https://proceedings.neurips.cc/paper/7181-attention-is-all-you-need (accessed on 30 July 2026).</w:t>
      </w:r>
    </w:p>
    <w:p w14:paraId="7D246A0D" w14:textId="77777777" w:rsidR="007C1CDA" w:rsidRPr="001A0468" w:rsidRDefault="007C1CDA" w:rsidP="006D1F3D">
      <w:pPr>
        <w:pStyle w:val="MDPI81references"/>
        <w:numPr>
          <w:ilvl w:val="0"/>
          <w:numId w:val="0"/>
        </w:numPr>
        <w:ind w:left="425"/>
      </w:pPr>
      <w:r>
        <w:rPr>
          <w:color w:val="000000" w:themeColor="text1"/>
        </w:rPr>
        <w:t xml:space="preserve">Dosovitskiy, A.; Beyer, L.; Kolesnikov, A.; Weissenborn, D.; Zhai, X.; Unterthiner, T.; Dehghani, M.; Minderer, M.; Heigold, G.; Gelly, S.; et al. An Image Is Worth 16 × 16 Words: Transformers for Image Recognition at Scale. In Proceedings of the 9th International Conference on Learning Representations (ICLR 2021), Virtual, </w:t>
      </w:r>
      <w:r>
        <w:rPr>
          <w:b/>
          <w:color w:val="000000" w:themeColor="text1"/>
        </w:rPr>
        <w:t>2021</w:t>
      </w:r>
      <w:r>
        <w:rPr>
          <w:color w:val="000000" w:themeColor="text1"/>
        </w:rPr>
        <w:t>. Available online: https://openreview.net/forum?id=YicbFdNTTy (accessed on 30 July 2026).</w:t>
      </w:r>
    </w:p>
    <w:p w14:paraId="7D246A0D" w14:textId="77777777" w:rsidR="007C1CDA" w:rsidRPr="001A0468" w:rsidRDefault="007C1CDA" w:rsidP="006D1F3D">
      <w:pPr>
        <w:pStyle w:val="MDPI81references"/>
        <w:numPr>
          <w:ilvl w:val="0"/>
          <w:numId w:val="0"/>
        </w:numPr>
        <w:ind w:left="425"/>
      </w:pPr>
      <w:r>
        <w:rPr>
          <w:color w:val="000000" w:themeColor="text1"/>
        </w:rPr>
        <w:t xml:space="preserve">Xia, K.; Wang, J. Recent Advances of Transformers in Medical Image Analysis: A Comprehensive Review. </w:t>
      </w:r>
      <w:r>
        <w:rPr>
          <w:i/>
          <w:color w:val="000000" w:themeColor="text1"/>
        </w:rPr>
        <w:t>MedComm Future Med.</w:t>
      </w:r>
      <w:r>
        <w:rPr>
          <w:color w:val="000000" w:themeColor="text1"/>
        </w:rPr>
        <w:t xml:space="preserve"> </w:t>
      </w:r>
      <w:r>
        <w:rPr>
          <w:b/>
          <w:color w:val="000000" w:themeColor="text1"/>
        </w:rPr>
        <w:t>2023</w:t>
      </w:r>
      <w:r>
        <w:rPr>
          <w:color w:val="000000" w:themeColor="text1"/>
        </w:rPr>
        <w:t xml:space="preserve">, </w:t>
      </w:r>
      <w:r>
        <w:rPr>
          <w:i/>
          <w:color w:val="000000" w:themeColor="text1"/>
        </w:rPr>
        <w:t>2</w:t>
      </w:r>
      <w:r>
        <w:rPr>
          <w:color w:val="000000" w:themeColor="text1"/>
        </w:rPr>
        <w:t>, e38. https://doi.org/10.1002/mef2.38.</w:t>
      </w:r>
    </w:p>
    <w:p w14:paraId="7D246A0D" w14:textId="77777777" w:rsidR="007C1CDA" w:rsidRPr="001A0468" w:rsidRDefault="007C1CDA" w:rsidP="006D1F3D">
      <w:pPr>
        <w:pStyle w:val="MDPI81references"/>
        <w:numPr>
          <w:ilvl w:val="0"/>
          <w:numId w:val="0"/>
        </w:numPr>
        <w:ind w:left="425"/>
      </w:pPr>
      <w:r>
        <w:rPr>
          <w:color w:val="000000" w:themeColor="text1"/>
        </w:rPr>
        <w:t xml:space="preserve">Hatamizadeh, A.; Tang, Y.; Nath, V.; Yang, D.; Myronenko, A.; Landman, B.; Roth, H.R.; Xu, D. UNETR: Transformers for 3D Medical Image Segmentation. In Proceedings of the 2022 IEEE/CVF Winter Conference on Applications of Computer Vision (WACV), Waikoloa, HI, USA, </w:t>
      </w:r>
      <w:r>
        <w:rPr>
          <w:b/>
          <w:color w:val="000000" w:themeColor="text1"/>
        </w:rPr>
        <w:t>2022</w:t>
      </w:r>
      <w:r>
        <w:rPr>
          <w:color w:val="000000" w:themeColor="text1"/>
        </w:rPr>
        <w:t>; pp. 1748–1758. https://doi.org/10.1109/WACV51458.2022.00181.</w:t>
      </w:r>
    </w:p>
    <w:p w14:paraId="7D246A0D" w14:textId="77777777" w:rsidR="007C1CDA" w:rsidRPr="001A0468" w:rsidRDefault="007C1CDA" w:rsidP="006D1F3D">
      <w:pPr>
        <w:pStyle w:val="MDPI81references"/>
        <w:numPr>
          <w:ilvl w:val="0"/>
          <w:numId w:val="0"/>
        </w:numPr>
        <w:ind w:left="425"/>
      </w:pPr>
      <w:r>
        <w:rPr>
          <w:color w:val="000000" w:themeColor="text1"/>
        </w:rPr>
        <w:t xml:space="preserve">Tejani, A.S.; Klontzas, M.E.; Gatti, A.A.; Mongan, J.T.; Moy, L.; Park, S.H.; Kahn, C.E., Jr.; CLAIM 2024 Update Panel. Checklist for Artificial Intelligence in Medical Imaging (CLAIM): 2024 Update. </w:t>
      </w:r>
      <w:r>
        <w:rPr>
          <w:i/>
          <w:color w:val="000000" w:themeColor="text1"/>
        </w:rPr>
        <w:t>Radiol. Artif. Intell.</w:t>
      </w:r>
      <w:r>
        <w:rPr>
          <w:color w:val="000000" w:themeColor="text1"/>
        </w:rPr>
        <w:t xml:space="preserve"> </w:t>
      </w:r>
      <w:r>
        <w:rPr>
          <w:b/>
          <w:color w:val="000000" w:themeColor="text1"/>
        </w:rPr>
        <w:t>2024</w:t>
      </w:r>
      <w:r>
        <w:rPr>
          <w:color w:val="000000" w:themeColor="text1"/>
        </w:rPr>
        <w:t xml:space="preserve">, </w:t>
      </w:r>
      <w:r>
        <w:rPr>
          <w:i/>
          <w:color w:val="000000" w:themeColor="text1"/>
        </w:rPr>
        <w:t>6</w:t>
      </w:r>
      <w:r>
        <w:rPr>
          <w:color w:val="000000" w:themeColor="text1"/>
        </w:rPr>
        <w:t>, e240300. https://doi.org/10.1148/ryai.240300.</w:t>
      </w:r>
    </w:p>
    <w:p w14:paraId="7D246A0D" w14:textId="77777777" w:rsidR="007C1CDA" w:rsidRPr="001A0468" w:rsidRDefault="007C1CDA" w:rsidP="006D1F3D">
      <w:pPr>
        <w:pStyle w:val="MDPI81references"/>
        <w:numPr>
          <w:ilvl w:val="0"/>
          <w:numId w:val="0"/>
        </w:numPr>
        <w:ind w:left="425"/>
      </w:pPr>
      <w:r>
        <w:rPr>
          <w:color w:val="000000" w:themeColor="text1"/>
        </w:rPr>
        <w:t xml:space="preserve">Lijmer, J.G.; Mol, B.W.; Heisterkamp, S.; Bonsel, G.J.; Prins, M.H.; van der Meulen, J.H.P.; Bossuyt, P.M.M. Empirical Evidence of Design-Related Bias in Studies of Diagnostic Tests. </w:t>
      </w:r>
      <w:r>
        <w:rPr>
          <w:i/>
          <w:color w:val="000000" w:themeColor="text1"/>
        </w:rPr>
        <w:t>JAMA</w:t>
      </w:r>
      <w:r>
        <w:rPr>
          <w:color w:val="000000" w:themeColor="text1"/>
        </w:rPr>
        <w:t xml:space="preserve"> </w:t>
      </w:r>
      <w:r>
        <w:rPr>
          <w:b/>
          <w:color w:val="000000" w:themeColor="text1"/>
        </w:rPr>
        <w:t>1999</w:t>
      </w:r>
      <w:r>
        <w:rPr>
          <w:color w:val="000000" w:themeColor="text1"/>
        </w:rPr>
        <w:t xml:space="preserve">, </w:t>
      </w:r>
      <w:r>
        <w:rPr>
          <w:i/>
          <w:color w:val="000000" w:themeColor="text1"/>
        </w:rPr>
        <w:t>282</w:t>
      </w:r>
      <w:r>
        <w:rPr>
          <w:color w:val="000000" w:themeColor="text1"/>
        </w:rPr>
        <w:t>, 1061–1066. https://doi.org/10.1001/jama.282.11.1061.</w:t>
      </w:r>
    </w:p>
    <w:p w14:paraId="7D246A0D" w14:textId="77777777" w:rsidR="007C1CDA" w:rsidRPr="001A0468" w:rsidRDefault="007C1CDA" w:rsidP="006D1F3D">
      <w:pPr>
        <w:pStyle w:val="MDPI81references"/>
        <w:numPr>
          <w:ilvl w:val="0"/>
          <w:numId w:val="0"/>
        </w:numPr>
        <w:ind w:left="425"/>
      </w:pPr>
      <w:r>
        <w:rPr>
          <w:color w:val="000000" w:themeColor="text1"/>
        </w:rPr>
        <w:t xml:space="preserve">Liu, X.; Faes, L.; Kale, A.U.; Wagner, S.K.; Fu, D.J.; Bruynseels, A.; Mahendiran, T.; Moraes, G.; Shamdas, M.; Kern, C.; et al. A Comparison of Deep Learning Performance against Health-Care Professionals in Detecting Diseases from Medical Imaging: A Systematic Review and Meta-Analysis. </w:t>
      </w:r>
      <w:r>
        <w:rPr>
          <w:i/>
          <w:color w:val="000000" w:themeColor="text1"/>
        </w:rPr>
        <w:t>Lancet Digit. Health</w:t>
      </w:r>
      <w:r>
        <w:rPr>
          <w:color w:val="000000" w:themeColor="text1"/>
        </w:rPr>
        <w:t xml:space="preserve"> </w:t>
      </w:r>
      <w:r>
        <w:rPr>
          <w:b/>
          <w:color w:val="000000" w:themeColor="text1"/>
        </w:rPr>
        <w:t>2019</w:t>
      </w:r>
      <w:r>
        <w:rPr>
          <w:color w:val="000000" w:themeColor="text1"/>
        </w:rPr>
        <w:t xml:space="preserve">, </w:t>
      </w:r>
      <w:r>
        <w:rPr>
          <w:i/>
          <w:color w:val="000000" w:themeColor="text1"/>
        </w:rPr>
        <w:t>1</w:t>
      </w:r>
      <w:r>
        <w:rPr>
          <w:color w:val="000000" w:themeColor="text1"/>
        </w:rPr>
        <w:t>, e271–e297. https://doi.org/10.1016/S2589-7500(19)30123-2.</w:t>
      </w:r>
    </w:p>
    <w:p w14:paraId="7D246A0D" w14:textId="77777777" w:rsidR="007C1CDA" w:rsidRPr="001A0468" w:rsidRDefault="007C1CDA" w:rsidP="006D1F3D">
      <w:pPr>
        <w:pStyle w:val="MDPI81references"/>
        <w:numPr>
          <w:ilvl w:val="0"/>
          <w:numId w:val="0"/>
        </w:numPr>
        <w:ind w:left="425"/>
      </w:pPr>
      <w:r>
        <w:t xml:space="preserve">Zech, J.R.; Badgeley, M.A.; Liu, M.; Costa, A.B.; Titano, J.J.; Oermann, E.K. Variable Generalization Performance of a Deep Learning Model to Detect Pneumonia in Chest Radiographs: A Cross-Sectional Study. </w:t>
      </w:r>
      <w:r>
        <w:rPr>
          <w:i/>
        </w:rPr>
        <w:t xml:space="preserve">PLoS Med.</w:t>
      </w:r>
      <w:r>
        <w:t xml:space="preserve"> </w:t>
      </w:r>
      <w:r>
        <w:rPr>
          <w:b/>
        </w:rPr>
        <w:t xml:space="preserve">2018</w:t>
      </w:r>
      <w:r>
        <w:t xml:space="preserve">, </w:t>
      </w:r>
      <w:r>
        <w:rPr>
          <w:i/>
        </w:rPr>
        <w:t xml:space="preserve">15</w:t>
      </w:r>
      <w:r>
        <w:t xml:space="preserve">, e1002683. https://doi.org/10.1371/journal.pmed.1002683.</w:t>
      </w:r>
    </w:p>
    <w:p w14:paraId="7D246A0D" w14:textId="77777777" w:rsidR="007C1CDA" w:rsidRPr="001A0468" w:rsidRDefault="007C1CDA" w:rsidP="006D1F3D">
      <w:pPr>
        <w:pStyle w:val="MDPI81references"/>
        <w:numPr>
          <w:ilvl w:val="0"/>
          <w:numId w:val="0"/>
        </w:numPr>
        <w:ind w:left="425"/>
      </w:pPr>
      <w:r>
        <w:t xml:space="preserve">Roberts, M.; Driggs, D.; Thorpe, M.; Gilbey, J.; Yeung, M.; Ursprung, S.; Aviles-Rivero, A.I.; Etmann, C.; McCague, C.; Beer, L.; et al. Common Pitfalls and Recommendations for Using Machine Learning to Detect and Prognosticate for COVID-19 Using Chest Radiographs and CT Scans. </w:t>
      </w:r>
      <w:r>
        <w:rPr>
          <w:i/>
        </w:rPr>
        <w:t xml:space="preserve">Nat. Mach. Intell.</w:t>
      </w:r>
      <w:r>
        <w:t xml:space="preserve"> </w:t>
      </w:r>
      <w:r>
        <w:rPr>
          <w:b/>
        </w:rPr>
        <w:t xml:space="preserve">2021</w:t>
      </w:r>
      <w:r>
        <w:t xml:space="preserve">, </w:t>
      </w:r>
      <w:r>
        <w:rPr>
          <w:i/>
        </w:rPr>
        <w:t xml:space="preserve">3</w:t>
      </w:r>
      <w:r>
        <w:t xml:space="preserve">, 199–217. https://doi.org/10.1038/s42256-021-00307-0.</w:t>
      </w:r>
    </w:p>
    <w:p w14:paraId="7D246A0D" w14:textId="77777777" w:rsidR="007C1CDA" w:rsidRPr="001A0468" w:rsidRDefault="007C1CDA" w:rsidP="006D1F3D">
      <w:pPr>
        <w:pStyle w:val="MDPI81references"/>
        <w:numPr>
          <w:ilvl w:val="0"/>
          <w:numId w:val="0"/>
        </w:numPr>
        <w:ind w:left="425"/>
      </w:pPr>
      <w:r>
        <w:rPr>
          <w:color w:val="000000" w:themeColor="text1"/>
        </w:rPr>
        <w:t xml:space="preserve">Vasey, B.; Nagendran, M.; Campbell, B.; Clifton, D.A.; Collins, G.S.; Denaxas, S.; Denniston, A.K.; Faes, L.; Geerts, B.; Ibrahim, M.; et al. Reporting Guideline for the Early-Stage Clinical Evaluation of Decision Support Systems Driven by Artificial Intelligence: DECIDE-AI. </w:t>
      </w:r>
      <w:r>
        <w:rPr>
          <w:i/>
          <w:color w:val="000000" w:themeColor="text1"/>
        </w:rPr>
        <w:t>Nat. Med.</w:t>
      </w:r>
      <w:r>
        <w:rPr>
          <w:color w:val="000000" w:themeColor="text1"/>
        </w:rPr>
        <w:t xml:space="preserve"> </w:t>
      </w:r>
      <w:r>
        <w:rPr>
          <w:b/>
          <w:color w:val="000000" w:themeColor="text1"/>
        </w:rPr>
        <w:t>2022</w:t>
      </w:r>
      <w:r>
        <w:rPr>
          <w:color w:val="000000" w:themeColor="text1"/>
        </w:rPr>
        <w:t xml:space="preserve">, </w:t>
      </w:r>
      <w:r>
        <w:rPr>
          <w:i/>
          <w:color w:val="000000" w:themeColor="text1"/>
        </w:rPr>
        <w:t>28</w:t>
      </w:r>
      <w:r>
        <w:rPr>
          <w:color w:val="000000" w:themeColor="text1"/>
        </w:rPr>
        <w:t>, 924–933. https://doi.org/10.1038/s41591-022-01772-9.</w:t>
      </w:r>
    </w:p>
    <w:p w14:paraId="7D246A0D" w14:textId="77777777" w:rsidR="007C1CDA" w:rsidRPr="001A0468" w:rsidRDefault="007C1CDA" w:rsidP="006D1F3D">
      <w:pPr>
        <w:pStyle w:val="MDPI81references"/>
        <w:numPr>
          <w:ilvl w:val="0"/>
          <w:numId w:val="0"/>
        </w:numPr>
        <w:ind w:left="425"/>
      </w:pPr>
      <w:r>
        <w:rPr>
          <w:color w:val="000000" w:themeColor="text1"/>
        </w:rPr>
        <w:lastRenderedPageBreak/>
        <w:t xml:space="preserve">Ling, X.C.; Chen, H.S.-L.; Yeh, P.-H.; Cheng, Y.-C.; Huang, C.-Y.; Shen, S.-C.; Lee, Y.-S. Deep Learning in Glaucoma Detection and Progression Prediction: A Systematic Review and Meta-Analysis. </w:t>
      </w:r>
      <w:r>
        <w:rPr>
          <w:i/>
          <w:color w:val="000000" w:themeColor="text1"/>
        </w:rPr>
        <w:t>Biomedicines</w:t>
      </w:r>
      <w:r>
        <w:rPr>
          <w:color w:val="000000" w:themeColor="text1"/>
        </w:rPr>
        <w:t xml:space="preserve"> </w:t>
      </w:r>
      <w:r>
        <w:rPr>
          <w:b/>
          <w:color w:val="000000" w:themeColor="text1"/>
        </w:rPr>
        <w:t>2025</w:t>
      </w:r>
      <w:r>
        <w:rPr>
          <w:color w:val="000000" w:themeColor="text1"/>
        </w:rPr>
        <w:t xml:space="preserve">, </w:t>
      </w:r>
      <w:r>
        <w:rPr>
          <w:i/>
          <w:color w:val="000000" w:themeColor="text1"/>
        </w:rPr>
        <w:t>13</w:t>
      </w:r>
      <w:r>
        <w:rPr>
          <w:color w:val="000000" w:themeColor="text1"/>
        </w:rPr>
        <w:t>, 420. https://doi.org/10.3390/biomedicines13020420.</w:t>
      </w:r>
    </w:p>
    <w:p w14:paraId="7D246A0D" w14:textId="77777777" w:rsidR="007C1CDA" w:rsidRPr="001A0468" w:rsidRDefault="007C1CDA" w:rsidP="006D1F3D">
      <w:pPr>
        <w:pStyle w:val="MDPI81references"/>
        <w:numPr>
          <w:ilvl w:val="0"/>
          <w:numId w:val="0"/>
        </w:numPr>
        <w:ind w:left="425"/>
      </w:pPr>
      <w:r>
        <w:t xml:space="preserve">Meedeniya, D.; Shyamalee, T.; Lim, G.; Yogarajah, P. Glaucoma Identification with Retinal Fundus Images Using Deep Learning: Systematic Review. </w:t>
      </w:r>
      <w:r>
        <w:rPr>
          <w:i/>
        </w:rPr>
        <w:t xml:space="preserve">Inform. Med. Unlocked</w:t>
      </w:r>
      <w:r>
        <w:t xml:space="preserve"> </w:t>
      </w:r>
      <w:r>
        <w:rPr>
          <w:b/>
        </w:rPr>
        <w:t xml:space="preserve">2025</w:t>
      </w:r>
      <w:r>
        <w:t xml:space="preserve">, </w:t>
      </w:r>
      <w:r>
        <w:rPr>
          <w:i/>
        </w:rPr>
        <w:t xml:space="preserve">56</w:t>
      </w:r>
      <w:r>
        <w:t xml:space="preserve">, 101644. https://doi.org/10.1016/j.imu.2025.101644.</w:t>
      </w:r>
    </w:p>
    <w:p w14:paraId="7D246A0D" w14:textId="77777777" w:rsidR="007C1CDA" w:rsidRPr="001A0468" w:rsidRDefault="007C1CDA" w:rsidP="006D1F3D">
      <w:pPr>
        <w:pStyle w:val="MDPI81references"/>
        <w:numPr>
          <w:ilvl w:val="0"/>
          <w:numId w:val="0"/>
        </w:numPr>
        <w:ind w:left="425"/>
      </w:pPr>
      <w:r>
        <w:t xml:space="preserve">Saidah, S.; Rizal, A.; Wijayanto, I. Artificial Intelligence in Glaucoma Detection System Based on Fundus Images. </w:t>
      </w:r>
      <w:r>
        <w:rPr>
          <w:i/>
        </w:rPr>
        <w:t xml:space="preserve">PeerJ Comput. Sci.</w:t>
      </w:r>
      <w:r>
        <w:t xml:space="preserve"> </w:t>
      </w:r>
      <w:r>
        <w:rPr>
          <w:b/>
        </w:rPr>
        <w:t xml:space="preserve">2026</w:t>
      </w:r>
      <w:r>
        <w:t xml:space="preserve">, </w:t>
      </w:r>
      <w:r>
        <w:rPr>
          <w:i/>
        </w:rPr>
        <w:t xml:space="preserve">12</w:t>
      </w:r>
      <w:r>
        <w:t xml:space="preserve">, e3705. https://doi.org/10.7717/peerj-cs.3705.</w:t>
      </w:r>
    </w:p>
    <w:p w14:paraId="7D246A0D" w14:textId="77777777" w:rsidR="007C1CDA" w:rsidRPr="001A0468" w:rsidRDefault="007C1CDA" w:rsidP="006D1F3D">
      <w:pPr>
        <w:pStyle w:val="MDPI81references"/>
        <w:numPr>
          <w:ilvl w:val="0"/>
          <w:numId w:val="0"/>
        </w:numPr>
        <w:ind w:left="425"/>
      </w:pPr>
      <w:r>
        <w:rPr>
          <w:color w:val="000000" w:themeColor="text1"/>
        </w:rPr>
        <w:t xml:space="preserve">Leonard-Hawkhead, B.; Higgins, B.E.; Wright, D.; Azuara-Blanco, A. AI for Glaucoma, Are We Reporting Well? A Systematic Literature Review of DECIDE-AI Checklist Adherence. </w:t>
      </w:r>
      <w:r>
        <w:rPr>
          <w:i/>
          <w:color w:val="000000" w:themeColor="text1"/>
        </w:rPr>
        <w:t>Eye</w:t>
      </w:r>
      <w:r>
        <w:rPr>
          <w:color w:val="000000" w:themeColor="text1"/>
        </w:rPr>
        <w:t xml:space="preserve"> </w:t>
      </w:r>
      <w:r>
        <w:rPr>
          <w:b/>
          <w:color w:val="000000" w:themeColor="text1"/>
        </w:rPr>
        <w:t>2025</w:t>
      </w:r>
      <w:r>
        <w:rPr>
          <w:color w:val="000000" w:themeColor="text1"/>
        </w:rPr>
        <w:t xml:space="preserve">, </w:t>
      </w:r>
      <w:r>
        <w:rPr>
          <w:i/>
          <w:color w:val="000000" w:themeColor="text1"/>
        </w:rPr>
        <w:t>39</w:t>
      </w:r>
      <w:r>
        <w:rPr>
          <w:color w:val="000000" w:themeColor="text1"/>
        </w:rPr>
        <w:t>, 1070–1080. https://doi.org/10.1038/s41433-025-03678-5.</w:t>
      </w:r>
    </w:p>
    <w:p w14:paraId="7D246A0D" w14:textId="77777777" w:rsidR="007C1CDA" w:rsidRPr="001A0468" w:rsidRDefault="007C1CDA" w:rsidP="006D1F3D">
      <w:pPr>
        <w:pStyle w:val="MDPI81references"/>
        <w:numPr>
          <w:ilvl w:val="0"/>
          <w:numId w:val="0"/>
        </w:numPr>
        <w:ind w:left="425"/>
      </w:pPr>
      <w:r>
        <w:rPr>
          <w:color w:val="000000" w:themeColor="text1"/>
        </w:rPr>
        <w:t xml:space="preserve">Page, M.J.; McKenzie, J.E.; Bossuyt, P.M.; Boutron, I.; Hoffmann, T.C.; Mulrow, C.D.; Shamseer, L.; Tetzlaff, J.M.; Akl, E.A.; Brennan, S.E.; et al. The PRISMA 2020 Statement: An Updated Guideline for Reporting Systematic Reviews. </w:t>
      </w:r>
      <w:r>
        <w:rPr>
          <w:i/>
          <w:color w:val="000000" w:themeColor="text1"/>
        </w:rPr>
        <w:t>BMJ</w:t>
      </w:r>
      <w:r>
        <w:rPr>
          <w:color w:val="000000" w:themeColor="text1"/>
        </w:rPr>
        <w:t xml:space="preserve"> </w:t>
      </w:r>
      <w:r>
        <w:rPr>
          <w:b/>
          <w:color w:val="000000" w:themeColor="text1"/>
        </w:rPr>
        <w:t>2021</w:t>
      </w:r>
      <w:r>
        <w:rPr>
          <w:color w:val="000000" w:themeColor="text1"/>
        </w:rPr>
        <w:t xml:space="preserve">, </w:t>
      </w:r>
      <w:r>
        <w:rPr>
          <w:i/>
          <w:color w:val="000000" w:themeColor="text1"/>
        </w:rPr>
        <w:t>372</w:t>
      </w:r>
      <w:r>
        <w:rPr>
          <w:color w:val="000000" w:themeColor="text1"/>
        </w:rPr>
        <w:t>, n71. https://doi.org/10.1136/bmj.n71.</w:t>
      </w:r>
    </w:p>
    <w:p w14:paraId="7D246A0D" w14:textId="77777777" w:rsidR="007C1CDA" w:rsidRPr="001A0468" w:rsidRDefault="007C1CDA" w:rsidP="006D1F3D">
      <w:pPr>
        <w:pStyle w:val="MDPI81references"/>
        <w:numPr>
          <w:ilvl w:val="0"/>
          <w:numId w:val="0"/>
        </w:numPr>
        <w:ind w:left="425"/>
      </w:pPr>
      <w:r>
        <w:rPr>
          <w:color w:val="000000" w:themeColor="text1"/>
        </w:rPr>
        <w:t xml:space="preserve">Rethlefsen, M.L.; Kirtley, S.; Waffenschmidt, S.; Ayala, A.P.; Moher, D.; Page, M.J.; Koffel, J.B.; PRISMA-S Group. PRISMA-S: An Extension to the PRISMA Statement for Reporting Literature Searches in Systematic Reviews. </w:t>
      </w:r>
      <w:r>
        <w:rPr>
          <w:i/>
          <w:color w:val="000000" w:themeColor="text1"/>
        </w:rPr>
        <w:t>Syst. Rev.</w:t>
      </w:r>
      <w:r>
        <w:rPr>
          <w:color w:val="000000" w:themeColor="text1"/>
        </w:rPr>
        <w:t xml:space="preserve"> </w:t>
      </w:r>
      <w:r>
        <w:rPr>
          <w:b/>
          <w:color w:val="000000" w:themeColor="text1"/>
        </w:rPr>
        <w:t>2021</w:t>
      </w:r>
      <w:r>
        <w:rPr>
          <w:color w:val="000000" w:themeColor="text1"/>
        </w:rPr>
        <w:t xml:space="preserve">, </w:t>
      </w:r>
      <w:r>
        <w:rPr>
          <w:i/>
          <w:color w:val="000000" w:themeColor="text1"/>
        </w:rPr>
        <w:t>10</w:t>
      </w:r>
      <w:r>
        <w:rPr>
          <w:color w:val="000000" w:themeColor="text1"/>
        </w:rPr>
        <w:t>, 39. https://doi.org/10.1186/s13643-020-01542-z.</w:t>
      </w:r>
    </w:p>
    <w:p w14:paraId="7D246A0D" w14:textId="77777777" w:rsidR="007C1CDA" w:rsidRPr="001A0468" w:rsidRDefault="007C1CDA" w:rsidP="006D1F3D">
      <w:pPr>
        <w:pStyle w:val="MDPI81references"/>
        <w:numPr>
          <w:ilvl w:val="0"/>
          <w:numId w:val="0"/>
        </w:numPr>
        <w:ind w:left="425"/>
      </w:pPr>
      <w:r>
        <w:rPr>
          <w:color w:val="000000" w:themeColor="text1"/>
        </w:rPr>
        <w:t xml:space="preserve">Snell, K.I.E.; Levis, B.; Damen, J.A.A.; Dhiman, P.; Debray, T.P.A.; Hooft, L.; Reitsma, J.B.; Moons, K.G.M.; Collins, G.S.; Riley, R.D. Transparent Reporting of Multivariable Prediction Models for Individual Prognosis or Diagnosis: Checklist for Systematic Reviews and Meta-Analyses (TRIPOD-SRMA). </w:t>
      </w:r>
      <w:r>
        <w:rPr>
          <w:i/>
          <w:color w:val="000000" w:themeColor="text1"/>
        </w:rPr>
        <w:t>BMJ</w:t>
      </w:r>
      <w:r>
        <w:rPr>
          <w:color w:val="000000" w:themeColor="text1"/>
        </w:rPr>
        <w:t xml:space="preserve"> </w:t>
      </w:r>
      <w:r>
        <w:rPr>
          <w:b/>
          <w:color w:val="000000" w:themeColor="text1"/>
        </w:rPr>
        <w:t>2023</w:t>
      </w:r>
      <w:r>
        <w:rPr>
          <w:color w:val="000000" w:themeColor="text1"/>
        </w:rPr>
        <w:t xml:space="preserve">, </w:t>
      </w:r>
      <w:r>
        <w:rPr>
          <w:i/>
          <w:color w:val="000000" w:themeColor="text1"/>
        </w:rPr>
        <w:t>381</w:t>
      </w:r>
      <w:r>
        <w:rPr>
          <w:color w:val="000000" w:themeColor="text1"/>
        </w:rPr>
        <w:t>, e073538. https://doi.org/10.1136/bmj-2022-073538.</w:t>
      </w:r>
    </w:p>
    <w:p w14:paraId="7D246A0D" w14:textId="77777777" w:rsidR="007C1CDA" w:rsidRPr="001A0468" w:rsidRDefault="007C1CDA" w:rsidP="006D1F3D">
      <w:pPr>
        <w:pStyle w:val="MDPI81references"/>
        <w:numPr>
          <w:ilvl w:val="0"/>
          <w:numId w:val="0"/>
        </w:numPr>
        <w:ind w:left="425"/>
      </w:pPr>
      <w:r>
        <w:rPr>
          <w:color w:val="000000" w:themeColor="text1"/>
        </w:rPr>
        <w:t xml:space="preserve">McInnes, M.D.F.; Moher, D.; Thombs, B.D.; McGrath, T.A.; Bossuyt, P.M.; Clifford, T.; Cohen, J.F.; Deeks, J.J.; Gatsonis, C.; Hooft, L.; et al. Preferred Reporting Items for a Systematic Review and Meta-analysis of Diagnostic Test Accuracy Studies: The PRISMA-DTA Statement. </w:t>
      </w:r>
      <w:r>
        <w:rPr>
          <w:i/>
          <w:color w:val="000000" w:themeColor="text1"/>
        </w:rPr>
        <w:t>JAMA</w:t>
      </w:r>
      <w:r>
        <w:rPr>
          <w:color w:val="000000" w:themeColor="text1"/>
        </w:rPr>
        <w:t xml:space="preserve"> </w:t>
      </w:r>
      <w:r>
        <w:rPr>
          <w:b/>
          <w:color w:val="000000" w:themeColor="text1"/>
        </w:rPr>
        <w:t>2018</w:t>
      </w:r>
      <w:r>
        <w:rPr>
          <w:color w:val="000000" w:themeColor="text1"/>
        </w:rPr>
        <w:t xml:space="preserve">, </w:t>
      </w:r>
      <w:r>
        <w:rPr>
          <w:i/>
          <w:color w:val="000000" w:themeColor="text1"/>
        </w:rPr>
        <w:t>319</w:t>
      </w:r>
      <w:r>
        <w:rPr>
          <w:color w:val="000000" w:themeColor="text1"/>
        </w:rPr>
        <w:t>, 388–396. https://doi.org/10.1001/jama.2017.19163.</w:t>
      </w:r>
    </w:p>
    <w:p w14:paraId="7D246A0D" w14:textId="77777777" w:rsidR="007C1CDA" w:rsidRPr="001A0468" w:rsidRDefault="007C1CDA" w:rsidP="006D1F3D">
      <w:pPr>
        <w:pStyle w:val="MDPI81references"/>
        <w:numPr>
          <w:ilvl w:val="0"/>
          <w:numId w:val="0"/>
        </w:numPr>
        <w:ind w:left="425"/>
      </w:pPr>
      <w:r>
        <w:rPr>
          <w:color w:val="000000" w:themeColor="text1"/>
        </w:rPr>
        <w:t xml:space="preserve">Campbell, M.; McKenzie, J.E.; Sowden, A.; Katikireddi, S.V.; Brennan, S.E.; Ellis, S.; Hartmann-Boyce, J.; Ryan, R.; Shepperd, S.; Thomas, J.; et al. Synthesis without Meta-Analysis (SWiM) in Systematic Reviews: Reporting Guideline. </w:t>
      </w:r>
      <w:r>
        <w:rPr>
          <w:i/>
          <w:color w:val="000000" w:themeColor="text1"/>
        </w:rPr>
        <w:t>BMJ</w:t>
      </w:r>
      <w:r>
        <w:rPr>
          <w:color w:val="000000" w:themeColor="text1"/>
        </w:rPr>
        <w:t xml:space="preserve"> </w:t>
      </w:r>
      <w:r>
        <w:rPr>
          <w:b/>
          <w:color w:val="000000" w:themeColor="text1"/>
        </w:rPr>
        <w:t>2020</w:t>
      </w:r>
      <w:r>
        <w:rPr>
          <w:color w:val="000000" w:themeColor="text1"/>
        </w:rPr>
        <w:t xml:space="preserve">, </w:t>
      </w:r>
      <w:r>
        <w:rPr>
          <w:i/>
          <w:color w:val="000000" w:themeColor="text1"/>
        </w:rPr>
        <w:t>368</w:t>
      </w:r>
      <w:r>
        <w:rPr>
          <w:color w:val="000000" w:themeColor="text1"/>
        </w:rPr>
        <w:t>, l6890. https://doi.org/10.1136/bmj.l6890.</w:t>
      </w:r>
    </w:p>
    <w:p w14:paraId="7D246A0D" w14:textId="77777777" w:rsidR="007C1CDA" w:rsidRPr="001A0468" w:rsidRDefault="007C1CDA" w:rsidP="006D1F3D">
      <w:pPr>
        <w:pStyle w:val="MDPI81references"/>
        <w:numPr>
          <w:ilvl w:val="0"/>
          <w:numId w:val="0"/>
        </w:numPr>
        <w:ind w:left="425"/>
      </w:pPr>
      <w:r>
        <w:rPr>
          <w:color w:val="000000" w:themeColor="text1"/>
        </w:rPr>
        <w:t xml:space="preserve">Moons, K.G.M.; Damen, J.A.A.; Kaul, T.; Hooft, L.; Andaur Navarro, C.; Dhiman, P.; Beam, A.L.; Van Calster, B.; Celi, L.A.; Denaxas, S.; et al. PROBAST+AI: An Updated Quality, Risk of Bias, and Applicability Assessment Tool for Prediction Models Using Regression or Artificial Intelligence Methods. </w:t>
      </w:r>
      <w:r>
        <w:rPr>
          <w:i/>
          <w:color w:val="000000" w:themeColor="text1"/>
        </w:rPr>
        <w:t>BMJ</w:t>
      </w:r>
      <w:r>
        <w:rPr>
          <w:color w:val="000000" w:themeColor="text1"/>
        </w:rPr>
        <w:t xml:space="preserve"> </w:t>
      </w:r>
      <w:r>
        <w:rPr>
          <w:b/>
          <w:color w:val="000000" w:themeColor="text1"/>
        </w:rPr>
        <w:t>2025</w:t>
      </w:r>
      <w:r>
        <w:rPr>
          <w:color w:val="000000" w:themeColor="text1"/>
        </w:rPr>
        <w:t xml:space="preserve">, </w:t>
      </w:r>
      <w:r>
        <w:rPr>
          <w:i/>
          <w:color w:val="000000" w:themeColor="text1"/>
        </w:rPr>
        <w:t>388</w:t>
      </w:r>
      <w:r>
        <w:rPr>
          <w:color w:val="000000" w:themeColor="text1"/>
        </w:rPr>
        <w:t>, e082505. https://doi.org/10.1136/bmj-2024-082505.</w:t>
      </w:r>
    </w:p>
    <w:p w14:paraId="7D246A0D" w14:textId="77777777" w:rsidR="007C1CDA" w:rsidRPr="001A0468" w:rsidRDefault="007C1CDA" w:rsidP="006D1F3D">
      <w:pPr>
        <w:pStyle w:val="MDPI81references"/>
        <w:numPr>
          <w:ilvl w:val="0"/>
          <w:numId w:val="0"/>
        </w:numPr>
        <w:ind w:left="425"/>
      </w:pPr>
      <w:r>
        <w:rPr>
          <w:color w:val="000000" w:themeColor="text1"/>
        </w:rPr>
        <w:t xml:space="preserve">Sterne, J.A.C.; Savović, J.; Page, M.J.; Elbers, R.G.; Blencowe, N.S.; Boutron, I.; Cates, C.J.; Cheng, H.-Y.; Corbett, M.S.; Eldridge, S.M.; et al. RoB 2: A Revised Tool for Assessing Risk of Bias in Randomised Trials. </w:t>
      </w:r>
      <w:r>
        <w:rPr>
          <w:i/>
          <w:color w:val="000000" w:themeColor="text1"/>
        </w:rPr>
        <w:t>BMJ</w:t>
      </w:r>
      <w:r>
        <w:rPr>
          <w:color w:val="000000" w:themeColor="text1"/>
        </w:rPr>
        <w:t xml:space="preserve"> </w:t>
      </w:r>
      <w:r>
        <w:rPr>
          <w:b/>
          <w:color w:val="000000" w:themeColor="text1"/>
        </w:rPr>
        <w:t>2019</w:t>
      </w:r>
      <w:r>
        <w:rPr>
          <w:color w:val="000000" w:themeColor="text1"/>
        </w:rPr>
        <w:t xml:space="preserve">, </w:t>
      </w:r>
      <w:r>
        <w:rPr>
          <w:i/>
          <w:color w:val="000000" w:themeColor="text1"/>
        </w:rPr>
        <w:t>366</w:t>
      </w:r>
      <w:r>
        <w:rPr>
          <w:color w:val="000000" w:themeColor="text1"/>
        </w:rPr>
        <w:t>, l4898. https://doi.org/10.1136/bmj.l4898.</w:t>
      </w:r>
    </w:p>
    <w:p w14:paraId="7D246A0D" w14:textId="77777777" w:rsidR="007C1CDA" w:rsidRPr="001A0468" w:rsidRDefault="007C1CDA" w:rsidP="006D1F3D">
      <w:pPr>
        <w:pStyle w:val="MDPI81references"/>
        <w:numPr>
          <w:ilvl w:val="0"/>
          <w:numId w:val="0"/>
        </w:numPr>
        <w:ind w:left="425"/>
      </w:pPr>
      <w:r>
        <w:rPr>
          <w:color w:val="000000" w:themeColor="text1"/>
        </w:rPr>
        <w:t xml:space="preserve">Whiting, P.F.; Tomlinson, E.; Rutjes, A.W.S.; Davenport, C.F.; Yang, B.; Westwood, M.E.; Takwoingi, Y.; Reitsma, J.B.; Hyde, C.; Bossuyt, P.M.M.; et al. QUADAS-3: A Revised Tool for the Quality Assessment of Diagnostic Test Accuracy Studies. </w:t>
      </w:r>
      <w:r>
        <w:rPr>
          <w:i/>
          <w:color w:val="000000" w:themeColor="text1"/>
        </w:rPr>
        <w:t>Ann. Intern. Med.</w:t>
      </w:r>
      <w:r>
        <w:rPr>
          <w:color w:val="000000" w:themeColor="text1"/>
        </w:rPr>
        <w:t xml:space="preserve"> </w:t>
      </w:r>
      <w:r>
        <w:rPr>
          <w:b/>
          <w:color w:val="000000" w:themeColor="text1"/>
        </w:rPr>
        <w:t>2026</w:t>
      </w:r>
      <w:r>
        <w:rPr>
          <w:color w:val="000000" w:themeColor="text1"/>
        </w:rPr>
        <w:t xml:space="preserve">, </w:t>
      </w:r>
      <w:r>
        <w:rPr>
          <w:i/>
          <w:color w:val="000000" w:themeColor="text1"/>
        </w:rPr>
        <w:t>179</w:t>
      </w:r>
      <w:r>
        <w:rPr>
          <w:color w:val="000000" w:themeColor="text1"/>
        </w:rPr>
        <w:t>, 548–555. https://doi.org/10.7326/ANNALS-25-02104.</w:t>
      </w:r>
    </w:p>
    <w:p w14:paraId="7D246A0D" w14:textId="77777777" w:rsidR="007C1CDA" w:rsidRPr="001A0468" w:rsidRDefault="007C1CDA" w:rsidP="006D1F3D">
      <w:pPr>
        <w:pStyle w:val="MDPI81references"/>
        <w:numPr>
          <w:ilvl w:val="0"/>
          <w:numId w:val="0"/>
        </w:numPr>
        <w:ind w:left="425"/>
      </w:pPr>
      <w:r>
        <w:rPr>
          <w:color w:val="000000" w:themeColor="text1"/>
        </w:rPr>
        <w:t xml:space="preserve">Debray, T.P.A.; Damen, J.A.A.G.; Snell, K.I.E.; Ensor, J.; Hooft, L.; Reitsma, J.B.; Riley, R.D.; Moons, K.G.M. A Guide to Systematic Review and Meta-Analysis of Prediction Model Performance. </w:t>
      </w:r>
      <w:r>
        <w:rPr>
          <w:i/>
          <w:color w:val="000000" w:themeColor="text1"/>
        </w:rPr>
        <w:t>BMJ</w:t>
      </w:r>
      <w:r>
        <w:rPr>
          <w:color w:val="000000" w:themeColor="text1"/>
        </w:rPr>
        <w:t xml:space="preserve"> </w:t>
      </w:r>
      <w:r>
        <w:rPr>
          <w:b/>
          <w:color w:val="000000" w:themeColor="text1"/>
        </w:rPr>
        <w:t>2017</w:t>
      </w:r>
      <w:r>
        <w:rPr>
          <w:color w:val="000000" w:themeColor="text1"/>
        </w:rPr>
        <w:t xml:space="preserve">, </w:t>
      </w:r>
      <w:r>
        <w:rPr>
          <w:i/>
          <w:color w:val="000000" w:themeColor="text1"/>
        </w:rPr>
        <w:t>356</w:t>
      </w:r>
      <w:r>
        <w:rPr>
          <w:color w:val="000000" w:themeColor="text1"/>
        </w:rPr>
        <w:t>, i6460. https://doi.org/10.1136/bmj.i6460.</w:t>
      </w:r>
    </w:p>
    <w:p w14:paraId="7D246A0D" w14:textId="77777777" w:rsidR="007C1CDA" w:rsidRPr="001A0468" w:rsidRDefault="007C1CDA" w:rsidP="006D1F3D">
      <w:pPr>
        <w:pStyle w:val="MDPI81references"/>
        <w:numPr>
          <w:ilvl w:val="0"/>
          <w:numId w:val="0"/>
        </w:numPr>
        <w:ind w:left="425"/>
      </w:pPr>
      <w:r>
        <w:t xml:space="preserve">Laouarem, A.; Kara-Mohamed, C.; Bourennane, E.-B.; Hamdi-Cherif, A. HTC-Retina: A Hybrid Retinal Diseases Classification Model Using Transformer-Convolutional Neural Network from Optical Coherence Tomography Images. </w:t>
      </w:r>
      <w:r>
        <w:rPr>
          <w:i/>
        </w:rPr>
        <w:t xml:space="preserve">Comput. Biol. Med.</w:t>
      </w:r>
      <w:r>
        <w:t xml:space="preserve"> </w:t>
      </w:r>
      <w:r>
        <w:rPr>
          <w:b/>
        </w:rPr>
        <w:t xml:space="preserve">2024</w:t>
      </w:r>
      <w:r>
        <w:t xml:space="preserve">, </w:t>
      </w:r>
      <w:r>
        <w:rPr>
          <w:i/>
        </w:rPr>
        <w:t xml:space="preserve">178</w:t>
      </w:r>
      <w:r>
        <w:t xml:space="preserve">, 108726. https://doi.org/10.1016/j.compbiomed.2024.108726.</w:t>
      </w:r>
    </w:p>
    <w:p w14:paraId="7D246A0D" w14:textId="77777777" w:rsidR="007C1CDA" w:rsidRPr="001A0468" w:rsidRDefault="007C1CDA" w:rsidP="006D1F3D">
      <w:pPr>
        <w:pStyle w:val="MDPI81references"/>
        <w:numPr>
          <w:ilvl w:val="0"/>
          <w:numId w:val="0"/>
        </w:numPr>
        <w:ind w:left="425"/>
      </w:pPr>
      <w:r>
        <w:t xml:space="preserve">Akça, S.; Garip, Z.; Ekinci, E.; Atban, F. Automated Classification of Choroidal Neovascularization, Diabetic Macular Edema, and Drusen from Retinal OCT Images Using Vision Transformers: A Comparative Study. </w:t>
      </w:r>
      <w:r>
        <w:rPr>
          <w:i/>
        </w:rPr>
        <w:t xml:space="preserve">Lasers Med. Sci.</w:t>
      </w:r>
      <w:r>
        <w:t xml:space="preserve"> </w:t>
      </w:r>
      <w:r>
        <w:rPr>
          <w:b/>
        </w:rPr>
        <w:t xml:space="preserve">2024</w:t>
      </w:r>
      <w:r>
        <w:t xml:space="preserve">, </w:t>
      </w:r>
      <w:r>
        <w:rPr>
          <w:i/>
        </w:rPr>
        <w:t xml:space="preserve">39</w:t>
      </w:r>
      <w:r>
        <w:t xml:space="preserve">, 140. https://doi.org/10.1007/s10103-024-04089-w.</w:t>
      </w:r>
    </w:p>
    <w:p w14:paraId="7D246A0D" w14:textId="77777777" w:rsidR="007C1CDA" w:rsidRPr="001A0468" w:rsidRDefault="007C1CDA" w:rsidP="006D1F3D">
      <w:pPr>
        <w:pStyle w:val="MDPI81references"/>
        <w:numPr>
          <w:ilvl w:val="0"/>
          <w:numId w:val="0"/>
        </w:numPr>
        <w:ind w:left="425"/>
      </w:pPr>
      <w:r>
        <w:t xml:space="preserve">Christopher, M.; Belghith, A.; Bowd, C.; Proudfoot, J.A.; Goldbaum, M.H.; Weinreb, R.N.; Girkin, C.A.; Liebmann, J.M.; Zangwill, L.M. Performance of Deep Learning Architectures and Transfer Learning for Detecting Glaucomatous Optic Neuropathy in Fundus Photographs. </w:t>
      </w:r>
      <w:r>
        <w:rPr>
          <w:i/>
        </w:rPr>
        <w:t xml:space="preserve">Sci. Rep.</w:t>
      </w:r>
      <w:r>
        <w:t xml:space="preserve"> </w:t>
      </w:r>
      <w:r>
        <w:rPr>
          <w:b/>
        </w:rPr>
        <w:t xml:space="preserve">2018</w:t>
      </w:r>
      <w:r>
        <w:t xml:space="preserve">, </w:t>
      </w:r>
      <w:r>
        <w:rPr>
          <w:i/>
        </w:rPr>
        <w:t xml:space="preserve">8</w:t>
      </w:r>
      <w:r>
        <w:t xml:space="preserve">, 16685. https://doi.org/10.1038/s41598-018-35044-9.</w:t>
      </w:r>
    </w:p>
    <w:p w14:paraId="7D246A0D" w14:textId="77777777" w:rsidR="007C1CDA" w:rsidRPr="001A0468" w:rsidRDefault="007C1CDA" w:rsidP="006D1F3D">
      <w:pPr>
        <w:pStyle w:val="MDPI81references"/>
        <w:numPr>
          <w:ilvl w:val="0"/>
          <w:numId w:val="0"/>
        </w:numPr>
        <w:ind w:left="425"/>
      </w:pPr>
      <w:r>
        <w:t xml:space="preserve">Li, Z.; He, Y.; Keel, S.; Meng, W.; Chang, R.T.; He, M. Efficacy of a Deep Learning System for Detecting Glaucomatous Optic Neuropathy Based on Color Fundus Photographs. </w:t>
      </w:r>
      <w:r>
        <w:rPr>
          <w:i/>
        </w:rPr>
        <w:t xml:space="preserve">Ophthalmology</w:t>
      </w:r>
      <w:r>
        <w:t xml:space="preserve"> </w:t>
      </w:r>
      <w:r>
        <w:rPr>
          <w:b/>
        </w:rPr>
        <w:t xml:space="preserve">2018</w:t>
      </w:r>
      <w:r>
        <w:t xml:space="preserve">, </w:t>
      </w:r>
      <w:r>
        <w:rPr>
          <w:i/>
        </w:rPr>
        <w:t xml:space="preserve">125</w:t>
      </w:r>
      <w:r>
        <w:t xml:space="preserve">, 1199–1206. https://doi.org/10.1016/j.ophtha.2018.01.023.</w:t>
      </w:r>
    </w:p>
    <w:p w14:paraId="7D246A0D" w14:textId="77777777" w:rsidR="007C1CDA" w:rsidRPr="001A0468" w:rsidRDefault="007C1CDA" w:rsidP="006D1F3D">
      <w:pPr>
        <w:pStyle w:val="MDPI81references"/>
        <w:numPr>
          <w:ilvl w:val="0"/>
          <w:numId w:val="0"/>
        </w:numPr>
        <w:ind w:left="425"/>
      </w:pPr>
      <w:r>
        <w:t xml:space="preserve">Liu, H.; Li, L.; Wormstone, I.M.; et al. Development and Validation of a Deep Learning System to Detect Glaucomatous Optic Neuropathy Using Fundus Photographs. </w:t>
      </w:r>
      <w:r>
        <w:rPr>
          <w:i/>
        </w:rPr>
        <w:t xml:space="preserve">JAMA Ophthalmol.</w:t>
      </w:r>
      <w:r>
        <w:t xml:space="preserve"> </w:t>
      </w:r>
      <w:r>
        <w:rPr>
          <w:b/>
        </w:rPr>
        <w:t xml:space="preserve">2019</w:t>
      </w:r>
      <w:r>
        <w:t xml:space="preserve">, </w:t>
      </w:r>
      <w:r>
        <w:rPr>
          <w:i/>
        </w:rPr>
        <w:t xml:space="preserve">137</w:t>
      </w:r>
      <w:r>
        <w:t xml:space="preserve">, 1353–1360. https://doi.org/10.1001/jamaophthalmol.2019.3501.</w:t>
      </w:r>
    </w:p>
    <w:p w14:paraId="7D246A0D" w14:textId="77777777" w:rsidR="007C1CDA" w:rsidRPr="001A0468" w:rsidRDefault="007C1CDA" w:rsidP="006D1F3D">
      <w:pPr>
        <w:pStyle w:val="MDPI81references"/>
        <w:numPr>
          <w:ilvl w:val="0"/>
          <w:numId w:val="0"/>
        </w:numPr>
        <w:ind w:left="425"/>
      </w:pPr>
      <w:r>
        <w:t xml:space="preserve">Phene, S.; Dunn, R.C.; Hammel, N.; Liu, Y.; Krause, J.; Kitade, N.; Schaekermann, M.; Sayres, R.; Wu, D.J.; Bora, A.; et al. Deep Learning and Glaucoma Specialists: The Relative Importance of Optic Disc Features to Predict Glaucoma Referral in Fundus Photographs. </w:t>
      </w:r>
      <w:r>
        <w:rPr>
          <w:i/>
        </w:rPr>
        <w:t xml:space="preserve">Ophthalmology</w:t>
      </w:r>
      <w:r>
        <w:t xml:space="preserve"> </w:t>
      </w:r>
      <w:r>
        <w:rPr>
          <w:b/>
        </w:rPr>
        <w:t xml:space="preserve">2019</w:t>
      </w:r>
      <w:r>
        <w:t xml:space="preserve">, </w:t>
      </w:r>
      <w:r>
        <w:rPr>
          <w:i/>
        </w:rPr>
        <w:t xml:space="preserve">126</w:t>
      </w:r>
      <w:r>
        <w:t xml:space="preserve">, 1627–1639. https://doi.org/10.1016/j.ophtha.2019.07.024.</w:t>
      </w:r>
    </w:p>
    <w:p w14:paraId="7D246A0D" w14:textId="77777777" w:rsidR="007C1CDA" w:rsidRPr="001A0468" w:rsidRDefault="007C1CDA" w:rsidP="006D1F3D">
      <w:pPr>
        <w:pStyle w:val="MDPI81references"/>
        <w:numPr>
          <w:ilvl w:val="0"/>
          <w:numId w:val="0"/>
        </w:numPr>
        <w:ind w:left="425"/>
      </w:pPr>
      <w:r>
        <w:t xml:space="preserve">Li, L.; Xu, M.; Liu, H.; Li, Y.; Wang, X.; Jiang, L.; Wang, Z.; Fan, X.; Wang, N. A Large-Scale Database and a CNN Model for Attention-Based Glaucoma Detection. </w:t>
      </w:r>
      <w:r>
        <w:rPr>
          <w:i/>
        </w:rPr>
        <w:t xml:space="preserve">IEEE Trans. Med. Imaging</w:t>
      </w:r>
      <w:r>
        <w:t xml:space="preserve"> </w:t>
      </w:r>
      <w:r>
        <w:rPr>
          <w:b/>
        </w:rPr>
        <w:t xml:space="preserve">2020</w:t>
      </w:r>
      <w:r>
        <w:t xml:space="preserve">, </w:t>
      </w:r>
      <w:r>
        <w:rPr>
          <w:i/>
        </w:rPr>
        <w:t xml:space="preserve">39</w:t>
      </w:r>
      <w:r>
        <w:t xml:space="preserve">, 413–424. https://doi.org/10.1109/TMI.2019.2927226.</w:t>
      </w:r>
    </w:p>
    <w:p w14:paraId="7D246A0D" w14:textId="77777777" w:rsidR="007C1CDA" w:rsidRPr="001A0468" w:rsidRDefault="007C1CDA" w:rsidP="006D1F3D">
      <w:pPr>
        <w:pStyle w:val="MDPI81references"/>
        <w:numPr>
          <w:ilvl w:val="0"/>
          <w:numId w:val="0"/>
        </w:numPr>
        <w:ind w:left="425"/>
      </w:pPr>
      <w:r>
        <w:t xml:space="preserve">Hemelings, R.; Elen, B.; Barbosa-Breda, J.; et al. Accurate Prediction of Glaucoma from Colour Fundus Images with a Convolutional Neural Network That Relies on Active and Transfer Learning. </w:t>
      </w:r>
      <w:r>
        <w:rPr>
          <w:i/>
        </w:rPr>
        <w:t xml:space="preserve">Acta Ophthalmol.</w:t>
      </w:r>
      <w:r>
        <w:t xml:space="preserve"> </w:t>
      </w:r>
      <w:r>
        <w:rPr>
          <w:b/>
        </w:rPr>
        <w:t xml:space="preserve">2020</w:t>
      </w:r>
      <w:r>
        <w:t xml:space="preserve">, </w:t>
      </w:r>
      <w:r>
        <w:rPr>
          <w:i/>
        </w:rPr>
        <w:t xml:space="preserve">98</w:t>
      </w:r>
      <w:r>
        <w:t xml:space="preserve">, e94–e100. https://doi.org/10.1111/aos.14193.</w:t>
      </w:r>
    </w:p>
    <w:p w14:paraId="7D246A0D" w14:textId="77777777" w:rsidR="007C1CDA" w:rsidRPr="001A0468" w:rsidRDefault="007C1CDA" w:rsidP="006D1F3D">
      <w:pPr>
        <w:pStyle w:val="MDPI81references"/>
        <w:numPr>
          <w:ilvl w:val="0"/>
          <w:numId w:val="0"/>
        </w:numPr>
        <w:ind w:left="425"/>
      </w:pPr>
      <w:r>
        <w:t xml:space="preserve">Kim, K.E.; Kim, J.M.; Song, J.E.; Kee, C.; Han, J.C.; Hyun, S.H. Development and Validation of a Deep Learning System for Diagnosing Glaucoma Using Optical Coherence Tomography. </w:t>
      </w:r>
      <w:r>
        <w:rPr>
          <w:i/>
        </w:rPr>
        <w:t xml:space="preserve">J. Clin. Med.</w:t>
      </w:r>
      <w:r>
        <w:t xml:space="preserve"> </w:t>
      </w:r>
      <w:r>
        <w:rPr>
          <w:b/>
        </w:rPr>
        <w:t xml:space="preserve">2020</w:t>
      </w:r>
      <w:r>
        <w:t xml:space="preserve">, </w:t>
      </w:r>
      <w:r>
        <w:rPr>
          <w:i/>
        </w:rPr>
        <w:t xml:space="preserve">9</w:t>
      </w:r>
      <w:r>
        <w:t xml:space="preserve">, 2167. https://doi.org/10.3390/jcm9072167.</w:t>
      </w:r>
    </w:p>
    <w:p w14:paraId="7D246A0D" w14:textId="77777777" w:rsidR="007C1CDA" w:rsidRPr="001A0468" w:rsidRDefault="007C1CDA" w:rsidP="006D1F3D">
      <w:pPr>
        <w:pStyle w:val="MDPI81references"/>
        <w:numPr>
          <w:ilvl w:val="0"/>
          <w:numId w:val="0"/>
        </w:numPr>
        <w:ind w:left="425"/>
      </w:pPr>
      <w:r>
        <w:t xml:space="preserve">Hemelings, R.; Elen, B.; Barbosa-Breda, J.; et al. Deep Learning on Fundus Images Detects Glaucoma beyond the Optic Disc. </w:t>
      </w:r>
      <w:r>
        <w:rPr>
          <w:i/>
        </w:rPr>
        <w:t xml:space="preserve">Sci. Rep.</w:t>
      </w:r>
      <w:r>
        <w:t xml:space="preserve"> </w:t>
      </w:r>
      <w:r>
        <w:rPr>
          <w:b/>
        </w:rPr>
        <w:t xml:space="preserve">2021</w:t>
      </w:r>
      <w:r>
        <w:t xml:space="preserve">, </w:t>
      </w:r>
      <w:r>
        <w:rPr>
          <w:i/>
        </w:rPr>
        <w:t xml:space="preserve">11</w:t>
      </w:r>
      <w:r>
        <w:t xml:space="preserve">, 20313. https://doi.org/10.1038/s41598-021-99605-1.</w:t>
      </w:r>
    </w:p>
    <w:p w14:paraId="7D246A0D" w14:textId="77777777" w:rsidR="007C1CDA" w:rsidRPr="001A0468" w:rsidRDefault="007C1CDA" w:rsidP="006D1F3D">
      <w:pPr>
        <w:pStyle w:val="MDPI81references"/>
        <w:numPr>
          <w:ilvl w:val="0"/>
          <w:numId w:val="0"/>
        </w:numPr>
        <w:ind w:left="425"/>
      </w:pPr>
      <w:r>
        <w:t xml:space="preserve">Kim, J.A.; Yoon, H.; Lee, D.; Kim, M.; Choi, J.; Lee, E.J.; Kim, T.-W. Development of a Deep Learning System to Detect Glaucoma Using Macular Vertical Optical Coherence Tomography Scans of Myopic Eyes. </w:t>
      </w:r>
      <w:r>
        <w:rPr>
          <w:i/>
        </w:rPr>
        <w:t xml:space="preserve">Sci. Rep.</w:t>
      </w:r>
      <w:r>
        <w:t xml:space="preserve"> </w:t>
      </w:r>
      <w:r>
        <w:rPr>
          <w:b/>
        </w:rPr>
        <w:t xml:space="preserve">2023</w:t>
      </w:r>
      <w:r>
        <w:t xml:space="preserve">, </w:t>
      </w:r>
      <w:r>
        <w:rPr>
          <w:i/>
        </w:rPr>
        <w:t xml:space="preserve">13</w:t>
      </w:r>
      <w:r>
        <w:t xml:space="preserve">, 8040. https://doi.org/10.1038/s41598-023-34794-5.</w:t>
      </w:r>
    </w:p>
    <w:p w14:paraId="7D246A0D" w14:textId="77777777" w:rsidR="007C1CDA" w:rsidRPr="001A0468" w:rsidRDefault="007C1CDA" w:rsidP="006D1F3D">
      <w:pPr>
        <w:pStyle w:val="MDPI81references"/>
        <w:numPr>
          <w:ilvl w:val="0"/>
          <w:numId w:val="0"/>
        </w:numPr>
        <w:ind w:left="425"/>
      </w:pPr>
      <w:r>
        <w:rPr>
          <w:color w:val="000000" w:themeColor="text1"/>
        </w:rPr>
        <w:t xml:space="preserve">Qian, X.; Xian, S.; Su, Y.; Guo, W.; Liu, H.; Xi, X.; Chu, C.; Yin, Y.; Yu, S.; Ma, K.; et al. External Validation of a Deep Learning Detection System for Glaucomatous Optic Neuropathy: A Real-World Multicentre Study. </w:t>
      </w:r>
      <w:r>
        <w:rPr>
          <w:i/>
          <w:color w:val="000000" w:themeColor="text1"/>
        </w:rPr>
        <w:t>Eye</w:t>
      </w:r>
      <w:r>
        <w:rPr>
          <w:color w:val="000000" w:themeColor="text1"/>
        </w:rPr>
        <w:t xml:space="preserve"> </w:t>
      </w:r>
      <w:r>
        <w:rPr>
          <w:b/>
          <w:color w:val="000000" w:themeColor="text1"/>
        </w:rPr>
        <w:t>2023</w:t>
      </w:r>
      <w:r>
        <w:rPr>
          <w:color w:val="000000" w:themeColor="text1"/>
        </w:rPr>
        <w:t xml:space="preserve">, </w:t>
      </w:r>
      <w:r>
        <w:rPr>
          <w:i/>
          <w:color w:val="000000" w:themeColor="text1"/>
        </w:rPr>
        <w:t>37</w:t>
      </w:r>
      <w:r>
        <w:rPr>
          <w:color w:val="000000" w:themeColor="text1"/>
        </w:rPr>
        <w:t>, 3813–3818. https://doi.org/10.1038/s41433-023-02622-9.</w:t>
      </w:r>
    </w:p>
    <w:p w14:paraId="7D246A0D" w14:textId="77777777" w:rsidR="007C1CDA" w:rsidRPr="001A0468" w:rsidRDefault="007C1CDA" w:rsidP="006D1F3D">
      <w:pPr>
        <w:pStyle w:val="MDPI81references"/>
        <w:numPr>
          <w:ilvl w:val="0"/>
          <w:numId w:val="0"/>
        </w:numPr>
        <w:ind w:left="425"/>
      </w:pPr>
      <w:r>
        <w:t xml:space="preserve">Huang, J.; Galal, G.; Mukhin, V.; Etemadi, M.; Tanna, A.P. Prediction and Detection of Glaucomatous Visual Field Progression Using Deep Learning on Macular Optical Coherence Tomography. </w:t>
      </w:r>
      <w:r>
        <w:rPr>
          <w:i/>
        </w:rPr>
        <w:t xml:space="preserve">J. Glaucoma</w:t>
      </w:r>
      <w:r>
        <w:t xml:space="preserve"> </w:t>
      </w:r>
      <w:r>
        <w:rPr>
          <w:b/>
        </w:rPr>
        <w:t xml:space="preserve">2024</w:t>
      </w:r>
      <w:r>
        <w:t xml:space="preserve">, </w:t>
      </w:r>
      <w:r>
        <w:rPr>
          <w:i/>
        </w:rPr>
        <w:t xml:space="preserve">33</w:t>
      </w:r>
      <w:r>
        <w:t xml:space="preserve">, 246–253. https://doi.org/10.1097/IJG.0000000000002359.</w:t>
      </w:r>
    </w:p>
    <w:p w14:paraId="7D246A0D" w14:textId="77777777" w:rsidR="007C1CDA" w:rsidRPr="001A0468" w:rsidRDefault="007C1CDA" w:rsidP="006D1F3D">
      <w:pPr>
        <w:pStyle w:val="MDPI81references"/>
        <w:numPr>
          <w:ilvl w:val="0"/>
          <w:numId w:val="0"/>
        </w:numPr>
        <w:ind w:left="425"/>
      </w:pPr>
      <w:r>
        <w:t xml:space="preserve">Yang, X.; Wu, J.; Wang, X.; Yuan, Y.; Li, J.; Chen, G. Multi-Scale Spatio-Temporal Transformer-Based Imbalanced Longitudinal Learning for Glaucoma Forecasting from Irregular Time Series Images. </w:t>
      </w:r>
      <w:r>
        <w:rPr>
          <w:i/>
        </w:rPr>
        <w:t xml:space="preserve">IEEE J. Biomed. Health Inform.</w:t>
      </w:r>
      <w:r>
        <w:t xml:space="preserve"> </w:t>
      </w:r>
      <w:r>
        <w:rPr>
          <w:b/>
        </w:rPr>
        <w:t xml:space="preserve">2025</w:t>
      </w:r>
      <w:r>
        <w:t xml:space="preserve">, </w:t>
      </w:r>
      <w:r>
        <w:rPr>
          <w:i/>
        </w:rPr>
        <w:t xml:space="preserve">29</w:t>
      </w:r>
      <w:r>
        <w:t xml:space="preserve">, 2859–2870. https://doi.org/10.1109/JBHI.2024.3523298.</w:t>
      </w:r>
    </w:p>
    <w:p w14:paraId="7D246A0D" w14:textId="77777777" w:rsidR="007C1CDA" w:rsidRPr="001A0468" w:rsidRDefault="007C1CDA" w:rsidP="006D1F3D">
      <w:pPr>
        <w:pStyle w:val="MDPI81references"/>
        <w:numPr>
          <w:ilvl w:val="0"/>
          <w:numId w:val="0"/>
        </w:numPr>
        <w:ind w:left="425"/>
      </w:pPr>
      <w:r>
        <w:t xml:space="preserve">Holste, G.; Lin, M.; Zhou, R.; Wang, F.; Liu, L.; Yan, Q.; Van Tassel, S.H.; et al. Harnessing the Power of Longitudinal Medical Imaging for Eye Disease Prognosis Using Transformer-Based Sequence Modeling. </w:t>
      </w:r>
      <w:r>
        <w:rPr>
          <w:i/>
        </w:rPr>
        <w:t xml:space="preserve">npj Digit. Med.</w:t>
      </w:r>
      <w:r>
        <w:t xml:space="preserve"> </w:t>
      </w:r>
      <w:r>
        <w:rPr>
          <w:b/>
        </w:rPr>
        <w:t xml:space="preserve">2024</w:t>
      </w:r>
      <w:r>
        <w:t xml:space="preserve">, </w:t>
      </w:r>
      <w:r>
        <w:rPr>
          <w:i/>
        </w:rPr>
        <w:t xml:space="preserve">7</w:t>
      </w:r>
      <w:r>
        <w:t xml:space="preserve">, 216. https://doi.org/10.1038/s41746-024-01207-4.</w:t>
      </w:r>
    </w:p>
    <w:p w14:paraId="7D246A0D" w14:textId="77777777" w:rsidR="007C1CDA" w:rsidRPr="001A0468" w:rsidRDefault="007C1CDA" w:rsidP="006D1F3D">
      <w:pPr>
        <w:pStyle w:val="MDPI81references"/>
        <w:numPr>
          <w:ilvl w:val="0"/>
          <w:numId w:val="0"/>
        </w:numPr>
        <w:ind w:left="425"/>
      </w:pPr>
      <w:r>
        <w:t xml:space="preserve">Lu, S.; Zhao, H.; Liu, H.; Li, H.; Wang, N. PKRT-Net: Prior Knowledge-Based Relation Transformer Network for Optic Cup and Disc Segmentation. </w:t>
      </w:r>
      <w:r>
        <w:rPr>
          <w:i/>
        </w:rPr>
        <w:t xml:space="preserve">Neurocomputing</w:t>
      </w:r>
      <w:r>
        <w:t xml:space="preserve"> </w:t>
      </w:r>
      <w:r>
        <w:rPr>
          <w:b/>
        </w:rPr>
        <w:t xml:space="preserve">2023</w:t>
      </w:r>
      <w:r>
        <w:t xml:space="preserve">, </w:t>
      </w:r>
      <w:r>
        <w:rPr>
          <w:i/>
        </w:rPr>
        <w:t xml:space="preserve">538</w:t>
      </w:r>
      <w:r>
        <w:t xml:space="preserve">, 126183. https://doi.org/10.1016/j.neucom.2023.03.044.</w:t>
      </w:r>
    </w:p>
    <w:p w14:paraId="7D246A0D" w14:textId="77777777" w:rsidR="007C1CDA" w:rsidRPr="001A0468" w:rsidRDefault="007C1CDA" w:rsidP="006D1F3D">
      <w:pPr>
        <w:pStyle w:val="MDPI81references"/>
        <w:numPr>
          <w:ilvl w:val="0"/>
          <w:numId w:val="0"/>
        </w:numPr>
        <w:ind w:left="425"/>
      </w:pPr>
      <w:r>
        <w:t xml:space="preserve">Yi, Y.; Jiang, Y.; Zhou, B.; Zhang, N.; Dai, J.; Huang, X.; Zeng, Q.; Zhou, W. C2FTFNet: Coarse-to-Fine Transformer Network for Joint Optic Disc and Cup Segmentation. </w:t>
      </w:r>
      <w:r>
        <w:rPr>
          <w:i/>
        </w:rPr>
        <w:t xml:space="preserve">Comput. Biol. Med.</w:t>
      </w:r>
      <w:r>
        <w:t xml:space="preserve"> </w:t>
      </w:r>
      <w:r>
        <w:rPr>
          <w:b/>
        </w:rPr>
        <w:t xml:space="preserve">2023</w:t>
      </w:r>
      <w:r>
        <w:t xml:space="preserve">, </w:t>
      </w:r>
      <w:r>
        <w:rPr>
          <w:i/>
        </w:rPr>
        <w:t xml:space="preserve">164</w:t>
      </w:r>
      <w:r>
        <w:t xml:space="preserve">, 107215. https://doi.org/10.1016/j.compbiomed.2023.107215.</w:t>
      </w:r>
    </w:p>
    <w:p w14:paraId="7D246A0D" w14:textId="77777777" w:rsidR="007C1CDA" w:rsidRPr="001A0468" w:rsidRDefault="007C1CDA" w:rsidP="006D1F3D">
      <w:pPr>
        <w:pStyle w:val="MDPI81references"/>
        <w:numPr>
          <w:ilvl w:val="0"/>
          <w:numId w:val="0"/>
        </w:numPr>
        <w:ind w:left="425"/>
      </w:pPr>
      <w:r>
        <w:t xml:space="preserve">Feng, Y.; Li, Z.; Yang, D.; Hu, H.; Guo, H.; Liu, H. Polarformer: Optic Disc and Cup Segmentation Using a Hybrid CNN-Transformer and Polar Transformation. </w:t>
      </w:r>
      <w:r>
        <w:rPr>
          <w:i/>
        </w:rPr>
        <w:t xml:space="preserve">Appl. Sci.</w:t>
      </w:r>
      <w:r>
        <w:t xml:space="preserve"> </w:t>
      </w:r>
      <w:r>
        <w:rPr>
          <w:b/>
        </w:rPr>
        <w:t xml:space="preserve">2023</w:t>
      </w:r>
      <w:r>
        <w:t xml:space="preserve">, </w:t>
      </w:r>
      <w:r>
        <w:rPr>
          <w:i/>
        </w:rPr>
        <w:t xml:space="preserve">13</w:t>
      </w:r>
      <w:r>
        <w:t xml:space="preserve">, 541. https://doi.org/10.3390/app13010541.</w:t>
      </w:r>
    </w:p>
    <w:p w14:paraId="7D246A0D" w14:textId="77777777" w:rsidR="007C1CDA" w:rsidRPr="001A0468" w:rsidRDefault="007C1CDA" w:rsidP="006D1F3D">
      <w:pPr>
        <w:pStyle w:val="MDPI81references"/>
        <w:numPr>
          <w:ilvl w:val="0"/>
          <w:numId w:val="0"/>
        </w:numPr>
        <w:ind w:left="425"/>
      </w:pPr>
      <w:r>
        <w:t xml:space="preserve">Shi, M.; Lokhande, A.; Tian, Y.; Luo, Y.; Eslami, M.; Kazeminasab, S.; Elze, T.; Shen, L.Q.; Pasquale, L.R.; Wellik, S.R.; et al. Transformer-Based Deep Learning Prediction of 10-Degree Humphrey Visual Field Tests from 24-Degree Data. </w:t>
      </w:r>
      <w:r>
        <w:rPr>
          <w:i/>
        </w:rPr>
        <w:t xml:space="preserve">Transl. Vis. Sci. Technol.</w:t>
      </w:r>
      <w:r>
        <w:t xml:space="preserve"> </w:t>
      </w:r>
      <w:r>
        <w:rPr>
          <w:b/>
        </w:rPr>
        <w:t xml:space="preserve">2024</w:t>
      </w:r>
      <w:r>
        <w:t xml:space="preserve">, </w:t>
      </w:r>
      <w:r>
        <w:rPr>
          <w:i/>
        </w:rPr>
        <w:t xml:space="preserve">13</w:t>
      </w:r>
      <w:r>
        <w:t xml:space="preserve">, 11. https://doi.org/10.1167/tvst.13.8.11.</w:t>
      </w:r>
    </w:p>
    <w:p w14:paraId="7D246A0D" w14:textId="77777777" w:rsidR="007C1CDA" w:rsidRPr="001A0468" w:rsidRDefault="007C1CDA" w:rsidP="006D1F3D">
      <w:pPr>
        <w:pStyle w:val="MDPI81references"/>
        <w:numPr>
          <w:ilvl w:val="0"/>
          <w:numId w:val="0"/>
        </w:numPr>
        <w:ind w:left="425"/>
      </w:pPr>
      <w:r>
        <w:t xml:space="preserve">Hu, W.; Wang, S.Y. Predicting Glaucoma Progression Requiring Surgery Using Clinical Free-Text Notes and Transfer Learning with Transformers. </w:t>
      </w:r>
      <w:r>
        <w:rPr>
          <w:i/>
        </w:rPr>
        <w:t xml:space="preserve">Transl. Vis. Sci. Technol.</w:t>
      </w:r>
      <w:r>
        <w:t xml:space="preserve"> </w:t>
      </w:r>
      <w:r>
        <w:rPr>
          <w:b/>
        </w:rPr>
        <w:t xml:space="preserve">2022</w:t>
      </w:r>
      <w:r>
        <w:t xml:space="preserve">, </w:t>
      </w:r>
      <w:r>
        <w:rPr>
          <w:i/>
        </w:rPr>
        <w:t xml:space="preserve">11</w:t>
      </w:r>
      <w:r>
        <w:t xml:space="preserve">, 37. https://doi.org/10.1167/tvst.11.3.37.</w:t>
      </w:r>
    </w:p>
    <w:p w14:paraId="7D246A0D" w14:textId="77777777" w:rsidR="007C1CDA" w:rsidRPr="001A0468" w:rsidRDefault="007C1CDA" w:rsidP="006D1F3D">
      <w:pPr>
        <w:pStyle w:val="MDPI81references"/>
        <w:numPr>
          <w:ilvl w:val="0"/>
          <w:numId w:val="0"/>
        </w:numPr>
        <w:ind w:left="425"/>
      </w:pPr>
      <w:r>
        <w:t xml:space="preserve">Coan, L.J.; Williams, B.M.; Krishna Adithya, V.; Upadhyaya, S.; Alkafri, A.; Czanner, S.; Venkatesh, R.; Willoughby, C.E.; Kavitha, S.; Czanner, G. Automatic Detection of Glaucoma via Fundus Imaging and Artificial Intelligence: A Review. </w:t>
      </w:r>
      <w:r>
        <w:rPr>
          <w:i/>
        </w:rPr>
        <w:t xml:space="preserve">Surv. Ophthalmol.</w:t>
      </w:r>
      <w:r>
        <w:t xml:space="preserve"> </w:t>
      </w:r>
      <w:r>
        <w:rPr>
          <w:b/>
        </w:rPr>
        <w:t xml:space="preserve">2023</w:t>
      </w:r>
      <w:r>
        <w:t xml:space="preserve">, </w:t>
      </w:r>
      <w:r>
        <w:rPr>
          <w:i/>
        </w:rPr>
        <w:t xml:space="preserve">68</w:t>
      </w:r>
      <w:r>
        <w:t xml:space="preserve">, 17–41. https://doi.org/10.1016/j.survophthal.2022.08.005.</w:t>
      </w:r>
    </w:p>
    <w:p w14:paraId="7D246A0D" w14:textId="77777777" w:rsidR="007C1CDA" w:rsidRPr="001A0468" w:rsidRDefault="007C1CDA" w:rsidP="006D1F3D">
      <w:pPr>
        <w:pStyle w:val="MDPI81references"/>
        <w:numPr>
          <w:ilvl w:val="0"/>
          <w:numId w:val="0"/>
        </w:numPr>
        <w:ind w:left="425"/>
      </w:pPr>
      <w:r>
        <w:t xml:space="preserve">Huang, X.; Islam, M.R.; Akter, S.; et al. Artificial Intelligence in Glaucoma: Opportunities, Challenges, and Future Directions. </w:t>
      </w:r>
      <w:r>
        <w:rPr>
          <w:i/>
        </w:rPr>
        <w:t xml:space="preserve">BioMed. Eng. OnLine</w:t>
      </w:r>
      <w:r>
        <w:t xml:space="preserve"> </w:t>
      </w:r>
      <w:r>
        <w:rPr>
          <w:b/>
        </w:rPr>
        <w:t xml:space="preserve">2023</w:t>
      </w:r>
      <w:r>
        <w:t xml:space="preserve">, </w:t>
      </w:r>
      <w:r>
        <w:rPr>
          <w:i/>
        </w:rPr>
        <w:t xml:space="preserve">22</w:t>
      </w:r>
      <w:r>
        <w:t xml:space="preserve">, 126. https://doi.org/10.1186/s12938-023-01187-8.</w:t>
      </w:r>
    </w:p>
    <w:p w14:paraId="7D246A0D" w14:textId="77777777" w:rsidR="007C1CDA" w:rsidRPr="001A0468" w:rsidRDefault="007C1CDA" w:rsidP="006D1F3D">
      <w:pPr>
        <w:pStyle w:val="MDPI81references"/>
        <w:numPr>
          <w:ilvl w:val="0"/>
          <w:numId w:val="0"/>
        </w:numPr>
        <w:ind w:left="425"/>
      </w:pPr>
      <w:r>
        <w:t xml:space="preserve">Shi, N.N.; Li, J.; Liu, G.H.; Cao, M.F. Artificial Intelligence for the Detection of Glaucoma with SD-OCT Images: A Systematic Review and Meta-Analysis. </w:t>
      </w:r>
      <w:r>
        <w:rPr>
          <w:i/>
        </w:rPr>
        <w:t xml:space="preserve">Int. J. Ophthalmol.</w:t>
      </w:r>
      <w:r>
        <w:t xml:space="preserve"> </w:t>
      </w:r>
      <w:r>
        <w:rPr>
          <w:b/>
        </w:rPr>
        <w:t xml:space="preserve">2024</w:t>
      </w:r>
      <w:r>
        <w:t xml:space="preserve">, </w:t>
      </w:r>
      <w:r>
        <w:rPr>
          <w:i/>
        </w:rPr>
        <w:t xml:space="preserve">17</w:t>
      </w:r>
      <w:r>
        <w:t xml:space="preserve">, 408–419. https://doi.org/10.18240/ijo.2024.03.02.</w:t>
      </w:r>
    </w:p>
    <w:p w14:paraId="7D246A0D" w14:textId="77777777" w:rsidR="007C1CDA" w:rsidRPr="001A0468" w:rsidRDefault="007C1CDA" w:rsidP="006D1F3D">
      <w:pPr>
        <w:pStyle w:val="MDPI81references"/>
        <w:numPr>
          <w:ilvl w:val="0"/>
          <w:numId w:val="0"/>
        </w:numPr>
        <w:ind w:left="425"/>
      </w:pPr>
      <w:r>
        <w:t xml:space="preserve">Lin, H.; Apostolidis, C.; Katsaggelos, A.K. Brighteye: Glaucoma Screening with Color Fundus Photographs Based on Vision Transformer. In </w:t>
      </w:r>
      <w:r>
        <w:t xml:space="preserve">Proceedings of the 2024 IEEE International Symposium on Biomedical Imaging (ISBI), Athens, Greece, 27–30 May 2024</w:t>
      </w:r>
      <w:r>
        <w:t xml:space="preserve">; pp. 1–4. https://doi.org/10.1109/ISBI56570.2024.10635883.</w:t>
      </w:r>
    </w:p>
    <w:p w14:paraId="7D246A0D" w14:textId="77777777" w:rsidR="007C1CDA" w:rsidRPr="001A0468" w:rsidRDefault="007C1CDA" w:rsidP="006D1F3D">
      <w:pPr>
        <w:pStyle w:val="MDPI81references"/>
        <w:numPr>
          <w:ilvl w:val="0"/>
          <w:numId w:val="0"/>
        </w:numPr>
        <w:ind w:left="425"/>
      </w:pPr>
      <w:r>
        <w:t xml:space="preserve">Haouli, I.E.; Hariri, W.; Seridi-Bouchelaghem, H. Exploring Vision Transformers for Automated Glaucoma Disease Diagnosis in Fundus Images. In </w:t>
      </w:r>
      <w:r>
        <w:t xml:space="preserve">Proceedings of the 2023 International Conference on Decision Aid Sciences and Applications (DASA), 2023</w:t>
      </w:r>
      <w:r>
        <w:t xml:space="preserve">; pp. 520–524. https://doi.org/10.1109/DASA59624.2023.10286714.</w:t>
      </w:r>
    </w:p>
    <w:p w14:paraId="7D246A0D" w14:textId="77777777" w:rsidR="007C1CDA" w:rsidRPr="001A0468" w:rsidRDefault="007C1CDA" w:rsidP="006D1F3D">
      <w:pPr>
        <w:pStyle w:val="MDPI81references"/>
        <w:numPr>
          <w:ilvl w:val="0"/>
          <w:numId w:val="0"/>
        </w:numPr>
        <w:ind w:left="425"/>
      </w:pPr>
      <w:r>
        <w:t xml:space="preserve">Hussain, R.; Basak, H. UT-Net: Combining U-Net and Transformer for Joint Optic Disc and Cup Segmentation and Glaucoma Detection. </w:t>
      </w:r>
      <w:r>
        <w:rPr>
          <w:i/>
        </w:rPr>
        <w:t xml:space="preserve">arXiv</w:t>
      </w:r>
      <w:r>
        <w:t xml:space="preserve"> </w:t>
      </w:r>
      <w:r>
        <w:rPr>
          <w:b/>
        </w:rPr>
        <w:t xml:space="preserve">2023</w:t>
      </w:r>
      <w:r>
        <w:t xml:space="preserve">, arXiv:2303.04939. https://doi.org/10.48550/arXiv.2303.04939.</w:t>
      </w:r>
    </w:p>
    <w:p w14:paraId="7D246A0D" w14:textId="77777777" w:rsidR="007C1CDA" w:rsidRPr="001A0468" w:rsidRDefault="007C1CDA" w:rsidP="006D1F3D">
      <w:pPr>
        <w:pStyle w:val="MDPI81references"/>
        <w:numPr>
          <w:ilvl w:val="0"/>
          <w:numId w:val="0"/>
        </w:numPr>
        <w:ind w:left="425"/>
      </w:pPr>
      <w:r>
        <w:t xml:space="preserve">Zhou, Y.; Yang, G.; Zhou, Y.; Ding, D.; Zhao, J. Representation, Alignment, Fusion: A Generic Transformer-Based Framework for Multi-Modal Glaucoma Recognition. In </w:t>
      </w:r>
      <w:r>
        <w:t xml:space="preserve">Medical Image Computing and Computer Assisted Intervention—MICCAI 2023; Springer: Cham, Switzerland, 2023</w:t>
      </w:r>
      <w:r>
        <w:t xml:space="preserve">; pp. 704–713. https://doi.org/10.1007/978-3-031-43990-2_66.</w:t>
      </w:r>
    </w:p>
    <w:p w14:paraId="7D246A0D" w14:textId="77777777" w:rsidR="007C1CDA" w:rsidRPr="001A0468" w:rsidRDefault="007C1CDA" w:rsidP="006D1F3D">
      <w:pPr>
        <w:pStyle w:val="MDPI81references"/>
        <w:numPr>
          <w:ilvl w:val="0"/>
          <w:numId w:val="0"/>
        </w:numPr>
        <w:ind w:left="425"/>
      </w:pPr>
      <w:r>
        <w:t xml:space="preserve">Han, J.; Oh, S.; Jo, H.; Ortiz, B.; Li, Y.; Chong, J. Automated Glaucoma Classification in Fundus Images Using Multi-Backbone Feature Fusion. In </w:t>
      </w:r>
      <w:r>
        <w:t xml:space="preserve">Proceedings of the 2025 IEEE 25th International Conference on Bioinformatics and Bioengineering (BIBE), 2025</w:t>
      </w:r>
      <w:r>
        <w:t xml:space="preserve">; pp. 723–728. https://doi.org/10.1109/BIBE66822.2025.00125.</w:t>
      </w:r>
    </w:p>
    <w:p w14:paraId="7D246A0D" w14:textId="77777777" w:rsidR="007C1CDA" w:rsidRPr="001A0468" w:rsidRDefault="007C1CDA" w:rsidP="006D1F3D">
      <w:pPr>
        <w:pStyle w:val="MDPI81references"/>
        <w:numPr>
          <w:ilvl w:val="0"/>
          <w:numId w:val="0"/>
        </w:numPr>
        <w:ind w:left="425"/>
      </w:pPr>
      <w:r>
        <w:t xml:space="preserve">Wang, D.; Lian, J.; Jiao, W. Multi-Label Classification of Retinal Disease via a Novel Vision Transformer Model. </w:t>
      </w:r>
      <w:r>
        <w:rPr>
          <w:i/>
        </w:rPr>
        <w:t xml:space="preserve">Front. Neurosci.</w:t>
      </w:r>
      <w:r>
        <w:t xml:space="preserve"> </w:t>
      </w:r>
      <w:r>
        <w:rPr>
          <w:b/>
        </w:rPr>
        <w:t xml:space="preserve">2024</w:t>
      </w:r>
      <w:r>
        <w:t xml:space="preserve">, </w:t>
      </w:r>
      <w:r>
        <w:rPr>
          <w:i/>
        </w:rPr>
        <w:t xml:space="preserve">17</w:t>
      </w:r>
      <w:r>
        <w:t xml:space="preserve">, 1290803. https://doi.org/10.3389/fnins.2023.1290803.</w:t>
      </w:r>
    </w:p>
    <w:p w14:paraId="7D246A0D" w14:textId="77777777" w:rsidR="007C1CDA" w:rsidRPr="001A0468" w:rsidRDefault="007C1CDA" w:rsidP="006D1F3D">
      <w:pPr>
        <w:pStyle w:val="MDPI81references"/>
        <w:numPr>
          <w:ilvl w:val="0"/>
          <w:numId w:val="0"/>
        </w:numPr>
        <w:ind w:left="425"/>
      </w:pPr>
      <w:r>
        <w:t xml:space="preserve">Balaha, H.M.; Hassan, A.E.-S.; Ahmed, R.A.; Balaha, M.H. Advancing Eye Disease Detection: A Comprehensive Study on Computer-Aided Diagnosis with Vision Transformers and SHAP Explainability Techniques. </w:t>
      </w:r>
      <w:r>
        <w:rPr>
          <w:i/>
        </w:rPr>
        <w:t xml:space="preserve">Biocybern. Biomed. Eng.</w:t>
      </w:r>
      <w:r>
        <w:t xml:space="preserve"> </w:t>
      </w:r>
      <w:r>
        <w:rPr>
          <w:b/>
        </w:rPr>
        <w:t xml:space="preserve">2025</w:t>
      </w:r>
      <w:r>
        <w:t xml:space="preserve">, </w:t>
      </w:r>
      <w:r>
        <w:rPr>
          <w:i/>
        </w:rPr>
        <w:t xml:space="preserve">45</w:t>
      </w:r>
      <w:r>
        <w:t xml:space="preserve">, 23–33. https://doi.org/10.1016/j.bbe.2024.11.005.</w:t>
      </w:r>
    </w:p>
    <w:p w14:paraId="7D246A0D" w14:textId="77777777" w:rsidR="007C1CDA" w:rsidRPr="001A0468" w:rsidRDefault="007C1CDA" w:rsidP="006D1F3D">
      <w:pPr>
        <w:pStyle w:val="MDPI81references"/>
        <w:numPr>
          <w:ilvl w:val="0"/>
          <w:numId w:val="0"/>
        </w:numPr>
        <w:ind w:left="425"/>
      </w:pPr>
      <w:r>
        <w:t xml:space="preserve">Saygılı, A.; Atıcı, Ö.M. Enhancing Retinal Disease Detection with the Swin Transformer: A Comprehensive Comparative Analysis. </w:t>
      </w:r>
      <w:r>
        <w:rPr>
          <w:i/>
        </w:rPr>
        <w:t xml:space="preserve">Concurr. Comput. Pract. Exp.</w:t>
      </w:r>
      <w:r>
        <w:t xml:space="preserve"> </w:t>
      </w:r>
      <w:r>
        <w:rPr>
          <w:b/>
        </w:rPr>
        <w:t xml:space="preserve">2025</w:t>
      </w:r>
      <w:r>
        <w:t xml:space="preserve">, </w:t>
      </w:r>
      <w:r>
        <w:rPr>
          <w:i/>
        </w:rPr>
        <w:t xml:space="preserve">37</w:t>
      </w:r>
      <w:r>
        <w:t xml:space="preserve">, e70366. https://doi.org/10.1002/cpe.70366.</w:t>
      </w:r>
    </w:p>
    <w:p w14:paraId="7D246A0D" w14:textId="77777777" w:rsidR="007C1CDA" w:rsidRPr="001A0468" w:rsidRDefault="007C1CDA" w:rsidP="006D1F3D">
      <w:pPr>
        <w:pStyle w:val="MDPI81references"/>
        <w:numPr>
          <w:ilvl w:val="0"/>
          <w:numId w:val="0"/>
        </w:numPr>
        <w:ind w:left="425"/>
      </w:pPr>
      <w:r>
        <w:t xml:space="preserve">Wu, J.; Fang, H.; Li, F.; et al. GAMMA Challenge: Glaucoma GrAding from Multi-Modality imAges. </w:t>
      </w:r>
      <w:r>
        <w:rPr>
          <w:i/>
        </w:rPr>
        <w:t xml:space="preserve">arXiv</w:t>
      </w:r>
      <w:r>
        <w:t xml:space="preserve"> </w:t>
      </w:r>
      <w:r>
        <w:rPr>
          <w:b/>
        </w:rPr>
        <w:t xml:space="preserve">2022</w:t>
      </w:r>
      <w:r>
        <w:t xml:space="preserve">, arXiv:2202.06511. https://doi.org/10.48550/arXiv.2202.06511.</w:t>
      </w:r>
    </w:p>
    <w:p w14:paraId="7D246A0D" w14:textId="77777777" w:rsidR="007C1CDA" w:rsidRPr="001A0468" w:rsidRDefault="007C1CDA" w:rsidP="006D1F3D">
      <w:pPr>
        <w:pStyle w:val="MDPI81references"/>
        <w:numPr>
          <w:ilvl w:val="0"/>
          <w:numId w:val="0"/>
        </w:numPr>
        <w:ind w:left="425"/>
      </w:pPr>
      <w:r>
        <w:t xml:space="preserve">Yurdakul, M.; Uyar, K.; Taşdemir, Ş. MaxGlaViT: A Novel Lightweight Vision Transformer-Based Approach for Early Diagnosis of Glaucoma Stages from Fundus Images. </w:t>
      </w:r>
      <w:r>
        <w:rPr>
          <w:i/>
        </w:rPr>
        <w:t xml:space="preserve">arXiv</w:t>
      </w:r>
      <w:r>
        <w:t xml:space="preserve"> </w:t>
      </w:r>
      <w:r>
        <w:rPr>
          <w:b/>
        </w:rPr>
        <w:t xml:space="preserve">2025</w:t>
      </w:r>
      <w:r>
        <w:t xml:space="preserve">, arXiv:2502.17154. https://doi.org/10.48550/arXiv.2502.17154.</w:t>
      </w:r>
    </w:p>
    <w:p w14:paraId="7D246A0D" w14:textId="77777777" w:rsidR="007C1CDA" w:rsidRPr="001A0468" w:rsidRDefault="007C1CDA" w:rsidP="006D1F3D">
      <w:pPr>
        <w:pStyle w:val="MDPI81references"/>
        <w:numPr>
          <w:ilvl w:val="0"/>
          <w:numId w:val="0"/>
        </w:numPr>
        <w:ind w:left="425"/>
      </w:pPr>
      <w:r>
        <w:rPr>
          <w:color w:val="000000" w:themeColor="text1"/>
        </w:rPr>
        <w:t xml:space="preserve">Song, D.; Fu, B.; Li, F.; Xiong, J.; He, J.; Zhang, X.; Qiao, Y. Deep Relation Transformer for Diagnosing Glaucoma With Optical Coherence Tomography and Visual Field Function. </w:t>
      </w:r>
      <w:r>
        <w:rPr>
          <w:i/>
          <w:color w:val="000000" w:themeColor="text1"/>
        </w:rPr>
        <w:t>IEEE Trans. Med. Imaging</w:t>
      </w:r>
      <w:r>
        <w:rPr>
          <w:color w:val="000000" w:themeColor="text1"/>
        </w:rPr>
        <w:t xml:space="preserve"> </w:t>
      </w:r>
      <w:r>
        <w:rPr>
          <w:b/>
          <w:color w:val="000000" w:themeColor="text1"/>
        </w:rPr>
        <w:t>2021</w:t>
      </w:r>
      <w:r>
        <w:rPr>
          <w:color w:val="000000" w:themeColor="text1"/>
        </w:rPr>
        <w:t xml:space="preserve">, </w:t>
      </w:r>
      <w:r>
        <w:rPr>
          <w:i/>
          <w:color w:val="000000" w:themeColor="text1"/>
        </w:rPr>
        <w:t>40</w:t>
      </w:r>
      <w:r>
        <w:rPr>
          <w:color w:val="000000" w:themeColor="text1"/>
        </w:rPr>
        <w:t>, 2392–2402. https://doi.org/10.1109/TMI.2021.3077484.</w:t>
      </w:r>
    </w:p>
    <w:p w14:paraId="7D246A0D" w14:textId="77777777" w:rsidR="007C1CDA" w:rsidRPr="001A0468" w:rsidRDefault="007C1CDA" w:rsidP="006D1F3D">
      <w:pPr>
        <w:pStyle w:val="MDPI81references"/>
        <w:numPr>
          <w:ilvl w:val="0"/>
          <w:numId w:val="0"/>
        </w:numPr>
        <w:ind w:left="425"/>
      </w:pPr>
      <w:r>
        <w:rPr>
          <w:color w:val="000000" w:themeColor="text1"/>
        </w:rPr>
        <w:t xml:space="preserve">Fan, R.; Alipour, K.; Bowd, C.; Christopher, M.; Brye, N.; Proudfoot, J.A.; Goldbaum, M.H.; Belghith, A.; Girkin, C.A.; Fazio, M.A.; et al. Detecting Glaucoma from Fundus Photographs Using Deep Learning without Convolutions: Transformer for Improved Generalization. </w:t>
      </w:r>
      <w:r>
        <w:rPr>
          <w:i/>
          <w:color w:val="000000" w:themeColor="text1"/>
        </w:rPr>
        <w:t>Ophthalmol. Sci.</w:t>
      </w:r>
      <w:r>
        <w:rPr>
          <w:color w:val="000000" w:themeColor="text1"/>
        </w:rPr>
        <w:t xml:space="preserve"> </w:t>
      </w:r>
      <w:r>
        <w:rPr>
          <w:b/>
          <w:color w:val="000000" w:themeColor="text1"/>
        </w:rPr>
        <w:t>2023</w:t>
      </w:r>
      <w:r>
        <w:rPr>
          <w:color w:val="000000" w:themeColor="text1"/>
        </w:rPr>
        <w:t xml:space="preserve">, </w:t>
      </w:r>
      <w:r>
        <w:rPr>
          <w:i/>
          <w:color w:val="000000" w:themeColor="text1"/>
        </w:rPr>
        <w:t>3</w:t>
      </w:r>
      <w:r>
        <w:rPr>
          <w:color w:val="000000" w:themeColor="text1"/>
        </w:rPr>
        <w:t>, 100233. https://doi.org/10.1016/j.xops.2022.100233.</w:t>
      </w:r>
    </w:p>
    <w:p w14:paraId="7D246A0D" w14:textId="77777777" w:rsidR="007C1CDA" w:rsidRPr="001A0468" w:rsidRDefault="007C1CDA" w:rsidP="006D1F3D">
      <w:pPr>
        <w:pStyle w:val="MDPI81references"/>
        <w:numPr>
          <w:ilvl w:val="0"/>
          <w:numId w:val="0"/>
        </w:numPr>
        <w:ind w:left="425"/>
      </w:pPr>
      <w:r>
        <w:rPr>
          <w:color w:val="000000" w:themeColor="text1"/>
        </w:rPr>
        <w:t xml:space="preserve">Wang, K.; Xu, C.; Li, G.; Zhang, Y.; Zheng, Y.; Sun, C. Combining Convolutional Neural Networks and Self-Attention for Fundus Diseases Identification. </w:t>
      </w:r>
      <w:r>
        <w:rPr>
          <w:i/>
          <w:color w:val="000000" w:themeColor="text1"/>
        </w:rPr>
        <w:t>Sci. Rep.</w:t>
      </w:r>
      <w:r>
        <w:rPr>
          <w:color w:val="000000" w:themeColor="text1"/>
        </w:rPr>
        <w:t xml:space="preserve"> </w:t>
      </w:r>
      <w:r>
        <w:rPr>
          <w:b/>
          <w:color w:val="000000" w:themeColor="text1"/>
        </w:rPr>
        <w:t>2023</w:t>
      </w:r>
      <w:r>
        <w:rPr>
          <w:color w:val="000000" w:themeColor="text1"/>
        </w:rPr>
        <w:t xml:space="preserve">, </w:t>
      </w:r>
      <w:r>
        <w:rPr>
          <w:i/>
          <w:color w:val="000000" w:themeColor="text1"/>
        </w:rPr>
        <w:t>13</w:t>
      </w:r>
      <w:r>
        <w:rPr>
          <w:color w:val="000000" w:themeColor="text1"/>
        </w:rPr>
        <w:t>, 76. https://doi.org/10.1038/s41598-022-27358-6.</w:t>
      </w:r>
    </w:p>
    <w:p w14:paraId="7D246A0D" w14:textId="77777777" w:rsidR="007C1CDA" w:rsidRPr="001A0468" w:rsidRDefault="007C1CDA" w:rsidP="006D1F3D">
      <w:pPr>
        <w:pStyle w:val="MDPI81references"/>
        <w:numPr>
          <w:ilvl w:val="0"/>
          <w:numId w:val="0"/>
        </w:numPr>
        <w:ind w:left="425"/>
      </w:pPr>
      <w:r>
        <w:rPr>
          <w:color w:val="000000" w:themeColor="text1"/>
        </w:rPr>
        <w:t xml:space="preserve">Alayón, S.; Hernández, J.; Fumero, F.J.; Sigut, J.F.; Díaz-Alemán, T. Comparison of the Performance of Convolutional Neural Networks and Vision Transformer-Based Systems for Automated Glaucoma Detection with Eye Fundus Images. </w:t>
      </w:r>
      <w:r>
        <w:rPr>
          <w:i/>
          <w:color w:val="000000" w:themeColor="text1"/>
        </w:rPr>
        <w:t>Appl. Sci.</w:t>
      </w:r>
      <w:r>
        <w:rPr>
          <w:color w:val="000000" w:themeColor="text1"/>
        </w:rPr>
        <w:t xml:space="preserve"> </w:t>
      </w:r>
      <w:r>
        <w:rPr>
          <w:b/>
          <w:color w:val="000000" w:themeColor="text1"/>
        </w:rPr>
        <w:t>2023</w:t>
      </w:r>
      <w:r>
        <w:rPr>
          <w:color w:val="000000" w:themeColor="text1"/>
        </w:rPr>
        <w:t xml:space="preserve">, </w:t>
      </w:r>
      <w:r>
        <w:rPr>
          <w:i/>
          <w:color w:val="000000" w:themeColor="text1"/>
        </w:rPr>
        <w:t>13</w:t>
      </w:r>
      <w:r>
        <w:rPr>
          <w:color w:val="000000" w:themeColor="text1"/>
        </w:rPr>
        <w:t>, 12722. https://doi.org/10.3390/app132312722.</w:t>
      </w:r>
    </w:p>
    <w:p w14:paraId="7D246A0D" w14:textId="77777777" w:rsidR="007C1CDA" w:rsidRPr="001A0468" w:rsidRDefault="007C1CDA" w:rsidP="006D1F3D">
      <w:pPr>
        <w:pStyle w:val="MDPI81references"/>
        <w:numPr>
          <w:ilvl w:val="0"/>
          <w:numId w:val="0"/>
        </w:numPr>
        <w:ind w:left="425"/>
      </w:pPr>
      <w:r>
        <w:rPr>
          <w:color w:val="000000" w:themeColor="text1"/>
        </w:rPr>
        <w:t xml:space="preserve">Hwang, E.E.; Chen, D.; Han, Y.; Jia, L.; Shan, J. Multi-Dataset Comparison of Vision Transformers and Convolutional Neural Networks for Detecting Glaucomatous Optic Neuropathy from Fundus Photographs. </w:t>
      </w:r>
      <w:r>
        <w:rPr>
          <w:i/>
          <w:color w:val="000000" w:themeColor="text1"/>
        </w:rPr>
        <w:t>Bioengineering</w:t>
      </w:r>
      <w:r>
        <w:rPr>
          <w:color w:val="000000" w:themeColor="text1"/>
        </w:rPr>
        <w:t xml:space="preserve"> </w:t>
      </w:r>
      <w:r>
        <w:rPr>
          <w:b/>
          <w:color w:val="000000" w:themeColor="text1"/>
        </w:rPr>
        <w:t>2023</w:t>
      </w:r>
      <w:r>
        <w:rPr>
          <w:color w:val="000000" w:themeColor="text1"/>
        </w:rPr>
        <w:t xml:space="preserve">, </w:t>
      </w:r>
      <w:r>
        <w:rPr>
          <w:i/>
          <w:color w:val="000000" w:themeColor="text1"/>
        </w:rPr>
        <w:t>10</w:t>
      </w:r>
      <w:r>
        <w:rPr>
          <w:color w:val="000000" w:themeColor="text1"/>
        </w:rPr>
        <w:t>, 1266. https://doi.org/10.3390/bioengineering10111266.</w:t>
      </w:r>
    </w:p>
    <w:p w14:paraId="7D246A0D" w14:textId="77777777" w:rsidR="007C1CDA" w:rsidRPr="001A0468" w:rsidRDefault="007C1CDA" w:rsidP="006D1F3D">
      <w:pPr>
        <w:pStyle w:val="MDPI81references"/>
        <w:numPr>
          <w:ilvl w:val="0"/>
          <w:numId w:val="0"/>
        </w:numPr>
        <w:ind w:left="425"/>
      </w:pPr>
      <w:r>
        <w:rPr>
          <w:color w:val="000000" w:themeColor="text1"/>
        </w:rPr>
        <w:t xml:space="preserve">Singh, P.B.; Singh, P.; Dev, H.; Tiwari, A.; Batra, D.; Chaurasia, B.K. Glaucoma Classification Using Light Vision Transformer. </w:t>
      </w:r>
      <w:r>
        <w:rPr>
          <w:i/>
          <w:color w:val="000000" w:themeColor="text1"/>
        </w:rPr>
        <w:t>EAI Endorsed Trans. Pervasive Health Technol.</w:t>
      </w:r>
      <w:r>
        <w:rPr>
          <w:color w:val="000000" w:themeColor="text1"/>
        </w:rPr>
        <w:t xml:space="preserve"> </w:t>
      </w:r>
      <w:r>
        <w:rPr>
          <w:b/>
          <w:color w:val="000000" w:themeColor="text1"/>
        </w:rPr>
        <w:t>2023</w:t>
      </w:r>
      <w:r>
        <w:rPr>
          <w:color w:val="000000" w:themeColor="text1"/>
        </w:rPr>
        <w:t xml:space="preserve">, </w:t>
      </w:r>
      <w:r>
        <w:rPr>
          <w:i/>
          <w:color w:val="000000" w:themeColor="text1"/>
        </w:rPr>
        <w:t>9</w:t>
      </w:r>
      <w:r>
        <w:rPr>
          <w:color w:val="000000" w:themeColor="text1"/>
        </w:rPr>
        <w:t>, 3931. https://doi.org/10.4108/eetpht.9.3931.</w:t>
      </w:r>
    </w:p>
    <w:p w14:paraId="7D246A0D" w14:textId="77777777" w:rsidR="007C1CDA" w:rsidRPr="001A0468" w:rsidRDefault="007C1CDA" w:rsidP="006D1F3D">
      <w:pPr>
        <w:pStyle w:val="MDPI81references"/>
        <w:numPr>
          <w:ilvl w:val="0"/>
          <w:numId w:val="0"/>
        </w:numPr>
        <w:ind w:left="425"/>
      </w:pPr>
      <w:r>
        <w:rPr>
          <w:color w:val="000000" w:themeColor="text1"/>
        </w:rPr>
        <w:t xml:space="preserve">D’Souza, G.; Siddalingaswamy, P.C.; Pandya, M.A. AlterNet-K: A Small and Compact Model for the Detection of Glaucoma. </w:t>
      </w:r>
      <w:r>
        <w:rPr>
          <w:i/>
          <w:color w:val="000000" w:themeColor="text1"/>
        </w:rPr>
        <w:t>Biomed. Eng. Lett.</w:t>
      </w:r>
      <w:r>
        <w:rPr>
          <w:color w:val="000000" w:themeColor="text1"/>
        </w:rPr>
        <w:t xml:space="preserve"> </w:t>
      </w:r>
      <w:r>
        <w:rPr>
          <w:b/>
          <w:color w:val="000000" w:themeColor="text1"/>
        </w:rPr>
        <w:t>2024</w:t>
      </w:r>
      <w:r>
        <w:rPr>
          <w:color w:val="000000" w:themeColor="text1"/>
        </w:rPr>
        <w:t xml:space="preserve">, </w:t>
      </w:r>
      <w:r>
        <w:rPr>
          <w:i/>
          <w:color w:val="000000" w:themeColor="text1"/>
        </w:rPr>
        <w:t>14</w:t>
      </w:r>
      <w:r>
        <w:rPr>
          <w:color w:val="000000" w:themeColor="text1"/>
        </w:rPr>
        <w:t>, 23–33. https://doi.org/10.1007/s13534-023-00307-6.</w:t>
      </w:r>
    </w:p>
    <w:p w14:paraId="7D246A0D" w14:textId="77777777" w:rsidR="007C1CDA" w:rsidRPr="001A0468" w:rsidRDefault="007C1CDA" w:rsidP="006D1F3D">
      <w:pPr>
        <w:pStyle w:val="MDPI81references"/>
        <w:numPr>
          <w:ilvl w:val="0"/>
          <w:numId w:val="0"/>
        </w:numPr>
        <w:ind w:left="425"/>
      </w:pPr>
      <w:r>
        <w:rPr>
          <w:color w:val="000000" w:themeColor="text1"/>
        </w:rPr>
        <w:t xml:space="preserve">Wang, Z.; Wang, J.; Zhang, H.; Yan, C.; Wang, X.; Wen, X. MSTNet: Method for Glaucoma Grading Based on Multimodal Feature Fusion of Spatial Relations. </w:t>
      </w:r>
      <w:r>
        <w:rPr>
          <w:i/>
          <w:color w:val="000000" w:themeColor="text1"/>
        </w:rPr>
        <w:t>Phys. Med. Biol.</w:t>
      </w:r>
      <w:r>
        <w:rPr>
          <w:color w:val="000000" w:themeColor="text1"/>
        </w:rPr>
        <w:t xml:space="preserve"> </w:t>
      </w:r>
      <w:r>
        <w:rPr>
          <w:b/>
          <w:color w:val="000000" w:themeColor="text1"/>
        </w:rPr>
        <w:t>2023</w:t>
      </w:r>
      <w:r>
        <w:rPr>
          <w:color w:val="000000" w:themeColor="text1"/>
        </w:rPr>
        <w:t xml:space="preserve">, </w:t>
      </w:r>
      <w:r>
        <w:rPr>
          <w:i/>
          <w:color w:val="000000" w:themeColor="text1"/>
        </w:rPr>
        <w:t>68</w:t>
      </w:r>
      <w:r>
        <w:rPr>
          <w:color w:val="000000" w:themeColor="text1"/>
        </w:rPr>
        <w:t>, 245002. https://doi.org/10.1088/1361-6560/ad0520.</w:t>
      </w:r>
    </w:p>
    <w:p w14:paraId="7D246A0D" w14:textId="77777777" w:rsidR="007C1CDA" w:rsidRPr="001A0468" w:rsidRDefault="007C1CDA" w:rsidP="006D1F3D">
      <w:pPr>
        <w:pStyle w:val="MDPI81references"/>
        <w:numPr>
          <w:ilvl w:val="0"/>
          <w:numId w:val="0"/>
        </w:numPr>
        <w:ind w:left="425"/>
      </w:pPr>
      <w:r>
        <w:rPr>
          <w:color w:val="000000" w:themeColor="text1"/>
        </w:rPr>
        <w:lastRenderedPageBreak/>
        <w:t xml:space="preserve">Wu, J.; Fang, H.; Li, F.; Fu, H.; Lin, F.; Li, J.; Huang, Y.; Yu, Q.; Song, S.; Xu, X.; et al. GAMMA Challenge: Glaucoma GrAding from Multi-Modality imAges. </w:t>
      </w:r>
      <w:r>
        <w:rPr>
          <w:i/>
          <w:color w:val="000000" w:themeColor="text1"/>
        </w:rPr>
        <w:t>Med. Image Anal.</w:t>
      </w:r>
      <w:r>
        <w:rPr>
          <w:color w:val="000000" w:themeColor="text1"/>
        </w:rPr>
        <w:t xml:space="preserve"> </w:t>
      </w:r>
      <w:r>
        <w:rPr>
          <w:b/>
          <w:color w:val="000000" w:themeColor="text1"/>
        </w:rPr>
        <w:t>2023</w:t>
      </w:r>
      <w:r>
        <w:rPr>
          <w:color w:val="000000" w:themeColor="text1"/>
        </w:rPr>
        <w:t xml:space="preserve">, </w:t>
      </w:r>
      <w:r>
        <w:rPr>
          <w:i/>
          <w:color w:val="000000" w:themeColor="text1"/>
        </w:rPr>
        <w:t>90</w:t>
      </w:r>
      <w:r>
        <w:rPr>
          <w:color w:val="000000" w:themeColor="text1"/>
        </w:rPr>
        <w:t>, 102938. https://doi.org/10.1016/j.media.2023.102938.</w:t>
      </w:r>
    </w:p>
    <w:p w14:paraId="7D246A0D" w14:textId="77777777" w:rsidR="007C1CDA" w:rsidRPr="001A0468" w:rsidRDefault="007C1CDA" w:rsidP="006D1F3D">
      <w:pPr>
        <w:pStyle w:val="MDPI81references"/>
        <w:numPr>
          <w:ilvl w:val="0"/>
          <w:numId w:val="0"/>
        </w:numPr>
        <w:ind w:left="425"/>
      </w:pPr>
      <w:r>
        <w:rPr>
          <w:color w:val="000000" w:themeColor="text1"/>
        </w:rPr>
        <w:t xml:space="preserve">Tohye, T.G.; Qin, Z.; Al-antari, M.A.; Ukwuoma, C.C.; Lonseko, Z.M.; Gu, Y.H. CA-ViT: Contour-Guided and Augmented Vision Transformers to Enhance Glaucoma Classification Using Fundus Images. </w:t>
      </w:r>
      <w:r>
        <w:rPr>
          <w:i/>
          <w:color w:val="000000" w:themeColor="text1"/>
        </w:rPr>
        <w:t>Bioengineering</w:t>
      </w:r>
      <w:r>
        <w:rPr>
          <w:color w:val="000000" w:themeColor="text1"/>
        </w:rPr>
        <w:t xml:space="preserve"> </w:t>
      </w:r>
      <w:r>
        <w:rPr>
          <w:b/>
          <w:color w:val="000000" w:themeColor="text1"/>
        </w:rPr>
        <w:t>2024</w:t>
      </w:r>
      <w:r>
        <w:rPr>
          <w:color w:val="000000" w:themeColor="text1"/>
        </w:rPr>
        <w:t xml:space="preserve">, </w:t>
      </w:r>
      <w:r>
        <w:rPr>
          <w:i/>
          <w:color w:val="000000" w:themeColor="text1"/>
        </w:rPr>
        <w:t>11</w:t>
      </w:r>
      <w:r>
        <w:rPr>
          <w:color w:val="000000" w:themeColor="text1"/>
        </w:rPr>
        <w:t>, 887. https://doi.org/10.3390/bioengineering11090887.</w:t>
      </w:r>
    </w:p>
    <w:p w14:paraId="7D246A0D" w14:textId="77777777" w:rsidR="007C1CDA" w:rsidRPr="001A0468" w:rsidRDefault="007C1CDA" w:rsidP="006D1F3D">
      <w:pPr>
        <w:pStyle w:val="MDPI81references"/>
        <w:numPr>
          <w:ilvl w:val="0"/>
          <w:numId w:val="0"/>
        </w:numPr>
        <w:ind w:left="425"/>
      </w:pPr>
      <w:r>
        <w:rPr>
          <w:color w:val="000000" w:themeColor="text1"/>
        </w:rPr>
        <w:t xml:space="preserve">Wang, C.-Y.; Nguyen, H.-T.; Fan, W.-S.; Lue, J.-H.; Saenprasarn, P.; Chen, M.-M.; Huang, S.-Y.; Lin, F.-C.; Wang, H.-C. Glaucoma Detection through a Novel Hyperspectral Imaging Band Selection and Vision Transformer Integration. </w:t>
      </w:r>
      <w:r>
        <w:rPr>
          <w:i/>
          <w:color w:val="000000" w:themeColor="text1"/>
        </w:rPr>
        <w:t>Diagnostics</w:t>
      </w:r>
      <w:r>
        <w:rPr>
          <w:color w:val="000000" w:themeColor="text1"/>
        </w:rPr>
        <w:t xml:space="preserve"> </w:t>
      </w:r>
      <w:r>
        <w:rPr>
          <w:b/>
          <w:color w:val="000000" w:themeColor="text1"/>
        </w:rPr>
        <w:t>2024</w:t>
      </w:r>
      <w:r>
        <w:rPr>
          <w:color w:val="000000" w:themeColor="text1"/>
        </w:rPr>
        <w:t xml:space="preserve">, </w:t>
      </w:r>
      <w:r>
        <w:rPr>
          <w:i/>
          <w:color w:val="000000" w:themeColor="text1"/>
        </w:rPr>
        <w:t>14</w:t>
      </w:r>
      <w:r>
        <w:rPr>
          <w:color w:val="000000" w:themeColor="text1"/>
        </w:rPr>
        <w:t>, 1285. https://doi.org/10.3390/diagnostics14121285.</w:t>
      </w:r>
    </w:p>
    <w:p w14:paraId="7D246A0D" w14:textId="77777777" w:rsidR="007C1CDA" w:rsidRPr="001A0468" w:rsidRDefault="007C1CDA" w:rsidP="006D1F3D">
      <w:pPr>
        <w:pStyle w:val="MDPI81references"/>
        <w:numPr>
          <w:ilvl w:val="0"/>
          <w:numId w:val="0"/>
        </w:numPr>
        <w:ind w:left="425"/>
      </w:pPr>
      <w:r>
        <w:rPr>
          <w:color w:val="000000" w:themeColor="text1"/>
        </w:rPr>
        <w:t xml:space="preserve">Chincholi, F.; Koestler, H. Transforming Glaucoma Diagnosis: Transformers at the Forefront. </w:t>
      </w:r>
      <w:r>
        <w:rPr>
          <w:i/>
          <w:color w:val="000000" w:themeColor="text1"/>
        </w:rPr>
        <w:t>Front. Artif. Intell.</w:t>
      </w:r>
      <w:r>
        <w:rPr>
          <w:color w:val="000000" w:themeColor="text1"/>
        </w:rPr>
        <w:t xml:space="preserve"> </w:t>
      </w:r>
      <w:r>
        <w:rPr>
          <w:b/>
          <w:color w:val="000000" w:themeColor="text1"/>
        </w:rPr>
        <w:t>2024</w:t>
      </w:r>
      <w:r>
        <w:rPr>
          <w:color w:val="000000" w:themeColor="text1"/>
        </w:rPr>
        <w:t xml:space="preserve">, </w:t>
      </w:r>
      <w:r>
        <w:rPr>
          <w:i/>
          <w:color w:val="000000" w:themeColor="text1"/>
        </w:rPr>
        <w:t>7</w:t>
      </w:r>
      <w:r>
        <w:rPr>
          <w:color w:val="000000" w:themeColor="text1"/>
        </w:rPr>
        <w:t>, 1324109. https://doi.org/10.3389/frai.2024.1324109.</w:t>
      </w:r>
    </w:p>
    <w:p w14:paraId="7D246A0D" w14:textId="77777777" w:rsidR="007C1CDA" w:rsidRPr="001A0468" w:rsidRDefault="007C1CDA" w:rsidP="006D1F3D">
      <w:pPr>
        <w:pStyle w:val="MDPI81references"/>
        <w:numPr>
          <w:ilvl w:val="0"/>
          <w:numId w:val="0"/>
        </w:numPr>
        <w:ind w:left="425"/>
      </w:pPr>
      <w:r>
        <w:rPr>
          <w:color w:val="000000" w:themeColor="text1"/>
        </w:rPr>
        <w:t xml:space="preserve">Almeshrky, H.; Karacı, A. Optic Disc Segmentation in Human Retina Images Using a Meta Heuristic Optimization Method and Disease Diagnosis with Deep Learning. </w:t>
      </w:r>
      <w:r>
        <w:rPr>
          <w:i/>
          <w:color w:val="000000" w:themeColor="text1"/>
        </w:rPr>
        <w:t>Appl. Sci.</w:t>
      </w:r>
      <w:r>
        <w:rPr>
          <w:color w:val="000000" w:themeColor="text1"/>
        </w:rPr>
        <w:t xml:space="preserve"> </w:t>
      </w:r>
      <w:r>
        <w:rPr>
          <w:b/>
          <w:color w:val="000000" w:themeColor="text1"/>
        </w:rPr>
        <w:t>2024</w:t>
      </w:r>
      <w:r>
        <w:rPr>
          <w:color w:val="000000" w:themeColor="text1"/>
        </w:rPr>
        <w:t xml:space="preserve">, </w:t>
      </w:r>
      <w:r>
        <w:rPr>
          <w:i/>
          <w:color w:val="000000" w:themeColor="text1"/>
        </w:rPr>
        <w:t>14</w:t>
      </w:r>
      <w:r>
        <w:rPr>
          <w:color w:val="000000" w:themeColor="text1"/>
        </w:rPr>
        <w:t>, 5103. https://doi.org/10.3390/app14125103.</w:t>
      </w:r>
    </w:p>
    <w:p w14:paraId="7D246A0D" w14:textId="77777777" w:rsidR="007C1CDA" w:rsidRPr="001A0468" w:rsidRDefault="007C1CDA" w:rsidP="006D1F3D">
      <w:pPr>
        <w:pStyle w:val="MDPI81references"/>
        <w:numPr>
          <w:ilvl w:val="0"/>
          <w:numId w:val="0"/>
        </w:numPr>
        <w:ind w:left="425"/>
      </w:pPr>
      <w:r>
        <w:rPr>
          <w:color w:val="000000" w:themeColor="text1"/>
        </w:rPr>
        <w:t xml:space="preserve">Sangchocanonta, S.; Pooprasert, P.; Lerthirunvibul, N.; Patchimnan, K.; Phienphanich, P.; Munthuli, A.; Puangarom, S.; Itthipanichpong, R.; Ratanawongphaibul, K.; Chansangpetch, S.; et al. Optimizing Deep Learning Models for Glaucoma Screening with Vision Transformers for Resource Efficiency and the Pie Augmentation Method. </w:t>
      </w:r>
      <w:r>
        <w:rPr>
          <w:i/>
          <w:color w:val="000000" w:themeColor="text1"/>
        </w:rPr>
        <w:t>PLoS ONE</w:t>
      </w:r>
      <w:r>
        <w:rPr>
          <w:color w:val="000000" w:themeColor="text1"/>
        </w:rPr>
        <w:t xml:space="preserve"> </w:t>
      </w:r>
      <w:r>
        <w:rPr>
          <w:b/>
          <w:color w:val="000000" w:themeColor="text1"/>
        </w:rPr>
        <w:t>2025</w:t>
      </w:r>
      <w:r>
        <w:rPr>
          <w:color w:val="000000" w:themeColor="text1"/>
        </w:rPr>
        <w:t xml:space="preserve">, </w:t>
      </w:r>
      <w:r>
        <w:rPr>
          <w:i/>
          <w:color w:val="000000" w:themeColor="text1"/>
        </w:rPr>
        <w:t>20</w:t>
      </w:r>
      <w:r>
        <w:rPr>
          <w:color w:val="000000" w:themeColor="text1"/>
        </w:rPr>
        <w:t>, e0314111. https://doi.org/10.1371/journal.pone.0314111.</w:t>
      </w:r>
    </w:p>
    <w:p w14:paraId="7D246A0D" w14:textId="77777777" w:rsidR="007C1CDA" w:rsidRPr="001A0468" w:rsidRDefault="007C1CDA" w:rsidP="006D1F3D">
      <w:pPr>
        <w:pStyle w:val="MDPI81references"/>
        <w:numPr>
          <w:ilvl w:val="0"/>
          <w:numId w:val="0"/>
        </w:numPr>
        <w:ind w:left="425"/>
      </w:pPr>
      <w:r>
        <w:rPr>
          <w:color w:val="000000" w:themeColor="text1"/>
        </w:rPr>
        <w:t xml:space="preserve">Ashtari-Majlan, M.; Masip, D. Spatial-Aware Transformer-GRU Framework for Enhanced Glaucoma Diagnosis From 3D OCT Imaging. </w:t>
      </w:r>
      <w:r>
        <w:rPr>
          <w:i/>
          <w:color w:val="000000" w:themeColor="text1"/>
        </w:rPr>
        <w:t>IEEE J. Biomed. Health Inform.</w:t>
      </w:r>
      <w:r>
        <w:rPr>
          <w:color w:val="000000" w:themeColor="text1"/>
        </w:rPr>
        <w:t xml:space="preserve"> </w:t>
      </w:r>
      <w:r>
        <w:rPr>
          <w:b/>
          <w:color w:val="000000" w:themeColor="text1"/>
        </w:rPr>
        <w:t>2025</w:t>
      </w:r>
      <w:r>
        <w:rPr>
          <w:color w:val="000000" w:themeColor="text1"/>
        </w:rPr>
        <w:t xml:space="preserve">, </w:t>
      </w:r>
      <w:r>
        <w:rPr>
          <w:i/>
          <w:color w:val="000000" w:themeColor="text1"/>
        </w:rPr>
        <w:t>29</w:t>
      </w:r>
      <w:r>
        <w:rPr>
          <w:color w:val="000000" w:themeColor="text1"/>
        </w:rPr>
        <w:t>, 6167–6175. https://doi.org/10.1109/JBHI.2025.3550394.</w:t>
      </w:r>
    </w:p>
    <w:p w14:paraId="7D246A0D" w14:textId="77777777" w:rsidR="007C1CDA" w:rsidRPr="001A0468" w:rsidRDefault="007C1CDA" w:rsidP="006D1F3D">
      <w:pPr>
        <w:pStyle w:val="MDPI81references"/>
        <w:numPr>
          <w:ilvl w:val="0"/>
          <w:numId w:val="0"/>
        </w:numPr>
        <w:ind w:left="425"/>
      </w:pPr>
      <w:r>
        <w:rPr>
          <w:color w:val="000000" w:themeColor="text1"/>
        </w:rPr>
        <w:t xml:space="preserve">Yurdakul, M.; Uyar, K.; Taşdemir, Ş. MaxGlaViT: A Novel Lightweight Vision Transformer-Based Approach for Early Diagnosis of Glaucoma Stages From Fundus Images. </w:t>
      </w:r>
      <w:r>
        <w:rPr>
          <w:i/>
          <w:color w:val="000000" w:themeColor="text1"/>
        </w:rPr>
        <w:t>Int. J. Imaging Syst. Technol.</w:t>
      </w:r>
      <w:r>
        <w:rPr>
          <w:color w:val="000000" w:themeColor="text1"/>
        </w:rPr>
        <w:t xml:space="preserve"> </w:t>
      </w:r>
      <w:r>
        <w:rPr>
          <w:b/>
          <w:color w:val="000000" w:themeColor="text1"/>
        </w:rPr>
        <w:t>2025</w:t>
      </w:r>
      <w:r>
        <w:rPr>
          <w:color w:val="000000" w:themeColor="text1"/>
        </w:rPr>
        <w:t xml:space="preserve">, </w:t>
      </w:r>
      <w:r>
        <w:rPr>
          <w:i/>
          <w:color w:val="000000" w:themeColor="text1"/>
        </w:rPr>
        <w:t>35</w:t>
      </w:r>
      <w:r>
        <w:rPr>
          <w:color w:val="000000" w:themeColor="text1"/>
        </w:rPr>
        <w:t>, e70159. https://doi.org/10.1002/ima.70159.</w:t>
      </w:r>
    </w:p>
    <w:p w14:paraId="7D246A0D" w14:textId="77777777" w:rsidR="007C1CDA" w:rsidRPr="001A0468" w:rsidRDefault="007C1CDA" w:rsidP="006D1F3D">
      <w:pPr>
        <w:pStyle w:val="MDPI81references"/>
        <w:numPr>
          <w:ilvl w:val="0"/>
          <w:numId w:val="0"/>
        </w:numPr>
        <w:ind w:left="425"/>
      </w:pPr>
      <w:r>
        <w:rPr>
          <w:color w:val="000000" w:themeColor="text1"/>
        </w:rPr>
        <w:t xml:space="preserve">Das, D.; Nayak, D.R.; Pachori, R.B. Glaucoformer: Dual-Domain Global Transformer Network for Generalized Glaucoma Stage Classification. </w:t>
      </w:r>
      <w:r>
        <w:rPr>
          <w:i/>
          <w:color w:val="000000" w:themeColor="text1"/>
        </w:rPr>
        <w:t>IEEE J. Biomed. Health Inform.</w:t>
      </w:r>
      <w:r>
        <w:rPr>
          <w:color w:val="000000" w:themeColor="text1"/>
        </w:rPr>
        <w:t xml:space="preserve"> </w:t>
      </w:r>
      <w:r>
        <w:rPr>
          <w:b/>
          <w:color w:val="000000" w:themeColor="text1"/>
        </w:rPr>
        <w:t>2025</w:t>
      </w:r>
      <w:r>
        <w:rPr>
          <w:color w:val="000000" w:themeColor="text1"/>
        </w:rPr>
        <w:t xml:space="preserve">, </w:t>
      </w:r>
      <w:r>
        <w:rPr>
          <w:i/>
          <w:color w:val="000000" w:themeColor="text1"/>
        </w:rPr>
        <w:t>29</w:t>
      </w:r>
      <w:r>
        <w:rPr>
          <w:color w:val="000000" w:themeColor="text1"/>
        </w:rPr>
        <w:t>, 8450–8459. https://doi.org/10.1109/JBHI.2025.3574997.</w:t>
      </w:r>
    </w:p>
    <w:p w14:paraId="7D246A0D" w14:textId="77777777" w:rsidR="007C1CDA" w:rsidRPr="001A0468" w:rsidRDefault="007C1CDA" w:rsidP="006D1F3D">
      <w:pPr>
        <w:pStyle w:val="MDPI81references"/>
        <w:numPr>
          <w:ilvl w:val="0"/>
          <w:numId w:val="0"/>
        </w:numPr>
        <w:ind w:left="425"/>
      </w:pPr>
      <w:r>
        <w:rPr>
          <w:color w:val="000000" w:themeColor="text1"/>
        </w:rPr>
        <w:t xml:space="preserve">Naidana, K.S.; Manne, M.H.; Yalavarthi, H. A Deep Retinal Vision Network for Glaucoma Classification. </w:t>
      </w:r>
      <w:r>
        <w:rPr>
          <w:i/>
          <w:color w:val="000000" w:themeColor="text1"/>
        </w:rPr>
        <w:t>Discov. Appl. Sci.</w:t>
      </w:r>
      <w:r>
        <w:rPr>
          <w:color w:val="000000" w:themeColor="text1"/>
        </w:rPr>
        <w:t xml:space="preserve"> </w:t>
      </w:r>
      <w:r>
        <w:rPr>
          <w:b/>
          <w:color w:val="000000" w:themeColor="text1"/>
        </w:rPr>
        <w:t>2025</w:t>
      </w:r>
      <w:r>
        <w:rPr>
          <w:color w:val="000000" w:themeColor="text1"/>
        </w:rPr>
        <w:t xml:space="preserve">, </w:t>
      </w:r>
      <w:r>
        <w:rPr>
          <w:i/>
          <w:color w:val="000000" w:themeColor="text1"/>
        </w:rPr>
        <w:t>7</w:t>
      </w:r>
      <w:r>
        <w:rPr>
          <w:color w:val="000000" w:themeColor="text1"/>
        </w:rPr>
        <w:t>, 175. https://doi.org/10.1007/s42452-025-06567-4.</w:t>
      </w:r>
    </w:p>
    <w:p w14:paraId="7D246A0D" w14:textId="77777777" w:rsidR="007C1CDA" w:rsidRPr="001A0468" w:rsidRDefault="007C1CDA" w:rsidP="006D1F3D">
      <w:pPr>
        <w:pStyle w:val="MDPI81references"/>
        <w:numPr>
          <w:ilvl w:val="0"/>
          <w:numId w:val="0"/>
        </w:numPr>
        <w:ind w:left="425"/>
      </w:pPr>
      <w:r>
        <w:rPr>
          <w:color w:val="000000" w:themeColor="text1"/>
        </w:rPr>
        <w:t xml:space="preserve">Guntreddi, V.; Sivakumar, V. Deep Learning Based Glaucoma Detection Using Majority Voting Ensemble of ResNet50, VGG16, and Swin Transformer. </w:t>
      </w:r>
      <w:r>
        <w:rPr>
          <w:i/>
          <w:color w:val="000000" w:themeColor="text1"/>
        </w:rPr>
        <w:t>Results Eng.</w:t>
      </w:r>
      <w:r>
        <w:rPr>
          <w:color w:val="000000" w:themeColor="text1"/>
        </w:rPr>
        <w:t xml:space="preserve"> </w:t>
      </w:r>
      <w:r>
        <w:rPr>
          <w:b/>
          <w:color w:val="000000" w:themeColor="text1"/>
        </w:rPr>
        <w:t>2025</w:t>
      </w:r>
      <w:r>
        <w:rPr>
          <w:color w:val="000000" w:themeColor="text1"/>
        </w:rPr>
        <w:t xml:space="preserve">, </w:t>
      </w:r>
      <w:r>
        <w:rPr>
          <w:i/>
          <w:color w:val="000000" w:themeColor="text1"/>
        </w:rPr>
        <w:t>28</w:t>
      </w:r>
      <w:r>
        <w:rPr>
          <w:color w:val="000000" w:themeColor="text1"/>
        </w:rPr>
        <w:t>, 107229. https://doi.org/10.1016/j.rineng.2025.107229.</w:t>
      </w:r>
    </w:p>
    <w:p w14:paraId="7D246A0D" w14:textId="77777777" w:rsidR="007C1CDA" w:rsidRPr="001A0468" w:rsidRDefault="007C1CDA" w:rsidP="006D1F3D">
      <w:pPr>
        <w:pStyle w:val="MDPI81references"/>
        <w:numPr>
          <w:ilvl w:val="0"/>
          <w:numId w:val="0"/>
        </w:numPr>
        <w:ind w:left="425"/>
      </w:pPr>
      <w:r>
        <w:rPr>
          <w:color w:val="000000" w:themeColor="text1"/>
        </w:rPr>
        <w:t xml:space="preserve">Jisy, N.K.; Radhika, S.; Senthil, S.; Srinivas, M.B. A Comparative Study of Performance of Various Deep Learning Models and Their Explainability in Detection of Glaucoma. </w:t>
      </w:r>
      <w:r>
        <w:rPr>
          <w:i/>
          <w:color w:val="000000" w:themeColor="text1"/>
        </w:rPr>
        <w:t>IEEE Access</w:t>
      </w:r>
      <w:r>
        <w:rPr>
          <w:color w:val="000000" w:themeColor="text1"/>
        </w:rPr>
        <w:t xml:space="preserve"> </w:t>
      </w:r>
      <w:r>
        <w:rPr>
          <w:b/>
          <w:color w:val="000000" w:themeColor="text1"/>
        </w:rPr>
        <w:t>2025</w:t>
      </w:r>
      <w:r>
        <w:rPr>
          <w:color w:val="000000" w:themeColor="text1"/>
        </w:rPr>
        <w:t xml:space="preserve">, </w:t>
      </w:r>
      <w:r>
        <w:rPr>
          <w:i/>
          <w:color w:val="000000" w:themeColor="text1"/>
        </w:rPr>
        <w:t>13</w:t>
      </w:r>
      <w:r>
        <w:rPr>
          <w:color w:val="000000" w:themeColor="text1"/>
        </w:rPr>
        <w:t>, 192891–192905. https://doi.org/10.1109/ACCESS.2025.3629624.</w:t>
      </w:r>
    </w:p>
    <w:p w14:paraId="7D246A0D" w14:textId="77777777" w:rsidR="007C1CDA" w:rsidRPr="001A0468" w:rsidRDefault="007C1CDA" w:rsidP="006D1F3D">
      <w:pPr>
        <w:pStyle w:val="MDPI81references"/>
        <w:numPr>
          <w:ilvl w:val="0"/>
          <w:numId w:val="0"/>
        </w:numPr>
        <w:ind w:left="425"/>
      </w:pPr>
      <w:r>
        <w:rPr>
          <w:color w:val="000000" w:themeColor="text1"/>
        </w:rPr>
        <w:t xml:space="preserve">Krishnamoorthy, V.; Sivanantham, S.; Akshaya, V.; Nivedha, S.; Depuru, S.; Manikandan, M. A Novel Deep Learning Framework for Enhanced Glaucoma Detection Using Attention-Gated U-Net, Deep Wavelet Scattering, and Vision Transformers. </w:t>
      </w:r>
      <w:r>
        <w:rPr>
          <w:i/>
          <w:color w:val="000000" w:themeColor="text1"/>
        </w:rPr>
        <w:t>J. Electron. Electromed. Eng. Med. Inform.</w:t>
      </w:r>
      <w:r>
        <w:rPr>
          <w:color w:val="000000" w:themeColor="text1"/>
        </w:rPr>
        <w:t xml:space="preserve"> </w:t>
      </w:r>
      <w:r>
        <w:rPr>
          <w:b/>
          <w:color w:val="000000" w:themeColor="text1"/>
        </w:rPr>
        <w:t>2025</w:t>
      </w:r>
      <w:r>
        <w:rPr>
          <w:color w:val="000000" w:themeColor="text1"/>
        </w:rPr>
        <w:t xml:space="preserve">, </w:t>
      </w:r>
      <w:r>
        <w:rPr>
          <w:i/>
          <w:color w:val="000000" w:themeColor="text1"/>
        </w:rPr>
        <w:t>7</w:t>
      </w:r>
      <w:r>
        <w:rPr>
          <w:color w:val="000000" w:themeColor="text1"/>
        </w:rPr>
        <w:t>, 520–532. https://doi.org/10.35882/jeeemi.v7i2.706.</w:t>
      </w:r>
    </w:p>
    <w:p w14:paraId="7D246A0D" w14:textId="77777777" w:rsidR="007C1CDA" w:rsidRPr="001A0468" w:rsidRDefault="007C1CDA" w:rsidP="006D1F3D">
      <w:pPr>
        <w:pStyle w:val="MDPI81references"/>
        <w:numPr>
          <w:ilvl w:val="0"/>
          <w:numId w:val="0"/>
        </w:numPr>
        <w:ind w:left="425"/>
      </w:pPr>
      <w:r>
        <w:rPr>
          <w:color w:val="000000" w:themeColor="text1"/>
        </w:rPr>
        <w:t xml:space="preserve">Sivakumar, R.; Penkova, A. Enhancing Glaucoma Detection through Multi-Modal Integration of Retinal Images and Clinical Biomarkers. </w:t>
      </w:r>
      <w:r>
        <w:rPr>
          <w:i/>
          <w:color w:val="000000" w:themeColor="text1"/>
        </w:rPr>
        <w:t>Eng. Appl. Artif. Intell.</w:t>
      </w:r>
      <w:r>
        <w:rPr>
          <w:color w:val="000000" w:themeColor="text1"/>
        </w:rPr>
        <w:t xml:space="preserve"> </w:t>
      </w:r>
      <w:r>
        <w:rPr>
          <w:b/>
          <w:color w:val="000000" w:themeColor="text1"/>
        </w:rPr>
        <w:t>2025</w:t>
      </w:r>
      <w:r>
        <w:rPr>
          <w:color w:val="000000" w:themeColor="text1"/>
        </w:rPr>
        <w:t xml:space="preserve">, </w:t>
      </w:r>
      <w:r>
        <w:rPr>
          <w:i/>
          <w:color w:val="000000" w:themeColor="text1"/>
        </w:rPr>
        <w:t>143</w:t>
      </w:r>
      <w:r>
        <w:rPr>
          <w:color w:val="000000" w:themeColor="text1"/>
        </w:rPr>
        <w:t>, 110010. https://doi.org/10.1016/j.engappai.2025.110010.</w:t>
      </w:r>
    </w:p>
    <w:p w14:paraId="7D246A0D" w14:textId="77777777" w:rsidR="007C1CDA" w:rsidRPr="001A0468" w:rsidRDefault="007C1CDA" w:rsidP="006D1F3D">
      <w:pPr>
        <w:pStyle w:val="MDPI81references"/>
        <w:numPr>
          <w:ilvl w:val="0"/>
          <w:numId w:val="0"/>
        </w:numPr>
        <w:ind w:left="425"/>
      </w:pPr>
      <w:r>
        <w:rPr>
          <w:color w:val="000000" w:themeColor="text1"/>
        </w:rPr>
        <w:t xml:space="preserve">Alasmari, H.; Amoudi, G.; Alghamdi, H. Explainable Transformer-Based Framework for Glaucoma Detection from Fundus Images Using Multi-Backbone Segmentation and vCDR-Based Classification. </w:t>
      </w:r>
      <w:r>
        <w:rPr>
          <w:i/>
          <w:color w:val="000000" w:themeColor="text1"/>
        </w:rPr>
        <w:t>Diagnostics</w:t>
      </w:r>
      <w:r>
        <w:rPr>
          <w:color w:val="000000" w:themeColor="text1"/>
        </w:rPr>
        <w:t xml:space="preserve"> </w:t>
      </w:r>
      <w:r>
        <w:rPr>
          <w:b/>
          <w:color w:val="000000" w:themeColor="text1"/>
        </w:rPr>
        <w:t>2025</w:t>
      </w:r>
      <w:r>
        <w:rPr>
          <w:color w:val="000000" w:themeColor="text1"/>
        </w:rPr>
        <w:t xml:space="preserve">, </w:t>
      </w:r>
      <w:r>
        <w:rPr>
          <w:i/>
          <w:color w:val="000000" w:themeColor="text1"/>
        </w:rPr>
        <w:t>15</w:t>
      </w:r>
      <w:r>
        <w:rPr>
          <w:color w:val="000000" w:themeColor="text1"/>
        </w:rPr>
        <w:t>, 2301. https://doi.org/10.3390/diagnostics15182301.</w:t>
      </w:r>
    </w:p>
    <w:p w14:paraId="7D246A0D" w14:textId="77777777" w:rsidR="007C1CDA" w:rsidRPr="001A0468" w:rsidRDefault="007C1CDA" w:rsidP="006D1F3D">
      <w:pPr>
        <w:pStyle w:val="MDPI81references"/>
        <w:numPr>
          <w:ilvl w:val="0"/>
          <w:numId w:val="0"/>
        </w:numPr>
        <w:ind w:left="425"/>
      </w:pPr>
      <w:r>
        <w:rPr>
          <w:color w:val="000000" w:themeColor="text1"/>
        </w:rPr>
        <w:t xml:space="preserve">Liao, C.; Todo, Y.; Zhang, J.; Tang, Z. GlaucoDiff: A Framework for Generating Balanced Glaucoma Fundus Images and Improving Diagnostic Performance. </w:t>
      </w:r>
      <w:r>
        <w:rPr>
          <w:i/>
          <w:color w:val="000000" w:themeColor="text1"/>
        </w:rPr>
        <w:t>Int. J. Imaging Syst. Technol.</w:t>
      </w:r>
      <w:r>
        <w:rPr>
          <w:color w:val="000000" w:themeColor="text1"/>
        </w:rPr>
        <w:t xml:space="preserve"> </w:t>
      </w:r>
      <w:r>
        <w:rPr>
          <w:b/>
          <w:color w:val="000000" w:themeColor="text1"/>
        </w:rPr>
        <w:t>2025</w:t>
      </w:r>
      <w:r>
        <w:rPr>
          <w:color w:val="000000" w:themeColor="text1"/>
        </w:rPr>
        <w:t xml:space="preserve">, </w:t>
      </w:r>
      <w:r>
        <w:rPr>
          <w:i/>
          <w:color w:val="000000" w:themeColor="text1"/>
        </w:rPr>
        <w:t>35</w:t>
      </w:r>
      <w:r>
        <w:rPr>
          <w:color w:val="000000" w:themeColor="text1"/>
        </w:rPr>
        <w:t>, e70185. https://doi.org/10.1002/ima.70185.</w:t>
      </w:r>
    </w:p>
    <w:p w14:paraId="7D246A0D" w14:textId="77777777" w:rsidR="007C1CDA" w:rsidRPr="001A0468" w:rsidRDefault="007C1CDA" w:rsidP="006D1F3D">
      <w:pPr>
        <w:pStyle w:val="MDPI81references"/>
        <w:numPr>
          <w:ilvl w:val="0"/>
          <w:numId w:val="0"/>
        </w:numPr>
        <w:ind w:left="425"/>
      </w:pPr>
      <w:r>
        <w:rPr>
          <w:color w:val="000000" w:themeColor="text1"/>
        </w:rPr>
        <w:t xml:space="preserve">Lv, X.; Yang, Y.; Wan, C.; Zhao, J.; Chi, W.; Yang, W. Automated Cup-to-Disc Ratio Quantification via Color Fundus Photography for Chronic Glaucoma Screening. </w:t>
      </w:r>
      <w:r>
        <w:rPr>
          <w:i/>
          <w:color w:val="000000" w:themeColor="text1"/>
        </w:rPr>
        <w:t>BMC Med. Imaging</w:t>
      </w:r>
      <w:r>
        <w:rPr>
          <w:color w:val="000000" w:themeColor="text1"/>
        </w:rPr>
        <w:t xml:space="preserve"> </w:t>
      </w:r>
      <w:r>
        <w:rPr>
          <w:b/>
          <w:color w:val="000000" w:themeColor="text1"/>
        </w:rPr>
        <w:t>2025</w:t>
      </w:r>
      <w:r>
        <w:rPr>
          <w:color w:val="000000" w:themeColor="text1"/>
        </w:rPr>
        <w:t xml:space="preserve">, </w:t>
      </w:r>
      <w:r>
        <w:rPr>
          <w:i/>
          <w:color w:val="000000" w:themeColor="text1"/>
        </w:rPr>
        <w:t>25</w:t>
      </w:r>
      <w:r>
        <w:rPr>
          <w:color w:val="000000" w:themeColor="text1"/>
        </w:rPr>
        <w:t>, 429. https://doi.org/10.1186/s12880-025-01981-x.</w:t>
      </w:r>
    </w:p>
    <w:p w14:paraId="7D246A0D" w14:textId="77777777" w:rsidR="007C1CDA" w:rsidRPr="001A0468" w:rsidRDefault="007C1CDA" w:rsidP="006D1F3D">
      <w:pPr>
        <w:pStyle w:val="MDPI81references"/>
        <w:numPr>
          <w:ilvl w:val="0"/>
          <w:numId w:val="0"/>
        </w:numPr>
        <w:ind w:left="425"/>
      </w:pPr>
      <w:r>
        <w:rPr>
          <w:color w:val="000000" w:themeColor="text1"/>
        </w:rPr>
        <w:t xml:space="preserve">Prakash, J.; Vinoth Kumar, B. DB-SegNet: Optimized Framework for Glaucoma Detection and Optic Structure Segmentation from Retinal Fundus Images. </w:t>
      </w:r>
      <w:r>
        <w:rPr>
          <w:i/>
          <w:color w:val="000000" w:themeColor="text1"/>
        </w:rPr>
        <w:t>Sci. Rep.</w:t>
      </w:r>
      <w:r>
        <w:rPr>
          <w:color w:val="000000" w:themeColor="text1"/>
        </w:rPr>
        <w:t xml:space="preserve"> </w:t>
      </w:r>
      <w:r>
        <w:rPr>
          <w:b/>
          <w:color w:val="000000" w:themeColor="text1"/>
        </w:rPr>
        <w:t>2025</w:t>
      </w:r>
      <w:r>
        <w:rPr>
          <w:color w:val="000000" w:themeColor="text1"/>
        </w:rPr>
        <w:t xml:space="preserve">, </w:t>
      </w:r>
      <w:r>
        <w:rPr>
          <w:i/>
          <w:color w:val="000000" w:themeColor="text1"/>
        </w:rPr>
        <w:t>15</w:t>
      </w:r>
      <w:r>
        <w:rPr>
          <w:color w:val="000000" w:themeColor="text1"/>
        </w:rPr>
        <w:t>, 39843. https://doi.org/10.1038/s41598-025-23425-w.</w:t>
      </w:r>
    </w:p>
    <w:p w14:paraId="7D246A0D" w14:textId="77777777" w:rsidR="007C1CDA" w:rsidRPr="001A0468" w:rsidRDefault="007C1CDA" w:rsidP="006D1F3D">
      <w:pPr>
        <w:pStyle w:val="MDPI81references"/>
        <w:numPr>
          <w:ilvl w:val="0"/>
          <w:numId w:val="0"/>
        </w:numPr>
        <w:ind w:left="425"/>
      </w:pPr>
      <w:r>
        <w:rPr>
          <w:color w:val="000000" w:themeColor="text1"/>
        </w:rPr>
        <w:t xml:space="preserve">AlMohimeed, A. Multi-Stage Framework Using Transformer Models, Feature Fusion and Ensemble Learning for Enhancing Eye Disease Classification. </w:t>
      </w:r>
      <w:r>
        <w:rPr>
          <w:i/>
          <w:color w:val="000000" w:themeColor="text1"/>
        </w:rPr>
        <w:t>Sci. Rep.</w:t>
      </w:r>
      <w:r>
        <w:rPr>
          <w:color w:val="000000" w:themeColor="text1"/>
        </w:rPr>
        <w:t xml:space="preserve"> </w:t>
      </w:r>
      <w:r>
        <w:rPr>
          <w:b/>
          <w:color w:val="000000" w:themeColor="text1"/>
        </w:rPr>
        <w:t>2025</w:t>
      </w:r>
      <w:r>
        <w:rPr>
          <w:color w:val="000000" w:themeColor="text1"/>
        </w:rPr>
        <w:t xml:space="preserve">, </w:t>
      </w:r>
      <w:r>
        <w:rPr>
          <w:i/>
          <w:color w:val="000000" w:themeColor="text1"/>
        </w:rPr>
        <w:t>15</w:t>
      </w:r>
      <w:r>
        <w:rPr>
          <w:color w:val="000000" w:themeColor="text1"/>
        </w:rPr>
        <w:t>, 30469. https://doi.org/10.1038/s41598-025-16415-5.</w:t>
      </w:r>
    </w:p>
    <w:p w14:paraId="7D246A0D" w14:textId="77777777" w:rsidR="007C1CDA" w:rsidRPr="001A0468" w:rsidRDefault="007C1CDA" w:rsidP="006D1F3D">
      <w:pPr>
        <w:pStyle w:val="MDPI81references"/>
        <w:numPr>
          <w:ilvl w:val="0"/>
          <w:numId w:val="0"/>
        </w:numPr>
        <w:ind w:left="425"/>
      </w:pPr>
      <w:r>
        <w:rPr>
          <w:color w:val="000000" w:themeColor="text1"/>
        </w:rPr>
        <w:t xml:space="preserve">Lin, A. Efficient Fusion Transformer Model for Accurate Classification of Eye Diseases. </w:t>
      </w:r>
      <w:r>
        <w:rPr>
          <w:i/>
          <w:color w:val="000000" w:themeColor="text1"/>
        </w:rPr>
        <w:t>Sci. Rep.</w:t>
      </w:r>
      <w:r>
        <w:rPr>
          <w:color w:val="000000" w:themeColor="text1"/>
        </w:rPr>
        <w:t xml:space="preserve"> </w:t>
      </w:r>
      <w:r>
        <w:rPr>
          <w:b/>
          <w:color w:val="000000" w:themeColor="text1"/>
        </w:rPr>
        <w:t>2025</w:t>
      </w:r>
      <w:r>
        <w:rPr>
          <w:color w:val="000000" w:themeColor="text1"/>
        </w:rPr>
        <w:t xml:space="preserve">, </w:t>
      </w:r>
      <w:r>
        <w:rPr>
          <w:i/>
          <w:color w:val="000000" w:themeColor="text1"/>
        </w:rPr>
        <w:t>15</w:t>
      </w:r>
      <w:r>
        <w:rPr>
          <w:color w:val="000000" w:themeColor="text1"/>
        </w:rPr>
        <w:t>, 36223. https://doi.org/10.1038/s41598-025-20226-z.</w:t>
      </w:r>
    </w:p>
    <w:p w14:paraId="7D246A0D" w14:textId="77777777" w:rsidR="007C1CDA" w:rsidRPr="001A0468" w:rsidRDefault="007C1CDA" w:rsidP="006D1F3D">
      <w:pPr>
        <w:pStyle w:val="MDPI81references"/>
        <w:numPr>
          <w:ilvl w:val="0"/>
          <w:numId w:val="0"/>
        </w:numPr>
        <w:ind w:left="425"/>
      </w:pPr>
      <w:r>
        <w:rPr>
          <w:color w:val="000000" w:themeColor="text1"/>
        </w:rPr>
        <w:t xml:space="preserve">Gandhi, V.C.; Gandhi, P.P.; Ogundiran, J.O.; Tshibola, M.S.S.; Kapuya Bulaba Nyembwe, J.-P. Computational Modeling and Optimization of Deep Learning for Multi-Modal Glaucoma Diagnosis. </w:t>
      </w:r>
      <w:r>
        <w:rPr>
          <w:i/>
          <w:color w:val="000000" w:themeColor="text1"/>
        </w:rPr>
        <w:t>AppliedMath</w:t>
      </w:r>
      <w:r>
        <w:rPr>
          <w:color w:val="000000" w:themeColor="text1"/>
        </w:rPr>
        <w:t xml:space="preserve"> </w:t>
      </w:r>
      <w:r>
        <w:rPr>
          <w:b/>
          <w:color w:val="000000" w:themeColor="text1"/>
        </w:rPr>
        <w:t>2025</w:t>
      </w:r>
      <w:r>
        <w:rPr>
          <w:color w:val="000000" w:themeColor="text1"/>
        </w:rPr>
        <w:t xml:space="preserve">, </w:t>
      </w:r>
      <w:r>
        <w:rPr>
          <w:i/>
          <w:color w:val="000000" w:themeColor="text1"/>
        </w:rPr>
        <w:t>5</w:t>
      </w:r>
      <w:r>
        <w:rPr>
          <w:color w:val="000000" w:themeColor="text1"/>
        </w:rPr>
        <w:t>, 82. https://doi.org/10.3390/appliedmath5030082.</w:t>
      </w:r>
    </w:p>
    <w:p w14:paraId="7D246A0D" w14:textId="77777777" w:rsidR="007C1CDA" w:rsidRPr="001A0468" w:rsidRDefault="007C1CDA" w:rsidP="006D1F3D">
      <w:pPr>
        <w:pStyle w:val="MDPI81references"/>
        <w:numPr>
          <w:ilvl w:val="0"/>
          <w:numId w:val="0"/>
        </w:numPr>
        <w:ind w:left="425"/>
      </w:pPr>
      <w:r>
        <w:rPr>
          <w:color w:val="000000" w:themeColor="text1"/>
        </w:rPr>
        <w:lastRenderedPageBreak/>
        <w:t xml:space="preserve">Rieck, C.; Mai, C.; Eisentraut, L.; Buettner, R. A Novel Transformer-CNN Hybrid Deep Learning Architecture for Robust Broad-Coverage Diagnosis of Eye Diseases on Color Fundus Images. </w:t>
      </w:r>
      <w:r>
        <w:rPr>
          <w:i/>
          <w:color w:val="000000" w:themeColor="text1"/>
        </w:rPr>
        <w:t>IEEE Access</w:t>
      </w:r>
      <w:r>
        <w:rPr>
          <w:color w:val="000000" w:themeColor="text1"/>
        </w:rPr>
        <w:t xml:space="preserve"> </w:t>
      </w:r>
      <w:r>
        <w:rPr>
          <w:b/>
          <w:color w:val="000000" w:themeColor="text1"/>
        </w:rPr>
        <w:t>2025</w:t>
      </w:r>
      <w:r>
        <w:rPr>
          <w:color w:val="000000" w:themeColor="text1"/>
        </w:rPr>
        <w:t xml:space="preserve">, </w:t>
      </w:r>
      <w:r>
        <w:rPr>
          <w:i/>
          <w:color w:val="000000" w:themeColor="text1"/>
        </w:rPr>
        <w:t>13</w:t>
      </w:r>
      <w:r>
        <w:rPr>
          <w:color w:val="000000" w:themeColor="text1"/>
        </w:rPr>
        <w:t>, 156285–156300. https://doi.org/10.1109/ACCESS.2025.3606334.</w:t>
      </w:r>
    </w:p>
    <w:p w14:paraId="7D246A0D" w14:textId="77777777" w:rsidR="007C1CDA" w:rsidRPr="001A0468" w:rsidRDefault="007C1CDA" w:rsidP="006D1F3D">
      <w:pPr>
        <w:pStyle w:val="MDPI81references"/>
        <w:numPr>
          <w:ilvl w:val="0"/>
          <w:numId w:val="0"/>
        </w:numPr>
        <w:ind w:left="425"/>
      </w:pPr>
      <w:r>
        <w:rPr>
          <w:color w:val="000000" w:themeColor="text1"/>
        </w:rPr>
        <w:t xml:space="preserve">Hou, Q.; Zhou, Y.; Goh, J.H.L.; Zou, K.; Yew, S.M.E.; Srinivasan, S.; Wang, M.; Lo, T.W.S.; Lei, X.; Wagner, S.K.; et al. Can a Natural Image-Based Foundation Model Outperform a Retina-Specific Model in Detecting Ocular and Systemic Diseases? </w:t>
      </w:r>
      <w:r>
        <w:rPr>
          <w:i/>
          <w:color w:val="000000" w:themeColor="text1"/>
        </w:rPr>
        <w:t>Ophthalmol. Sci.</w:t>
      </w:r>
      <w:r>
        <w:rPr>
          <w:color w:val="000000" w:themeColor="text1"/>
        </w:rPr>
        <w:t xml:space="preserve"> </w:t>
      </w:r>
      <w:r>
        <w:rPr>
          <w:b/>
          <w:color w:val="000000" w:themeColor="text1"/>
        </w:rPr>
        <w:t>2026</w:t>
      </w:r>
      <w:r>
        <w:rPr>
          <w:color w:val="000000" w:themeColor="text1"/>
        </w:rPr>
        <w:t xml:space="preserve">, </w:t>
      </w:r>
      <w:r>
        <w:rPr>
          <w:i/>
          <w:color w:val="000000" w:themeColor="text1"/>
        </w:rPr>
        <w:t>6</w:t>
      </w:r>
      <w:r>
        <w:rPr>
          <w:color w:val="000000" w:themeColor="text1"/>
        </w:rPr>
        <w:t>, 100923. https://doi.org/10.1016/j.xops.2025.100923.</w:t>
      </w:r>
    </w:p>
    <w:p w14:paraId="7D246A0D" w14:textId="77777777" w:rsidR="007C1CDA" w:rsidRPr="001A0468" w:rsidRDefault="007C1CDA" w:rsidP="006D1F3D">
      <w:pPr>
        <w:pStyle w:val="MDPI81references"/>
        <w:numPr>
          <w:ilvl w:val="0"/>
          <w:numId w:val="0"/>
        </w:numPr>
        <w:ind w:left="425"/>
      </w:pPr>
      <w:r>
        <w:rPr>
          <w:color w:val="000000" w:themeColor="text1"/>
        </w:rPr>
        <w:t xml:space="preserve">Abramovich, O.; Pizem, H.; Fhima, J.; Berkowitz, E.; Gofrit, B.; Meisel, M.; Baskin, M.; Van Eijgen, J.; Stalmans, I.; Blumenthal, E.Z.; et al. GONet: A Generalizable Deep Learning Model for Glaucoma Detection. </w:t>
      </w:r>
      <w:r>
        <w:rPr>
          <w:i/>
          <w:color w:val="000000" w:themeColor="text1"/>
        </w:rPr>
        <w:t>IEEE Trans. Biomed. Eng.</w:t>
      </w:r>
      <w:r>
        <w:rPr>
          <w:color w:val="000000" w:themeColor="text1"/>
        </w:rPr>
        <w:t xml:space="preserve"> </w:t>
      </w:r>
      <w:r>
        <w:rPr>
          <w:b/>
          <w:color w:val="000000" w:themeColor="text1"/>
        </w:rPr>
        <w:t>2026</w:t>
      </w:r>
      <w:r>
        <w:rPr>
          <w:color w:val="000000" w:themeColor="text1"/>
        </w:rPr>
        <w:t xml:space="preserve">, </w:t>
      </w:r>
      <w:r>
        <w:rPr>
          <w:i/>
          <w:color w:val="000000" w:themeColor="text1"/>
        </w:rPr>
        <w:t>73</w:t>
      </w:r>
      <w:r>
        <w:rPr>
          <w:color w:val="000000" w:themeColor="text1"/>
        </w:rPr>
        <w:t>, 32–39. https://doi.org/10.1109/TBME.2025.3576688.</w:t>
      </w:r>
    </w:p>
    <w:p w14:paraId="7D246A0D" w14:textId="77777777" w:rsidR="007C1CDA" w:rsidRPr="001A0468" w:rsidRDefault="007C1CDA" w:rsidP="006D1F3D">
      <w:pPr>
        <w:pStyle w:val="MDPI81references"/>
        <w:numPr>
          <w:ilvl w:val="0"/>
          <w:numId w:val="0"/>
        </w:numPr>
        <w:ind w:left="425"/>
      </w:pPr>
      <w:r>
        <w:rPr>
          <w:color w:val="000000" w:themeColor="text1"/>
        </w:rPr>
        <w:t xml:space="preserve">Geetha, T.; Hema, C. Deep Learning-Based Joint Analysis of Diabetic Retinopathy and Glaucoma in Retinal Fundus Images. </w:t>
      </w:r>
      <w:r>
        <w:rPr>
          <w:i/>
          <w:color w:val="000000" w:themeColor="text1"/>
        </w:rPr>
        <w:t>Sci. Rep.</w:t>
      </w:r>
      <w:r>
        <w:rPr>
          <w:color w:val="000000" w:themeColor="text1"/>
        </w:rPr>
        <w:t xml:space="preserve"> </w:t>
      </w:r>
      <w:r>
        <w:rPr>
          <w:b/>
          <w:color w:val="000000" w:themeColor="text1"/>
        </w:rPr>
        <w:t>2026</w:t>
      </w:r>
      <w:r>
        <w:rPr>
          <w:color w:val="000000" w:themeColor="text1"/>
        </w:rPr>
        <w:t xml:space="preserve">, </w:t>
      </w:r>
      <w:r>
        <w:rPr>
          <w:i/>
          <w:color w:val="000000" w:themeColor="text1"/>
        </w:rPr>
        <w:t>16</w:t>
      </w:r>
      <w:r>
        <w:rPr>
          <w:color w:val="000000" w:themeColor="text1"/>
        </w:rPr>
        <w:t>, 3133. https://doi.org/10.1038/s41598-025-32991-y.</w:t>
      </w:r>
    </w:p>
    <w:p w14:paraId="7D246A0D" w14:textId="77777777" w:rsidR="007C1CDA" w:rsidRPr="001A0468" w:rsidRDefault="007C1CDA" w:rsidP="006D1F3D">
      <w:pPr>
        <w:pStyle w:val="MDPI81references"/>
        <w:numPr>
          <w:ilvl w:val="0"/>
          <w:numId w:val="0"/>
        </w:numPr>
        <w:ind w:left="425"/>
      </w:pPr>
      <w:r>
        <w:rPr>
          <w:color w:val="000000" w:themeColor="text1"/>
        </w:rPr>
        <w:t xml:space="preserve">Bolo, K.; Nguyen, T.H.; Iyengar, S.; Li, Z.; Nguyen, V.; Wong, B.J.; Do, J.L.; Ambite, J.-L.; Kesselman, C.; Daskivich, L.P.; et al. Comparison of RETFound and a Supervised Convolutional Neural Network for Detection of Referable Glaucoma from Fundus Photographs. </w:t>
      </w:r>
      <w:r>
        <w:rPr>
          <w:i/>
          <w:color w:val="000000" w:themeColor="text1"/>
        </w:rPr>
        <w:t>Ophthalmol. Sci.</w:t>
      </w:r>
      <w:r>
        <w:rPr>
          <w:color w:val="000000" w:themeColor="text1"/>
        </w:rPr>
        <w:t xml:space="preserve"> </w:t>
      </w:r>
      <w:r>
        <w:rPr>
          <w:b/>
          <w:color w:val="000000" w:themeColor="text1"/>
        </w:rPr>
        <w:t>2026</w:t>
      </w:r>
      <w:r>
        <w:rPr>
          <w:color w:val="000000" w:themeColor="text1"/>
        </w:rPr>
        <w:t xml:space="preserve">, </w:t>
      </w:r>
      <w:r>
        <w:rPr>
          <w:i/>
          <w:color w:val="000000" w:themeColor="text1"/>
        </w:rPr>
        <w:t>6</w:t>
      </w:r>
      <w:r>
        <w:rPr>
          <w:color w:val="000000" w:themeColor="text1"/>
        </w:rPr>
        <w:t>, 101008. https://doi.org/10.1016/j.xops.2025.101008.</w:t>
      </w:r>
    </w:p>
    <w:p w14:paraId="7D246A0D" w14:textId="77777777" w:rsidR="007C1CDA" w:rsidRPr="001A0468" w:rsidRDefault="007C1CDA" w:rsidP="006D1F3D">
      <w:pPr>
        <w:pStyle w:val="MDPI81references"/>
        <w:numPr>
          <w:ilvl w:val="0"/>
          <w:numId w:val="0"/>
        </w:numPr>
        <w:ind w:left="425"/>
      </w:pPr>
      <w:r>
        <w:rPr>
          <w:color w:val="000000" w:themeColor="text1"/>
        </w:rPr>
        <w:t xml:space="preserve">Chuter, B.; Joshi, V.; Hallaj, S.; Walker, E.; Bowd, C.; Belghith, A.; Goldbaum, M.H.; Grzybowski, A.; Fazio, M.A.; Girkin, C.A.; et al. A Novel Multimodal Implementation of a Foundation Artificial Intelligence Model Using Optic Nerve Head Fundus Photographs and OCT Imaging for Glaucoma Detection. </w:t>
      </w:r>
      <w:r>
        <w:rPr>
          <w:i/>
          <w:color w:val="000000" w:themeColor="text1"/>
        </w:rPr>
        <w:t>Ophthalmol. Sci.</w:t>
      </w:r>
      <w:r>
        <w:rPr>
          <w:color w:val="000000" w:themeColor="text1"/>
        </w:rPr>
        <w:t xml:space="preserve"> </w:t>
      </w:r>
      <w:r>
        <w:rPr>
          <w:b/>
          <w:color w:val="000000" w:themeColor="text1"/>
        </w:rPr>
        <w:t>2026</w:t>
      </w:r>
      <w:r>
        <w:rPr>
          <w:color w:val="000000" w:themeColor="text1"/>
        </w:rPr>
        <w:t xml:space="preserve">, </w:t>
      </w:r>
      <w:r>
        <w:rPr>
          <w:i/>
          <w:color w:val="000000" w:themeColor="text1"/>
        </w:rPr>
        <w:t>6</w:t>
      </w:r>
      <w:r>
        <w:rPr>
          <w:color w:val="000000" w:themeColor="text1"/>
        </w:rPr>
        <w:t>, 101012. https://doi.org/10.1016/j.xops.2025.101012.</w:t>
      </w:r>
    </w:p>
    <w:p w14:paraId="7D246A0D" w14:textId="77777777" w:rsidR="007C1CDA" w:rsidRPr="001A0468" w:rsidRDefault="007C1CDA" w:rsidP="006D1F3D">
      <w:pPr>
        <w:pStyle w:val="MDPI81references"/>
        <w:numPr>
          <w:ilvl w:val="0"/>
          <w:numId w:val="0"/>
        </w:numPr>
        <w:ind w:left="425"/>
      </w:pPr>
      <w:r>
        <w:rPr>
          <w:color w:val="000000" w:themeColor="text1"/>
        </w:rPr>
        <w:t xml:space="preserve">Li, S.; Salowe, R.; Lee, R.; Ying, G.-S.; Lee, I.; O’Brien, J.; Bastani, O. Development of Deep Learning Model to Screen for Primary Open-Angle Glaucoma in African Ancestry Individuals. </w:t>
      </w:r>
      <w:r>
        <w:rPr>
          <w:i/>
          <w:color w:val="000000" w:themeColor="text1"/>
        </w:rPr>
        <w:t>npj Digit. Med.</w:t>
      </w:r>
      <w:r>
        <w:rPr>
          <w:color w:val="000000" w:themeColor="text1"/>
        </w:rPr>
        <w:t xml:space="preserve"> </w:t>
      </w:r>
      <w:r>
        <w:rPr>
          <w:b/>
          <w:color w:val="000000" w:themeColor="text1"/>
        </w:rPr>
        <w:t>2026</w:t>
      </w:r>
      <w:r>
        <w:rPr>
          <w:color w:val="000000" w:themeColor="text1"/>
        </w:rPr>
        <w:t xml:space="preserve">, </w:t>
      </w:r>
      <w:r>
        <w:rPr>
          <w:i/>
          <w:color w:val="000000" w:themeColor="text1"/>
        </w:rPr>
        <w:t>9</w:t>
      </w:r>
      <w:r>
        <w:rPr>
          <w:color w:val="000000" w:themeColor="text1"/>
        </w:rPr>
        <w:t>, 214. https://doi.org/10.1038/s41746-025-02318-2.</w:t>
      </w:r>
    </w:p>
    <w:p w14:paraId="7D246A0D" w14:textId="77777777" w:rsidR="007C1CDA" w:rsidRPr="001A0468" w:rsidRDefault="007C1CDA" w:rsidP="006D1F3D">
      <w:pPr>
        <w:pStyle w:val="MDPI81references"/>
        <w:numPr>
          <w:ilvl w:val="0"/>
          <w:numId w:val="0"/>
        </w:numPr>
        <w:ind w:left="425"/>
      </w:pPr>
      <w:r>
        <w:rPr>
          <w:color w:val="000000" w:themeColor="text1"/>
        </w:rPr>
        <w:t xml:space="preserve">Tariq, F.; Hameed, H.; Malik, T.; Mollel, M.; Imran, M.A.; Abbasi, Q.H. Hybrid ResNet–Vision Transformer Ensemble for Early Glaucoma Detection From Fundus Images. </w:t>
      </w:r>
      <w:r>
        <w:rPr>
          <w:i/>
          <w:color w:val="000000" w:themeColor="text1"/>
        </w:rPr>
        <w:t>IEEE Sens. J.</w:t>
      </w:r>
      <w:r>
        <w:rPr>
          <w:color w:val="000000" w:themeColor="text1"/>
        </w:rPr>
        <w:t xml:space="preserve"> </w:t>
      </w:r>
      <w:r>
        <w:rPr>
          <w:b/>
          <w:color w:val="000000" w:themeColor="text1"/>
        </w:rPr>
        <w:t>2026</w:t>
      </w:r>
      <w:r>
        <w:rPr>
          <w:color w:val="000000" w:themeColor="text1"/>
        </w:rPr>
        <w:t xml:space="preserve">, </w:t>
      </w:r>
      <w:r>
        <w:rPr>
          <w:i/>
          <w:color w:val="000000" w:themeColor="text1"/>
        </w:rPr>
        <w:t>26</w:t>
      </w:r>
      <w:r>
        <w:rPr>
          <w:color w:val="000000" w:themeColor="text1"/>
        </w:rPr>
        <w:t>, 8899–8906. https://doi.org/10.1109/JSEN.2025.3650333.</w:t>
      </w:r>
    </w:p>
    <w:p w14:paraId="7D246A0D" w14:textId="77777777" w:rsidR="007C1CDA" w:rsidRPr="001A0468" w:rsidRDefault="007C1CDA" w:rsidP="006D1F3D">
      <w:pPr>
        <w:pStyle w:val="MDPI81references"/>
        <w:numPr>
          <w:ilvl w:val="0"/>
          <w:numId w:val="0"/>
        </w:numPr>
        <w:ind w:left="425"/>
      </w:pPr>
      <w:r>
        <w:rPr>
          <w:color w:val="000000" w:themeColor="text1"/>
        </w:rPr>
        <w:t xml:space="preserve">Bharathi, V.C.; Shaik, S. GDPooled Transformer: Glaucoma Detection Using Pooled Attention Based Transformer with Attention Mechanism. </w:t>
      </w:r>
      <w:r>
        <w:rPr>
          <w:i/>
          <w:color w:val="000000" w:themeColor="text1"/>
        </w:rPr>
        <w:t>Int. Ophthalmol.</w:t>
      </w:r>
      <w:r>
        <w:rPr>
          <w:color w:val="000000" w:themeColor="text1"/>
        </w:rPr>
        <w:t xml:space="preserve"> </w:t>
      </w:r>
      <w:r>
        <w:rPr>
          <w:b/>
          <w:color w:val="000000" w:themeColor="text1"/>
        </w:rPr>
        <w:t>2026</w:t>
      </w:r>
      <w:r>
        <w:rPr>
          <w:color w:val="000000" w:themeColor="text1"/>
        </w:rPr>
        <w:t xml:space="preserve">, </w:t>
      </w:r>
      <w:r>
        <w:rPr>
          <w:i/>
          <w:color w:val="000000" w:themeColor="text1"/>
        </w:rPr>
        <w:t>46</w:t>
      </w:r>
      <w:r>
        <w:rPr>
          <w:color w:val="000000" w:themeColor="text1"/>
        </w:rPr>
        <w:t>, 90. https://doi.org/10.1007/s10792-026-03966-3.</w:t>
      </w:r>
    </w:p>
    <w:p w14:paraId="7D246A0D" w14:textId="77777777" w:rsidR="007C1CDA" w:rsidRPr="001A0468" w:rsidRDefault="007C1CDA" w:rsidP="006D1F3D">
      <w:pPr>
        <w:pStyle w:val="MDPI81references"/>
        <w:numPr>
          <w:ilvl w:val="0"/>
          <w:numId w:val="0"/>
        </w:numPr>
        <w:ind w:left="425"/>
      </w:pPr>
      <w:r>
        <w:rPr>
          <w:color w:val="000000" w:themeColor="text1"/>
        </w:rPr>
        <w:t xml:space="preserve">Okuwobi, I.P.; Liu, J.; Wan, J.; Jiang, J. Glauco-Net: A Novel Deep Learning Framework for Early Glaucoma Diagnosis. </w:t>
      </w:r>
      <w:r>
        <w:rPr>
          <w:i/>
          <w:color w:val="000000" w:themeColor="text1"/>
        </w:rPr>
        <w:t>AIMS Mol. Sci.</w:t>
      </w:r>
      <w:r>
        <w:rPr>
          <w:color w:val="000000" w:themeColor="text1"/>
        </w:rPr>
        <w:t xml:space="preserve"> </w:t>
      </w:r>
      <w:r>
        <w:rPr>
          <w:b/>
          <w:color w:val="000000" w:themeColor="text1"/>
        </w:rPr>
        <w:t>2026</w:t>
      </w:r>
      <w:r>
        <w:rPr>
          <w:color w:val="000000" w:themeColor="text1"/>
        </w:rPr>
        <w:t xml:space="preserve">, </w:t>
      </w:r>
      <w:r>
        <w:rPr>
          <w:i/>
          <w:color w:val="000000" w:themeColor="text1"/>
        </w:rPr>
        <w:t>13</w:t>
      </w:r>
      <w:r>
        <w:rPr>
          <w:color w:val="000000" w:themeColor="text1"/>
        </w:rPr>
        <w:t>, 23–60. https://doi.org/10.3934/molsci.2026003.</w:t>
      </w:r>
    </w:p>
    <w:p w14:paraId="7D246A0D" w14:textId="77777777" w:rsidR="007C1CDA" w:rsidRPr="001A0468" w:rsidRDefault="007C1CDA" w:rsidP="006D1F3D">
      <w:pPr>
        <w:pStyle w:val="MDPI81references"/>
        <w:numPr>
          <w:ilvl w:val="0"/>
          <w:numId w:val="0"/>
        </w:numPr>
        <w:ind w:left="425"/>
      </w:pPr>
      <w:r>
        <w:rPr>
          <w:color w:val="000000" w:themeColor="text1"/>
        </w:rPr>
        <w:t xml:space="preserve">Gandhi, V.C.; Gandhi, P.P.; Abdul Raheem, A.K.; Alzubaidi, Y.T.; Khudaybergenov, K.; Khishe, M. Advancing Glaucoma Diagnosis: Multi-Modal Deep Learning with Vision Transformer Architectures. </w:t>
      </w:r>
      <w:r>
        <w:rPr>
          <w:i/>
          <w:color w:val="000000" w:themeColor="text1"/>
        </w:rPr>
        <w:t>Intell.-Based Med.</w:t>
      </w:r>
      <w:r>
        <w:rPr>
          <w:color w:val="000000" w:themeColor="text1"/>
        </w:rPr>
        <w:t xml:space="preserve"> </w:t>
      </w:r>
      <w:r>
        <w:rPr>
          <w:b/>
          <w:color w:val="000000" w:themeColor="text1"/>
        </w:rPr>
        <w:t>2026</w:t>
      </w:r>
      <w:r>
        <w:rPr>
          <w:color w:val="000000" w:themeColor="text1"/>
        </w:rPr>
        <w:t xml:space="preserve">, </w:t>
      </w:r>
      <w:r>
        <w:rPr>
          <w:i/>
          <w:color w:val="000000" w:themeColor="text1"/>
        </w:rPr>
        <w:t>13</w:t>
      </w:r>
      <w:r>
        <w:rPr>
          <w:color w:val="000000" w:themeColor="text1"/>
        </w:rPr>
        <w:t>, 100355. https://doi.org/10.1016/j.ibmed.2026.100355.</w:t>
      </w:r>
    </w:p>
    <w:p w14:paraId="7D246A0D" w14:textId="77777777" w:rsidR="007C1CDA" w:rsidRPr="001A0468" w:rsidRDefault="007C1CDA" w:rsidP="006D1F3D">
      <w:pPr>
        <w:pStyle w:val="MDPI81references"/>
        <w:numPr>
          <w:ilvl w:val="0"/>
          <w:numId w:val="0"/>
        </w:numPr>
        <w:ind w:left="425"/>
      </w:pPr>
      <w:r>
        <w:rPr>
          <w:color w:val="000000" w:themeColor="text1"/>
        </w:rPr>
        <w:t xml:space="preserve">Chilukuri, R.; Praveen, P.; Gatla, R.K.; Almenweer, R.A. SwinCup-DiscNet: A Fusion Transformer Framework for Glaucoma Diagnosis Using Optic Disc and Cup Features. </w:t>
      </w:r>
      <w:r>
        <w:rPr>
          <w:i/>
          <w:color w:val="000000" w:themeColor="text1"/>
        </w:rPr>
        <w:t>Sci. Rep.</w:t>
      </w:r>
      <w:r>
        <w:rPr>
          <w:color w:val="000000" w:themeColor="text1"/>
        </w:rPr>
        <w:t xml:space="preserve"> </w:t>
      </w:r>
      <w:r>
        <w:rPr>
          <w:b/>
          <w:color w:val="000000" w:themeColor="text1"/>
        </w:rPr>
        <w:t>2026</w:t>
      </w:r>
      <w:r>
        <w:rPr>
          <w:color w:val="000000" w:themeColor="text1"/>
        </w:rPr>
        <w:t xml:space="preserve">, </w:t>
      </w:r>
      <w:r>
        <w:rPr>
          <w:i/>
          <w:color w:val="000000" w:themeColor="text1"/>
        </w:rPr>
        <w:t>16</w:t>
      </w:r>
      <w:r>
        <w:rPr>
          <w:color w:val="000000" w:themeColor="text1"/>
        </w:rPr>
        <w:t>, 7920. https://doi.org/10.1038/s41598-026-39065-7.</w:t>
      </w:r>
    </w:p>
    <w:p w14:paraId="7D246A0D" w14:textId="77777777" w:rsidR="007C1CDA" w:rsidRPr="001A0468" w:rsidRDefault="007C1CDA" w:rsidP="006D1F3D">
      <w:pPr>
        <w:pStyle w:val="MDPI81references"/>
        <w:numPr>
          <w:ilvl w:val="0"/>
          <w:numId w:val="0"/>
        </w:numPr>
        <w:ind w:left="425"/>
      </w:pPr>
      <w:r>
        <w:rPr>
          <w:color w:val="000000" w:themeColor="text1"/>
        </w:rPr>
        <w:t xml:space="preserve">Hernández, J.; Alayón, S.; Sigut, J.F.; Díaz-Alemán, T. A Novel Superpixel Based Vision Transformer for Improving Interpretability in Glaucoma Screening. </w:t>
      </w:r>
      <w:r>
        <w:rPr>
          <w:i/>
          <w:color w:val="000000" w:themeColor="text1"/>
        </w:rPr>
        <w:t>Sci. Rep.</w:t>
      </w:r>
      <w:r>
        <w:rPr>
          <w:color w:val="000000" w:themeColor="text1"/>
        </w:rPr>
        <w:t xml:space="preserve"> </w:t>
      </w:r>
      <w:r>
        <w:rPr>
          <w:b/>
          <w:color w:val="000000" w:themeColor="text1"/>
        </w:rPr>
        <w:t>2026</w:t>
      </w:r>
      <w:r>
        <w:rPr>
          <w:color w:val="000000" w:themeColor="text1"/>
        </w:rPr>
        <w:t xml:space="preserve">, </w:t>
      </w:r>
      <w:r>
        <w:rPr>
          <w:i/>
          <w:color w:val="000000" w:themeColor="text1"/>
        </w:rPr>
        <w:t>16</w:t>
      </w:r>
      <w:r>
        <w:rPr>
          <w:color w:val="000000" w:themeColor="text1"/>
        </w:rPr>
        <w:t>, 10879. https://doi.org/10.1038/s41598-026-39730-x.</w:t>
      </w:r>
    </w:p>
    <w:p w14:paraId="7D246A0D" w14:textId="77777777" w:rsidR="007C1CDA" w:rsidRPr="001A0468" w:rsidRDefault="007C1CDA" w:rsidP="006D1F3D">
      <w:pPr>
        <w:pStyle w:val="MDPI81references"/>
        <w:numPr>
          <w:ilvl w:val="0"/>
          <w:numId w:val="0"/>
        </w:numPr>
        <w:ind w:left="425"/>
      </w:pPr>
      <w:r>
        <w:rPr>
          <w:color w:val="000000" w:themeColor="text1"/>
        </w:rPr>
        <w:t xml:space="preserve">Bouris, E.; Leyva, B.K.; Odugbo, O.P.; Lawson, J.; Jin, S.W.; Fei, Z.; Morales, E.; Alkhalili, O.; Caprioli, J. A Vision Transformer Model for the Detection of Glaucoma from Optic Disc Photographs. </w:t>
      </w:r>
      <w:r>
        <w:rPr>
          <w:i/>
          <w:color w:val="000000" w:themeColor="text1"/>
        </w:rPr>
        <w:t>Sci. Rep.</w:t>
      </w:r>
      <w:r>
        <w:rPr>
          <w:color w:val="000000" w:themeColor="text1"/>
        </w:rPr>
        <w:t xml:space="preserve"> </w:t>
      </w:r>
      <w:r>
        <w:rPr>
          <w:b/>
          <w:color w:val="000000" w:themeColor="text1"/>
        </w:rPr>
        <w:t>2026</w:t>
      </w:r>
      <w:r>
        <w:rPr>
          <w:color w:val="000000" w:themeColor="text1"/>
        </w:rPr>
        <w:t xml:space="preserve">, </w:t>
      </w:r>
      <w:r>
        <w:rPr>
          <w:i/>
          <w:color w:val="000000" w:themeColor="text1"/>
        </w:rPr>
        <w:t>16</w:t>
      </w:r>
      <w:r>
        <w:rPr>
          <w:color w:val="000000" w:themeColor="text1"/>
        </w:rPr>
        <w:t>, 14831. https://doi.org/10.1038/s41598-026-44662-7.</w:t>
      </w:r>
    </w:p>
    <w:p w14:paraId="7D246A0D" w14:textId="77777777" w:rsidR="007C1CDA" w:rsidRPr="001A0468" w:rsidRDefault="007C1CDA" w:rsidP="006D1F3D">
      <w:pPr>
        <w:pStyle w:val="MDPI81references"/>
        <w:numPr>
          <w:ilvl w:val="0"/>
          <w:numId w:val="0"/>
        </w:numPr>
        <w:ind w:left="425"/>
      </w:pPr>
      <w:r>
        <w:rPr>
          <w:color w:val="000000" w:themeColor="text1"/>
        </w:rPr>
        <w:t xml:space="preserve">Hasan, M.M.; Phu, J.; Wang, H.; Kalloniatis, M.; Sowmya, A.; Meijering, E. Multiple Attention Based Deep Multimodal Fusion Network for Glaucoma and Neurodegenerative Disease Diagnosis. </w:t>
      </w:r>
      <w:r>
        <w:rPr>
          <w:i/>
          <w:color w:val="000000" w:themeColor="text1"/>
        </w:rPr>
        <w:t>Sci. Rep.</w:t>
      </w:r>
      <w:r>
        <w:rPr>
          <w:color w:val="000000" w:themeColor="text1"/>
        </w:rPr>
        <w:t xml:space="preserve"> </w:t>
      </w:r>
      <w:r>
        <w:rPr>
          <w:b/>
          <w:color w:val="000000" w:themeColor="text1"/>
        </w:rPr>
        <w:t>2026</w:t>
      </w:r>
      <w:r>
        <w:rPr>
          <w:color w:val="000000" w:themeColor="text1"/>
        </w:rPr>
        <w:t xml:space="preserve">, </w:t>
      </w:r>
      <w:r>
        <w:rPr>
          <w:i/>
          <w:color w:val="000000" w:themeColor="text1"/>
        </w:rPr>
        <w:t>16</w:t>
      </w:r>
      <w:r>
        <w:rPr>
          <w:color w:val="000000" w:themeColor="text1"/>
        </w:rPr>
        <w:t>, 19247. https://doi.org/10.1038/s41598-026-46855-6.</w:t>
      </w:r>
    </w:p>
    <w:p w14:paraId="7D246A0D" w14:textId="77777777" w:rsidR="007C1CDA" w:rsidRPr="001A0468" w:rsidRDefault="007C1CDA" w:rsidP="006D1F3D">
      <w:pPr>
        <w:pStyle w:val="MDPI81references"/>
        <w:numPr>
          <w:ilvl w:val="0"/>
          <w:numId w:val="0"/>
        </w:numPr>
        <w:ind w:left="425"/>
      </w:pPr>
      <w:r>
        <w:rPr>
          <w:color w:val="000000" w:themeColor="text1"/>
        </w:rPr>
        <w:t xml:space="preserve">Wu, F.; Xue, Y.; Yuhas, P.T.; Gao, X.R. AUBADE-syn: A Novel Deep Learning Ensemble Method for Glaucoma Detection Using Synthetic Fundus Images on Imbalanced Datasets. </w:t>
      </w:r>
      <w:r>
        <w:rPr>
          <w:i/>
          <w:color w:val="000000" w:themeColor="text1"/>
        </w:rPr>
        <w:t>npj Digit. Med.</w:t>
      </w:r>
      <w:r>
        <w:rPr>
          <w:color w:val="000000" w:themeColor="text1"/>
        </w:rPr>
        <w:t xml:space="preserve"> </w:t>
      </w:r>
      <w:r>
        <w:rPr>
          <w:b/>
          <w:color w:val="000000" w:themeColor="text1"/>
        </w:rPr>
        <w:t>2026</w:t>
      </w:r>
      <w:r>
        <w:rPr>
          <w:color w:val="000000" w:themeColor="text1"/>
        </w:rPr>
        <w:t xml:space="preserve">, </w:t>
      </w:r>
      <w:r>
        <w:rPr>
          <w:i/>
          <w:color w:val="000000" w:themeColor="text1"/>
        </w:rPr>
        <w:t>9</w:t>
      </w:r>
      <w:r>
        <w:rPr>
          <w:color w:val="000000" w:themeColor="text1"/>
        </w:rPr>
        <w:t>, 584. https://doi.org/10.1038/s41746-026-02752-w.</w:t>
      </w:r>
    </w:p>
    <w:p w14:paraId="7D246A0D" w14:textId="77777777" w:rsidR="007C1CDA" w:rsidRPr="001A0468" w:rsidRDefault="007C1CDA" w:rsidP="006D1F3D">
      <w:pPr>
        <w:pStyle w:val="MDPI81references"/>
        <w:numPr>
          <w:ilvl w:val="0"/>
          <w:numId w:val="0"/>
        </w:numPr>
        <w:ind w:left="425"/>
      </w:pPr>
      <w:r>
        <w:rPr>
          <w:color w:val="000000" w:themeColor="text1"/>
        </w:rPr>
        <w:t xml:space="preserve">Moorthy, C.; Arulanantham, D.; Suresh Babu, A.; Murugesan, S. Attention Based Multi-Scale Edge-Aware Segmentation and Convolutional Transformer Framework for Automated Glaucoma Detection from Fundus Images. </w:t>
      </w:r>
      <w:r>
        <w:rPr>
          <w:i/>
          <w:color w:val="000000" w:themeColor="text1"/>
        </w:rPr>
        <w:t>J. X-Ray Sci. Technol.</w:t>
      </w:r>
      <w:r>
        <w:rPr>
          <w:color w:val="000000" w:themeColor="text1"/>
        </w:rPr>
        <w:t xml:space="preserve"> </w:t>
      </w:r>
      <w:r>
        <w:rPr>
          <w:b/>
          <w:color w:val="000000" w:themeColor="text1"/>
        </w:rPr>
        <w:t>2026</w:t>
      </w:r>
      <w:r>
        <w:rPr>
          <w:color w:val="000000" w:themeColor="text1"/>
        </w:rPr>
        <w:t xml:space="preserve">, </w:t>
      </w:r>
      <w:r>
        <w:rPr>
          <w:i/>
          <w:color w:val="000000" w:themeColor="text1"/>
        </w:rPr>
        <w:t>34</w:t>
      </w:r>
      <w:r>
        <w:rPr>
          <w:color w:val="000000" w:themeColor="text1"/>
        </w:rPr>
        <w:t>, 589–621. https://doi.org/10.1177/08953996261439097.</w:t>
      </w:r>
    </w:p>
    <w:p w14:paraId="7D246A0D" w14:textId="77777777" w:rsidR="007C1CDA" w:rsidRPr="001A0468" w:rsidRDefault="007C1CDA" w:rsidP="006D1F3D">
      <w:pPr>
        <w:pStyle w:val="MDPI81references"/>
        <w:numPr>
          <w:ilvl w:val="0"/>
          <w:numId w:val="0"/>
        </w:numPr>
        <w:ind w:left="425"/>
      </w:pPr>
      <w:r>
        <w:rPr>
          <w:color w:val="000000" w:themeColor="text1"/>
        </w:rPr>
        <w:t xml:space="preserve">Noh, D.-I.; Dao, T.-T.; Park, K.-M.; Jeong, S.-G.; Hwang, W.-J. GlaucoFormer: A Transformer-Based Model for Glaucoma Detection and Segmentation. </w:t>
      </w:r>
      <w:r>
        <w:rPr>
          <w:i/>
          <w:color w:val="000000" w:themeColor="text1"/>
        </w:rPr>
        <w:t>Appl. Soft Comput.</w:t>
      </w:r>
      <w:r>
        <w:rPr>
          <w:color w:val="000000" w:themeColor="text1"/>
        </w:rPr>
        <w:t xml:space="preserve"> </w:t>
      </w:r>
      <w:r>
        <w:rPr>
          <w:b/>
          <w:color w:val="000000" w:themeColor="text1"/>
        </w:rPr>
        <w:t>2026</w:t>
      </w:r>
      <w:r>
        <w:rPr>
          <w:color w:val="000000" w:themeColor="text1"/>
        </w:rPr>
        <w:t xml:space="preserve">, </w:t>
      </w:r>
      <w:r>
        <w:rPr>
          <w:i/>
          <w:color w:val="000000" w:themeColor="text1"/>
        </w:rPr>
        <w:t>197</w:t>
      </w:r>
      <w:r>
        <w:rPr>
          <w:color w:val="000000" w:themeColor="text1"/>
        </w:rPr>
        <w:t>, 115158. https://doi.org/10.1016/j.asoc.2026.115158.</w:t>
      </w:r>
    </w:p>
    <w:p w14:paraId="7D246A0D" w14:textId="77777777" w:rsidR="007C1CDA" w:rsidRPr="001A0468" w:rsidRDefault="007C1CDA" w:rsidP="006D1F3D">
      <w:pPr>
        <w:pStyle w:val="MDPI81references"/>
        <w:numPr>
          <w:ilvl w:val="0"/>
          <w:numId w:val="0"/>
        </w:numPr>
        <w:ind w:left="425"/>
      </w:pPr>
      <w:r>
        <w:rPr>
          <w:color w:val="000000" w:themeColor="text1"/>
        </w:rPr>
        <w:t xml:space="preserve">Pramanik, S.K.; Bag, S. SGViT-Net: An Adaptive Approach Integrating Soft-GLAM with ViT-Inspired Self-Attention for Multistage Glaucoma Detection. </w:t>
      </w:r>
      <w:r>
        <w:rPr>
          <w:i/>
          <w:color w:val="000000" w:themeColor="text1"/>
        </w:rPr>
        <w:t>Digit. Signal Process.</w:t>
      </w:r>
      <w:r>
        <w:rPr>
          <w:color w:val="000000" w:themeColor="text1"/>
        </w:rPr>
        <w:t xml:space="preserve"> </w:t>
      </w:r>
      <w:r>
        <w:rPr>
          <w:b/>
          <w:color w:val="000000" w:themeColor="text1"/>
        </w:rPr>
        <w:t>2026</w:t>
      </w:r>
      <w:r>
        <w:rPr>
          <w:color w:val="000000" w:themeColor="text1"/>
        </w:rPr>
        <w:t xml:space="preserve">, </w:t>
      </w:r>
      <w:r>
        <w:rPr>
          <w:i/>
          <w:color w:val="000000" w:themeColor="text1"/>
        </w:rPr>
        <w:t>178</w:t>
      </w:r>
      <w:r>
        <w:rPr>
          <w:color w:val="000000" w:themeColor="text1"/>
        </w:rPr>
        <w:t>, 106149. https://doi.org/10.1016/j.dsp.2026.106149.</w:t>
      </w:r>
    </w:p>
    <w:p w14:paraId="7D246A0D" w14:textId="77777777" w:rsidR="007C1CDA" w:rsidRPr="001A0468" w:rsidRDefault="007C1CDA" w:rsidP="006D1F3D">
      <w:pPr>
        <w:pStyle w:val="MDPI81references"/>
        <w:numPr>
          <w:ilvl w:val="0"/>
          <w:numId w:val="0"/>
        </w:numPr>
        <w:ind w:left="425"/>
      </w:pPr>
      <w:r>
        <w:rPr>
          <w:color w:val="000000" w:themeColor="text1"/>
        </w:rPr>
        <w:t xml:space="preserve">Roopalakshmi, R.; Bhagat, A.A.; Jain, S.N. Contrastive Vision Transformer Combined with Hyperparameter Fine-Tuning and Interpretable AI for Glaucoma Assessment. </w:t>
      </w:r>
      <w:r>
        <w:rPr>
          <w:i/>
          <w:color w:val="000000" w:themeColor="text1"/>
        </w:rPr>
        <w:t>J. Image Graph.</w:t>
      </w:r>
      <w:r>
        <w:rPr>
          <w:color w:val="000000" w:themeColor="text1"/>
        </w:rPr>
        <w:t xml:space="preserve"> </w:t>
      </w:r>
      <w:r>
        <w:rPr>
          <w:b/>
          <w:color w:val="000000" w:themeColor="text1"/>
        </w:rPr>
        <w:t>2026</w:t>
      </w:r>
      <w:r>
        <w:rPr>
          <w:color w:val="000000" w:themeColor="text1"/>
        </w:rPr>
        <w:t xml:space="preserve">, </w:t>
      </w:r>
      <w:r>
        <w:rPr>
          <w:i/>
          <w:color w:val="000000" w:themeColor="text1"/>
        </w:rPr>
        <w:t>14</w:t>
      </w:r>
      <w:r>
        <w:rPr>
          <w:color w:val="000000" w:themeColor="text1"/>
        </w:rPr>
        <w:t>, 493–505. https://doi.org/10.18178/joig.14.3.493-505.</w:t>
      </w:r>
    </w:p>
    <w:p w14:paraId="7D246A0D" w14:textId="77777777" w:rsidR="007C1CDA" w:rsidRPr="001A0468" w:rsidRDefault="007C1CDA" w:rsidP="006D1F3D">
      <w:pPr>
        <w:pStyle w:val="MDPI81references"/>
        <w:numPr>
          <w:ilvl w:val="0"/>
          <w:numId w:val="0"/>
        </w:numPr>
        <w:ind w:left="425"/>
      </w:pPr>
      <w:r>
        <w:rPr>
          <w:color w:val="000000" w:themeColor="text1"/>
        </w:rPr>
        <w:t xml:space="preserve">Abdelbaki, W.; Bouchelligua, W.; Nasir, I.M.; Tehsin, S.; Alshaya, H. Transformer-Based Deep Learning for Population-Scale Retinal Image Screening of Ophthalmic Disorders. </w:t>
      </w:r>
      <w:r>
        <w:rPr>
          <w:i/>
          <w:color w:val="000000" w:themeColor="text1"/>
        </w:rPr>
        <w:t>Bioengineering</w:t>
      </w:r>
      <w:r>
        <w:rPr>
          <w:color w:val="000000" w:themeColor="text1"/>
        </w:rPr>
        <w:t xml:space="preserve"> </w:t>
      </w:r>
      <w:r>
        <w:rPr>
          <w:b/>
          <w:color w:val="000000" w:themeColor="text1"/>
        </w:rPr>
        <w:t>2026</w:t>
      </w:r>
      <w:r>
        <w:rPr>
          <w:color w:val="000000" w:themeColor="text1"/>
        </w:rPr>
        <w:t xml:space="preserve">, </w:t>
      </w:r>
      <w:r>
        <w:rPr>
          <w:i/>
          <w:color w:val="000000" w:themeColor="text1"/>
        </w:rPr>
        <w:t>13</w:t>
      </w:r>
      <w:r>
        <w:rPr>
          <w:color w:val="000000" w:themeColor="text1"/>
        </w:rPr>
        <w:t>, 377. https://doi.org/10.3390/bioengineering13040377.</w:t>
      </w:r>
    </w:p>
    <w:p w14:paraId="7D246A0D" w14:textId="77777777" w:rsidR="007C1CDA" w:rsidRPr="001A0468" w:rsidRDefault="007C1CDA" w:rsidP="006D1F3D">
      <w:pPr>
        <w:pStyle w:val="MDPI81references"/>
        <w:numPr>
          <w:ilvl w:val="0"/>
          <w:numId w:val="0"/>
        </w:numPr>
        <w:ind w:left="425"/>
      </w:pPr>
      <w:r>
        <w:rPr>
          <w:color w:val="000000" w:themeColor="text1"/>
        </w:rPr>
        <w:lastRenderedPageBreak/>
        <w:t xml:space="preserve">Malik, M.H.; Wan, Z.; Ren, Y.; Ding, D.-W. A Hybrid Transformer-CNN Framework for Uncertainty-Guided Semi-Supervised Multiclass Eye Disease Classification with Enhanced Interpretability. </w:t>
      </w:r>
      <w:r>
        <w:rPr>
          <w:i/>
          <w:color w:val="000000" w:themeColor="text1"/>
        </w:rPr>
        <w:t>Comput. Med. Imaging Graph.</w:t>
      </w:r>
      <w:r>
        <w:rPr>
          <w:color w:val="000000" w:themeColor="text1"/>
        </w:rPr>
        <w:t xml:space="preserve"> </w:t>
      </w:r>
      <w:r>
        <w:rPr>
          <w:b/>
          <w:color w:val="000000" w:themeColor="text1"/>
        </w:rPr>
        <w:t>2026</w:t>
      </w:r>
      <w:r>
        <w:rPr>
          <w:color w:val="000000" w:themeColor="text1"/>
        </w:rPr>
        <w:t xml:space="preserve">, </w:t>
      </w:r>
      <w:r>
        <w:rPr>
          <w:i/>
          <w:color w:val="000000" w:themeColor="text1"/>
        </w:rPr>
        <w:t>128</w:t>
      </w:r>
      <w:r>
        <w:rPr>
          <w:color w:val="000000" w:themeColor="text1"/>
        </w:rPr>
        <w:t>, 102701. https://doi.org/10.1016/j.compmedimag.2026.102701.</w:t>
      </w:r>
    </w:p>
    <w:p w14:paraId="7D246A0D" w14:textId="77777777" w:rsidR="007C1CDA" w:rsidRPr="001A0468" w:rsidRDefault="007C1CDA" w:rsidP="006D1F3D">
      <w:pPr>
        <w:pStyle w:val="MDPI81references"/>
        <w:numPr>
          <w:ilvl w:val="0"/>
          <w:numId w:val="0"/>
        </w:numPr>
        <w:ind w:left="425"/>
      </w:pPr>
      <w:r>
        <w:rPr>
          <w:color w:val="000000" w:themeColor="text1"/>
        </w:rPr>
        <w:t xml:space="preserve">Malik, M.H.; Wan, Z.; Ding, D.-W. APSID: An Attention-Prototype and Scale-Integrated Deep Framework with Dynamic Quality Scoring for Semi-Supervised and Interpretable Retinal Disease Diagnosis. </w:t>
      </w:r>
      <w:r>
        <w:rPr>
          <w:i/>
          <w:color w:val="000000" w:themeColor="text1"/>
        </w:rPr>
        <w:t>Biomed. Signal Process. Control</w:t>
      </w:r>
      <w:r>
        <w:rPr>
          <w:color w:val="000000" w:themeColor="text1"/>
        </w:rPr>
        <w:t xml:space="preserve"> </w:t>
      </w:r>
      <w:r>
        <w:rPr>
          <w:b/>
          <w:color w:val="000000" w:themeColor="text1"/>
        </w:rPr>
        <w:t>2026</w:t>
      </w:r>
      <w:r>
        <w:rPr>
          <w:color w:val="000000" w:themeColor="text1"/>
        </w:rPr>
        <w:t xml:space="preserve">, </w:t>
      </w:r>
      <w:r>
        <w:rPr>
          <w:i/>
          <w:color w:val="000000" w:themeColor="text1"/>
        </w:rPr>
        <w:t>120</w:t>
      </w:r>
      <w:r>
        <w:rPr>
          <w:color w:val="000000" w:themeColor="text1"/>
        </w:rPr>
        <w:t>, 110228. https://doi.org/10.1016/j.bspc.2026.110228.</w:t>
      </w:r>
    </w:p>
    <w:p w14:paraId="7D246A0D" w14:textId="77777777" w:rsidR="007C1CDA" w:rsidRPr="001A0468" w:rsidRDefault="007C1CDA" w:rsidP="006D1F3D">
      <w:pPr>
        <w:pStyle w:val="MDPI81references"/>
        <w:numPr>
          <w:ilvl w:val="0"/>
          <w:numId w:val="0"/>
        </w:numPr>
        <w:ind w:left="425"/>
      </w:pPr>
      <w:r>
        <w:rPr>
          <w:color w:val="000000" w:themeColor="text1"/>
        </w:rPr>
        <w:t xml:space="preserve">Santo, M.M.H.; Bhoyan, F.H.; Farhad, F.I.J.; Farid, F.A.; Chakraborty, S.; Mehedi, M.H.K.; Uddin, J.; Karim, H.B.A. MaxGRNet: A Multi-Axis Vision Transformer with Improved Generalization for Eye Disease Classification Using Explainable AI with Insertion-Deletion Operations on Fundus Images. </w:t>
      </w:r>
      <w:r>
        <w:rPr>
          <w:i/>
          <w:color w:val="000000" w:themeColor="text1"/>
        </w:rPr>
        <w:t>PLoS ONE</w:t>
      </w:r>
      <w:r>
        <w:rPr>
          <w:color w:val="000000" w:themeColor="text1"/>
        </w:rPr>
        <w:t xml:space="preserve"> </w:t>
      </w:r>
      <w:r>
        <w:rPr>
          <w:b/>
          <w:color w:val="000000" w:themeColor="text1"/>
        </w:rPr>
        <w:t>2026</w:t>
      </w:r>
      <w:r>
        <w:rPr>
          <w:color w:val="000000" w:themeColor="text1"/>
        </w:rPr>
        <w:t xml:space="preserve">, </w:t>
      </w:r>
      <w:r>
        <w:rPr>
          <w:i/>
          <w:color w:val="000000" w:themeColor="text1"/>
        </w:rPr>
        <w:t>21</w:t>
      </w:r>
      <w:r>
        <w:rPr>
          <w:color w:val="000000" w:themeColor="text1"/>
        </w:rPr>
        <w:t>, e0346329. https://doi.org/10.1371/journal.pone.0346329.</w:t>
      </w:r>
    </w:p>
    <w:p w14:paraId="7D246A0D" w14:textId="77777777" w:rsidR="007C1CDA" w:rsidRPr="001A0468" w:rsidRDefault="007C1CDA" w:rsidP="006D1F3D">
      <w:pPr>
        <w:pStyle w:val="MDPI81references"/>
        <w:numPr>
          <w:ilvl w:val="0"/>
          <w:numId w:val="0"/>
        </w:numPr>
        <w:ind w:left="425"/>
      </w:pPr>
      <w:r>
        <w:rPr>
          <w:color w:val="000000" w:themeColor="text1"/>
        </w:rPr>
        <w:t xml:space="preserve">Rahman, S.; Safwan, M.N.; Mahadi, M.H.; Mobin, M.I.; Mridha, M.F. OpthaNet: Attention-Integrated Architecture for High-Precision Multi-Class Ophthalmic Image Classification. </w:t>
      </w:r>
      <w:r>
        <w:rPr>
          <w:i/>
          <w:color w:val="000000" w:themeColor="text1"/>
        </w:rPr>
        <w:t>Healthc. Technol. Lett.</w:t>
      </w:r>
      <w:r>
        <w:rPr>
          <w:color w:val="000000" w:themeColor="text1"/>
        </w:rPr>
        <w:t xml:space="preserve"> </w:t>
      </w:r>
      <w:r>
        <w:rPr>
          <w:b/>
          <w:color w:val="000000" w:themeColor="text1"/>
        </w:rPr>
        <w:t>2026</w:t>
      </w:r>
      <w:r>
        <w:rPr>
          <w:color w:val="000000" w:themeColor="text1"/>
        </w:rPr>
        <w:t xml:space="preserve">, </w:t>
      </w:r>
      <w:r>
        <w:rPr>
          <w:i/>
          <w:color w:val="000000" w:themeColor="text1"/>
        </w:rPr>
        <w:t>13</w:t>
      </w:r>
      <w:r>
        <w:rPr>
          <w:color w:val="000000" w:themeColor="text1"/>
        </w:rPr>
        <w:t>, e70067. https://doi.org/10.1049/htl2.70067.</w:t>
      </w:r>
    </w:p>
    <w:p w14:paraId="7D246A0D" w14:textId="77777777" w:rsidR="007C1CDA" w:rsidRPr="001A0468" w:rsidRDefault="007C1CDA" w:rsidP="006D1F3D">
      <w:pPr>
        <w:pStyle w:val="MDPI81references"/>
        <w:numPr>
          <w:ilvl w:val="0"/>
          <w:numId w:val="0"/>
        </w:numPr>
        <w:ind w:left="425"/>
      </w:pPr>
      <w:r>
        <w:rPr>
          <w:color w:val="000000" w:themeColor="text1"/>
        </w:rPr>
        <w:t xml:space="preserve">Zaib, S. A Deep Learning Ensemble for Referable Glaucoma Detection: An Independent Analysis of the JustRAIGS Challenge Dataset. </w:t>
      </w:r>
      <w:r>
        <w:rPr>
          <w:i/>
          <w:color w:val="000000" w:themeColor="text1"/>
        </w:rPr>
        <w:t>Spectr. Eng. Sci.</w:t>
      </w:r>
      <w:r>
        <w:rPr>
          <w:color w:val="000000" w:themeColor="text1"/>
        </w:rPr>
        <w:t xml:space="preserve"> </w:t>
      </w:r>
      <w:r>
        <w:rPr>
          <w:b/>
          <w:color w:val="000000" w:themeColor="text1"/>
        </w:rPr>
        <w:t>2026</w:t>
      </w:r>
      <w:r>
        <w:rPr>
          <w:color w:val="000000" w:themeColor="text1"/>
        </w:rPr>
        <w:t xml:space="preserve">, </w:t>
      </w:r>
      <w:r>
        <w:rPr>
          <w:i/>
          <w:color w:val="000000" w:themeColor="text1"/>
        </w:rPr>
        <w:t>4</w:t>
      </w:r>
      <w:r>
        <w:rPr>
          <w:color w:val="000000" w:themeColor="text1"/>
        </w:rPr>
        <w:t>, 191–204. Available online: https://thesesjournal.com/index.php/1/article/view/1952 (accessed on 30 July 2026).</w:t>
      </w:r>
    </w:p>
    <w:p w14:paraId="7D246A0D" w14:textId="77777777" w:rsidR="007C1CDA" w:rsidRPr="001A0468" w:rsidRDefault="007C1CDA" w:rsidP="006D1F3D">
      <w:pPr>
        <w:pStyle w:val="MDPI81references"/>
        <w:numPr>
          <w:ilvl w:val="0"/>
          <w:numId w:val="0"/>
        </w:numPr>
        <w:ind w:left="425"/>
      </w:pPr>
      <w:r>
        <w:rPr>
          <w:color w:val="000000" w:themeColor="text1"/>
        </w:rPr>
        <w:t xml:space="preserve">Nagendran, M.; Chen, Y.; Lovejoy, C.A.; Gordon, A.C.; Komorowski, M.; Harvey, H.; Topol, E.J.; Ioannidis, J.P.A.; Collins, G.S.; Maruthappu, M. Artificial Intelligence versus Clinicians: Systematic Review of Design, Reporting Standards, and Claims of Deep Learning Studies. </w:t>
      </w:r>
      <w:r>
        <w:rPr>
          <w:i/>
          <w:color w:val="000000" w:themeColor="text1"/>
        </w:rPr>
        <w:t>BMJ</w:t>
      </w:r>
      <w:r>
        <w:rPr>
          <w:color w:val="000000" w:themeColor="text1"/>
        </w:rPr>
        <w:t xml:space="preserve"> </w:t>
      </w:r>
      <w:r>
        <w:rPr>
          <w:b/>
          <w:color w:val="000000" w:themeColor="text1"/>
        </w:rPr>
        <w:t>2020</w:t>
      </w:r>
      <w:r>
        <w:rPr>
          <w:color w:val="000000" w:themeColor="text1"/>
        </w:rPr>
        <w:t xml:space="preserve">, </w:t>
      </w:r>
      <w:r>
        <w:rPr>
          <w:i/>
          <w:color w:val="000000" w:themeColor="text1"/>
        </w:rPr>
        <w:t>368</w:t>
      </w:r>
      <w:r>
        <w:rPr>
          <w:color w:val="000000" w:themeColor="text1"/>
        </w:rPr>
        <w:t>, m689. https://doi.org/10.1136/bmj.m689.</w:t>
      </w:r>
    </w:p>
    <w:p w14:paraId="7D246A0D" w14:textId="77777777" w:rsidR="007C1CDA" w:rsidRPr="001A0468" w:rsidRDefault="007C1CDA" w:rsidP="006D1F3D">
      <w:pPr>
        <w:pStyle w:val="MDPI81references"/>
        <w:numPr>
          <w:ilvl w:val="0"/>
          <w:numId w:val="0"/>
        </w:numPr>
        <w:ind w:left="425"/>
      </w:pPr>
      <w:r>
        <w:rPr>
          <w:color w:val="000000" w:themeColor="text1"/>
        </w:rPr>
        <w:t xml:space="preserve">Sounderajah, V.; Guni, A.; Liu, X.; Collins, G.S.; Karthikesalingam, A.; Markar, S.R.; Golub, R.M.; Denniston, A.K.; Shetty, S.; Moher, D.; et al. The STARD-AI Reporting Guideline for Diagnostic Accuracy Studies Using Artificial Intelligence. </w:t>
      </w:r>
      <w:r>
        <w:rPr>
          <w:i/>
          <w:color w:val="000000" w:themeColor="text1"/>
        </w:rPr>
        <w:t>Nat. Med.</w:t>
      </w:r>
      <w:r>
        <w:rPr>
          <w:color w:val="000000" w:themeColor="text1"/>
        </w:rPr>
        <w:t xml:space="preserve"> </w:t>
      </w:r>
      <w:r>
        <w:rPr>
          <w:b/>
          <w:color w:val="000000" w:themeColor="text1"/>
        </w:rPr>
        <w:t>2025</w:t>
      </w:r>
      <w:r>
        <w:rPr>
          <w:color w:val="000000" w:themeColor="text1"/>
        </w:rPr>
        <w:t xml:space="preserve">, </w:t>
      </w:r>
      <w:r>
        <w:rPr>
          <w:i/>
          <w:color w:val="000000" w:themeColor="text1"/>
        </w:rPr>
        <w:t>31</w:t>
      </w:r>
      <w:r>
        <w:rPr>
          <w:color w:val="000000" w:themeColor="text1"/>
        </w:rPr>
        <w:t>, 3283–3289. https://doi.org/10.1038/s41591-025-03953-8.</w:t>
      </w:r>
    </w:p>
    <w:p w14:paraId="7D246A0D" w14:textId="77777777" w:rsidR="007C1CDA" w:rsidRPr="001A0468" w:rsidRDefault="007C1CDA" w:rsidP="006D1F3D">
      <w:pPr>
        <w:pStyle w:val="MDPI81references"/>
        <w:numPr>
          <w:ilvl w:val="0"/>
          <w:numId w:val="0"/>
        </w:numPr>
        <w:ind w:left="425"/>
      </w:pPr>
      <w:r>
        <w:rPr>
          <w:color w:val="000000" w:themeColor="text1"/>
        </w:rPr>
        <w:t xml:space="preserve">Collins, G.S.; Moons, K.G.M.; Dhiman, P.; Riley, R.D.; Beam, A.L.; Van Calster, B.; Ghassemi, M.; Liu, X.; Reitsma, J.B.; van Smeden, M.; et al. TRIPOD+AI Statement: Updated Guidance for Reporting Clinical Prediction Models That Use Regression or Machine Learning Methods. </w:t>
      </w:r>
      <w:r>
        <w:rPr>
          <w:i/>
          <w:color w:val="000000" w:themeColor="text1"/>
        </w:rPr>
        <w:t>BMJ</w:t>
      </w:r>
      <w:r>
        <w:rPr>
          <w:color w:val="000000" w:themeColor="text1"/>
        </w:rPr>
        <w:t xml:space="preserve"> </w:t>
      </w:r>
      <w:r>
        <w:rPr>
          <w:b/>
          <w:color w:val="000000" w:themeColor="text1"/>
        </w:rPr>
        <w:t>2024</w:t>
      </w:r>
      <w:r>
        <w:rPr>
          <w:color w:val="000000" w:themeColor="text1"/>
        </w:rPr>
        <w:t xml:space="preserve">, </w:t>
      </w:r>
      <w:r>
        <w:rPr>
          <w:i/>
          <w:color w:val="000000" w:themeColor="text1"/>
        </w:rPr>
        <w:t>385</w:t>
      </w:r>
      <w:r>
        <w:rPr>
          <w:color w:val="000000" w:themeColor="text1"/>
        </w:rPr>
        <w:t>, e078378. https://doi.org/10.1136/bmj-2023-078378.</w:t>
      </w:r>
    </w:p>
    <w:p w14:paraId="7D246A0D" w14:textId="77777777" w:rsidR="007C1CDA" w:rsidRPr="001A0468" w:rsidRDefault="007C1CDA" w:rsidP="006D1F3D">
      <w:pPr>
        <w:pStyle w:val="MDPI81references"/>
        <w:numPr>
          <w:ilvl w:val="0"/>
          <w:numId w:val="0"/>
        </w:numPr>
        <w:ind w:left="425"/>
      </w:pPr>
      <w:r>
        <w:rPr>
          <w:color w:val="000000" w:themeColor="text1"/>
        </w:rPr>
        <w:t xml:space="preserve">Debray, T.P.A.; Vergouwe, Y.; Koffijberg, H.; Nieboer, D.; Steyerberg, E.W.; Moons, K.G.M. A New Framework to Enhance the Interpretation of External Validation Studies of Clinical Prediction Models. </w:t>
      </w:r>
      <w:r>
        <w:rPr>
          <w:i/>
          <w:color w:val="000000" w:themeColor="text1"/>
        </w:rPr>
        <w:t>J. Clin. Epidemiol.</w:t>
      </w:r>
      <w:r>
        <w:rPr>
          <w:color w:val="000000" w:themeColor="text1"/>
        </w:rPr>
        <w:t xml:space="preserve"> </w:t>
      </w:r>
      <w:r>
        <w:rPr>
          <w:b/>
          <w:color w:val="000000" w:themeColor="text1"/>
        </w:rPr>
        <w:t>2015</w:t>
      </w:r>
      <w:r>
        <w:rPr>
          <w:color w:val="000000" w:themeColor="text1"/>
        </w:rPr>
        <w:t xml:space="preserve">, </w:t>
      </w:r>
      <w:r>
        <w:rPr>
          <w:i/>
          <w:color w:val="000000" w:themeColor="text1"/>
        </w:rPr>
        <w:t>68</w:t>
      </w:r>
      <w:r>
        <w:rPr>
          <w:color w:val="000000" w:themeColor="text1"/>
        </w:rPr>
        <w:t>, 279–289. https://doi.org/10.1016/j.jclinepi.2014.06.018.</w:t>
      </w:r>
    </w:p>
    <w:p w14:paraId="7D246A0D" w14:textId="77777777" w:rsidR="007C1CDA" w:rsidRPr="001A0468" w:rsidRDefault="007C1CDA" w:rsidP="006D1F3D">
      <w:pPr>
        <w:pStyle w:val="MDPI81references"/>
        <w:numPr>
          <w:ilvl w:val="0"/>
          <w:numId w:val="0"/>
        </w:numPr>
        <w:ind w:left="425"/>
      </w:pPr>
      <w:r>
        <w:rPr>
          <w:color w:val="000000" w:themeColor="text1"/>
        </w:rPr>
        <w:t xml:space="preserve">Steyerberg, E.W.; Vickers, A.J.; Cook, N.R.; Gerds, T.; Gonen, M.; Obuchowski, N.; Pencina, M.J.; Kattan, M.W. Assessing the Performance of Prediction Models: A Framework for Traditional and Novel Measures. </w:t>
      </w:r>
      <w:r>
        <w:rPr>
          <w:i/>
          <w:color w:val="000000" w:themeColor="text1"/>
        </w:rPr>
        <w:t>Epidemiology</w:t>
      </w:r>
      <w:r>
        <w:rPr>
          <w:color w:val="000000" w:themeColor="text1"/>
        </w:rPr>
        <w:t xml:space="preserve"> </w:t>
      </w:r>
      <w:r>
        <w:rPr>
          <w:b/>
          <w:color w:val="000000" w:themeColor="text1"/>
        </w:rPr>
        <w:t>2010</w:t>
      </w:r>
      <w:r>
        <w:rPr>
          <w:color w:val="000000" w:themeColor="text1"/>
        </w:rPr>
        <w:t xml:space="preserve">, </w:t>
      </w:r>
      <w:r>
        <w:rPr>
          <w:i/>
          <w:color w:val="000000" w:themeColor="text1"/>
        </w:rPr>
        <w:t>21</w:t>
      </w:r>
      <w:r>
        <w:rPr>
          <w:color w:val="000000" w:themeColor="text1"/>
        </w:rPr>
        <w:t>, 128–138. https://doi.org/10.1097/EDE.0b013e3181c30fb2.</w:t>
      </w:r>
    </w:p>
    <w:p w14:paraId="7D246A0D" w14:textId="77777777" w:rsidR="007C1CDA" w:rsidRPr="001A0468" w:rsidRDefault="007C1CDA" w:rsidP="006D1F3D">
      <w:pPr>
        <w:pStyle w:val="MDPI81references"/>
        <w:numPr>
          <w:ilvl w:val="0"/>
          <w:numId w:val="0"/>
        </w:numPr>
        <w:ind w:left="425"/>
      </w:pPr>
      <w:r>
        <w:rPr>
          <w:color w:val="000000" w:themeColor="text1"/>
        </w:rPr>
        <w:t xml:space="preserve">Ghassemi, M.; Oakden-Rayner, L.; Beam, A.L. The False Hope of Current Approaches to Explainable Artificial Intelligence in Health Care. </w:t>
      </w:r>
      <w:r>
        <w:rPr>
          <w:i/>
          <w:color w:val="000000" w:themeColor="text1"/>
        </w:rPr>
        <w:t>Lancet Digit. Health</w:t>
      </w:r>
      <w:r>
        <w:rPr>
          <w:color w:val="000000" w:themeColor="text1"/>
        </w:rPr>
        <w:t xml:space="preserve"> </w:t>
      </w:r>
      <w:r>
        <w:rPr>
          <w:b/>
          <w:color w:val="000000" w:themeColor="text1"/>
        </w:rPr>
        <w:t>2021</w:t>
      </w:r>
      <w:r>
        <w:rPr>
          <w:color w:val="000000" w:themeColor="text1"/>
        </w:rPr>
        <w:t xml:space="preserve">, </w:t>
      </w:r>
      <w:r>
        <w:rPr>
          <w:i/>
          <w:color w:val="000000" w:themeColor="text1"/>
        </w:rPr>
        <w:t>3</w:t>
      </w:r>
      <w:r>
        <w:rPr>
          <w:color w:val="000000" w:themeColor="text1"/>
        </w:rPr>
        <w:t>, e745–e750. https://doi.org/10.1016/S2589-7500(21)00208-9.</w:t>
      </w:r>
    </w:p>
    <w:p w14:paraId="63122B7D" w14:textId="77777777" w:rsidR="007C1CDA" w:rsidRPr="00A054DE" w:rsidRDefault="00A054DE" w:rsidP="006D1F3D">
      <w:pPr>
        <w:pStyle w:val="MDPI63notes"/>
      </w:pPr>
      <w:r>
        <w:rPr>
          <w:b/>
        </w:rPr>
        <w:t xml:space="preserve">Disclaimer/Publisher’s Note: </w:t>
      </w:r>
      <w:r>
        <w:t xml:space="preserve">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7C1CDA" w:rsidRPr="00A054DE" w:rsidSect="006D1F3D">
      <w:headerReference w:type="even" r:id="rId10"/>
      <w:headerReference w:type="default" r:id="rId11"/>
      <w:footerReference w:type="default" r:id="rId12"/>
      <w:headerReference w:type="first" r:id="rId13"/>
      <w:footerReference w:type="first" r:id="rId14"/>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034D6" w14:textId="77777777" w:rsidR="00BE74CB" w:rsidRPr="001A0468" w:rsidRDefault="00BE74CB">
      <w:pPr>
        <w:spacing w:line="240" w:lineRule="auto"/>
      </w:pPr>
      <w:r w:rsidRPr="001A0468">
        <w:separator/>
      </w:r>
    </w:p>
  </w:endnote>
  <w:endnote w:type="continuationSeparator" w:id="0">
    <w:p w14:paraId="5AADA99D" w14:textId="77777777" w:rsidR="00BE74CB" w:rsidRPr="001A0468" w:rsidRDefault="00BE74CB">
      <w:pPr>
        <w:spacing w:line="240" w:lineRule="auto"/>
      </w:pPr>
      <w:r w:rsidRPr="001A046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537FB" w14:textId="77777777" w:rsidR="00F1277D" w:rsidRPr="001A0468" w:rsidRDefault="00F1277D" w:rsidP="00F1277D">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352FE" w14:textId="77777777" w:rsidR="002F4399" w:rsidRPr="001A0468" w:rsidRDefault="002F4399" w:rsidP="004C34E8">
    <w:pPr>
      <w:pBdr>
        <w:top w:val="single" w:sz="4" w:space="0" w:color="000000"/>
      </w:pBdr>
      <w:tabs>
        <w:tab w:val="right" w:pos="8844"/>
      </w:tabs>
      <w:adjustRightInd w:val="0"/>
      <w:snapToGrid w:val="0"/>
      <w:spacing w:before="480" w:line="100" w:lineRule="exact"/>
      <w:jc w:val="left"/>
      <w:rPr>
        <w:i/>
        <w:sz w:val="16"/>
        <w:szCs w:val="16"/>
      </w:rPr>
    </w:pPr>
  </w:p>
  <w:p w14:paraId="59E3995D" w14:textId="77777777" w:rsidR="00F1277D" w:rsidRPr="001A0468" w:rsidRDefault="00F1277D" w:rsidP="008244B9">
    <w:pPr>
      <w:tabs>
        <w:tab w:val="right" w:pos="10466"/>
      </w:tabs>
      <w:adjustRightInd w:val="0"/>
      <w:snapToGrid w:val="0"/>
      <w:spacing w:line="240" w:lineRule="auto"/>
      <w:rPr>
        <w:sz w:val="16"/>
        <w:szCs w:val="16"/>
      </w:rPr>
    </w:pPr>
    <w:r w:rsidRPr="001A0468">
      <w:rPr>
        <w:i/>
        <w:sz w:val="16"/>
        <w:szCs w:val="16"/>
      </w:rPr>
      <w:t xml:space="preserve"/>
    </w:r>
    <w:r w:rsidR="006D1F3D" w:rsidRPr="001A0468">
      <w:rPr>
        <w:b/>
        <w:bCs/>
        <w:iCs/>
        <w:sz w:val="16"/>
        <w:szCs w:val="16"/>
      </w:rPr>
      <w:t/>
    </w:r>
    <w:r w:rsidR="004C7C2C" w:rsidRPr="001A0468">
      <w:rPr>
        <w:bCs/>
        <w:iCs/>
        <w:sz w:val="16"/>
        <w:szCs w:val="16"/>
      </w:rPr>
      <w:t/>
    </w:r>
    <w:r w:rsidR="006D1F3D" w:rsidRPr="001A0468">
      <w:rPr>
        <w:bCs/>
        <w:i/>
        <w:iCs/>
        <w:sz w:val="16"/>
        <w:szCs w:val="16"/>
      </w:rPr>
      <w:t xml:space="preserve"/>
    </w:r>
    <w:r w:rsidR="004C7C2C" w:rsidRPr="001A0468">
      <w:rPr>
        <w:bCs/>
        <w:iCs/>
        <w:sz w:val="16"/>
        <w:szCs w:val="16"/>
      </w:rPr>
      <w:t xml:space="preserve"/>
    </w:r>
    <w:r w:rsidR="00F97C0B" w:rsidRPr="001A0468">
      <w:rPr>
        <w:bCs/>
        <w:iCs/>
        <w:sz w:val="16"/>
        <w:szCs w:val="16"/>
      </w:rPr>
      <w:t/>
    </w:r>
    <w:r w:rsidR="008244B9" w:rsidRPr="001A0468">
      <w:rPr>
        <w:sz w:val="16"/>
        <w:szCs w:val="16"/>
      </w:rPr>
      <w:tab/>
    </w:r>
    <w:r w:rsidR="006D1F3D" w:rsidRPr="001A0468">
      <w:rPr>
        <w:sz w:val="16"/>
        <w:szCs w:val="16"/>
      </w:rPr>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E5860" w14:textId="77777777" w:rsidR="00BE74CB" w:rsidRPr="001A0468" w:rsidRDefault="00BE74CB">
      <w:pPr>
        <w:spacing w:line="240" w:lineRule="auto"/>
      </w:pPr>
      <w:r w:rsidRPr="001A0468">
        <w:separator/>
      </w:r>
    </w:p>
  </w:footnote>
  <w:footnote w:type="continuationSeparator" w:id="0">
    <w:p w14:paraId="6CE07D6C" w14:textId="77777777" w:rsidR="00BE74CB" w:rsidRPr="001A0468" w:rsidRDefault="00BE74CB">
      <w:pPr>
        <w:spacing w:line="240" w:lineRule="auto"/>
      </w:pPr>
      <w:r w:rsidRPr="001A046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109CB" w14:textId="77777777" w:rsidR="00F1277D" w:rsidRPr="001A0468" w:rsidRDefault="00F1277D" w:rsidP="00F1277D">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F8C48" w14:textId="77777777" w:rsidR="002F4399" w:rsidRPr="001A0468" w:rsidRDefault="00F1277D" w:rsidP="008244B9">
    <w:pPr>
      <w:tabs>
        <w:tab w:val="right" w:pos="10466"/>
      </w:tabs>
      <w:adjustRightInd w:val="0"/>
      <w:snapToGrid w:val="0"/>
      <w:spacing w:line="240" w:lineRule="auto"/>
      <w:rPr>
        <w:sz w:val="16"/>
      </w:rPr>
    </w:pPr>
    <w:r w:rsidRPr="001A0468">
      <w:rPr>
        <w:i/>
        <w:sz w:val="16"/>
      </w:rPr>
      <w:t xml:space="preserve">Diagnostics </w:t>
    </w:r>
    <w:r w:rsidR="006D1F3D" w:rsidRPr="001A0468">
      <w:rPr>
        <w:b/>
        <w:sz w:val="16"/>
      </w:rPr>
      <w:t/>
    </w:r>
    <w:r w:rsidR="004C7C2C" w:rsidRPr="001A0468">
      <w:rPr>
        <w:sz w:val="16"/>
      </w:rPr>
      <w:t/>
    </w:r>
    <w:r w:rsidR="006D1F3D" w:rsidRPr="001A0468">
      <w:rPr>
        <w:i/>
        <w:sz w:val="16"/>
      </w:rPr>
      <w:t xml:space="preserve"/>
    </w:r>
    <w:r w:rsidR="00F97C0B" w:rsidRPr="001A0468">
      <w:rPr>
        <w:sz w:val="16"/>
      </w:rPr>
      <w:t xml:space="preserve"/>
    </w:r>
    <w:r w:rsidR="006D1F3D" w:rsidRPr="001A0468">
      <w:rPr>
        <w:sz w:val="16"/>
      </w:rPr>
      <w:t/>
    </w:r>
    <w:r w:rsidR="006D1F3D" w:rsidRPr="001A0468">
      <w:rPr>
        <w:sz w:val="16"/>
      </w:rPr>
      <w:ptab w:relativeTo="margin" w:alignment="right" w:leader="none"/>
    </w:r>
    <w:r w:rsidR="006D1F3D" w:rsidRPr="001A0468">
      <w:rPr>
        <w:sz w:val="16"/>
      </w:rPr>
      <w:fldChar w:fldCharType="begin"/>
    </w:r>
    <w:r w:rsidR="006D1F3D" w:rsidRPr="001A0468">
      <w:rPr>
        <w:sz w:val="16"/>
      </w:rPr>
      <w:instrText xml:space="preserve"> PAGE   \* MERGEFORMAT </w:instrText>
    </w:r>
    <w:r w:rsidR="006D1F3D" w:rsidRPr="001A0468">
      <w:rPr>
        <w:sz w:val="16"/>
      </w:rPr>
      <w:fldChar w:fldCharType="separate"/>
    </w:r>
    <w:r w:rsidR="006D1F3D" w:rsidRPr="001A0468">
      <w:rPr>
        <w:sz w:val="16"/>
      </w:rPr>
      <w:t>2</w:t>
    </w:r>
    <w:r w:rsidR="006D1F3D" w:rsidRPr="001A0468">
      <w:rPr>
        <w:sz w:val="16"/>
      </w:rPr>
      <w:fldChar w:fldCharType="end"/>
    </w:r>
    <w:r w:rsidR="006D1F3D" w:rsidRPr="001A0468">
      <w:rPr>
        <w:sz w:val="16"/>
      </w:rPr>
      <w:t xml:space="preserve"> of </w:t>
    </w:r>
    <w:r w:rsidR="006D1F3D" w:rsidRPr="001A0468">
      <w:rPr>
        <w:sz w:val="16"/>
      </w:rPr>
      <w:fldChar w:fldCharType="begin"/>
    </w:r>
    <w:r w:rsidR="006D1F3D" w:rsidRPr="001A0468">
      <w:rPr>
        <w:sz w:val="16"/>
      </w:rPr>
      <w:instrText xml:space="preserve"> NUMPAGES   \* MERGEFORMAT </w:instrText>
    </w:r>
    <w:r w:rsidR="006D1F3D" w:rsidRPr="001A0468">
      <w:rPr>
        <w:sz w:val="16"/>
      </w:rPr>
      <w:fldChar w:fldCharType="separate"/>
    </w:r>
    <w:r w:rsidR="006D1F3D" w:rsidRPr="001A0468">
      <w:rPr>
        <w:sz w:val="16"/>
      </w:rPr>
      <w:t>7</w:t>
    </w:r>
    <w:r w:rsidR="006D1F3D" w:rsidRPr="001A0468">
      <w:rPr>
        <w:sz w:val="16"/>
      </w:rPr>
      <w:fldChar w:fldCharType="end"/>
    </w:r>
  </w:p>
  <w:p w14:paraId="6B757A00" w14:textId="77777777" w:rsidR="00F1277D" w:rsidRPr="001A0468" w:rsidRDefault="00F1277D" w:rsidP="004C34E8">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2F4399" w:rsidRPr="001A0468" w14:paraId="66127AB1" w14:textId="77777777" w:rsidTr="008F7645">
      <w:trPr>
        <w:trHeight w:val="686"/>
      </w:trPr>
      <w:tc>
        <w:tcPr>
          <w:tcW w:w="3679" w:type="dxa"/>
          <w:vAlign w:val="center"/>
        </w:tcPr>
        <w:p w14:paraId="536AED4B" w14:textId="77777777" w:rsidR="002F4399" w:rsidRPr="001A0468" w:rsidRDefault="00F17F40" w:rsidP="008244B9">
          <w:pPr>
            <w:pStyle w:val="Header"/>
            <w:pBdr>
              <w:bottom w:val="none" w:sz="0" w:space="0" w:color="auto"/>
            </w:pBdr>
            <w:jc w:val="left"/>
            <w:rPr>
              <w:rFonts w:eastAsia="DengXian"/>
              <w:b/>
              <w:bCs/>
            </w:rPr>
          </w:pPr>
          <w:r w:rsidRPr="001A0468">
            <w:rPr>
              <w:rFonts w:eastAsia="DengXian"/>
              <w:b/>
              <w:bCs/>
              <w:noProof/>
            </w:rPr>
            <w:drawing>
              <wp:inline distT="0" distB="0" distL="0" distR="0" wp14:anchorId="266D32D0" wp14:editId="5CB7B20A">
                <wp:extent cx="1542423" cy="432000"/>
                <wp:effectExtent l="0" t="0" r="635" b="6350"/>
                <wp:docPr id="5581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1520" name=""/>
                        <pic:cNvPicPr/>
                      </pic:nvPicPr>
                      <pic:blipFill>
                        <a:blip r:embed="rId1"/>
                        <a:stretch>
                          <a:fillRect/>
                        </a:stretch>
                      </pic:blipFill>
                      <pic:spPr>
                        <a:xfrm>
                          <a:off x="0" y="0"/>
                          <a:ext cx="1542423" cy="432000"/>
                        </a:xfrm>
                        <a:prstGeom prst="rect">
                          <a:avLst/>
                        </a:prstGeom>
                      </pic:spPr>
                    </pic:pic>
                  </a:graphicData>
                </a:graphic>
              </wp:inline>
            </w:drawing>
          </w:r>
        </w:p>
      </w:tc>
      <w:tc>
        <w:tcPr>
          <w:tcW w:w="4535" w:type="dxa"/>
          <w:vAlign w:val="center"/>
        </w:tcPr>
        <w:p w14:paraId="481E2FB6" w14:textId="77777777" w:rsidR="002F4399" w:rsidRPr="001A0468" w:rsidRDefault="002F4399" w:rsidP="008244B9">
          <w:pPr>
            <w:pStyle w:val="Header"/>
            <w:pBdr>
              <w:bottom w:val="none" w:sz="0" w:space="0" w:color="auto"/>
            </w:pBdr>
            <w:rPr>
              <w:rFonts w:eastAsia="DengXian"/>
              <w:b/>
              <w:bCs/>
            </w:rPr>
          </w:pPr>
        </w:p>
      </w:tc>
      <w:tc>
        <w:tcPr>
          <w:tcW w:w="2273" w:type="dxa"/>
          <w:vAlign w:val="center"/>
        </w:tcPr>
        <w:p w14:paraId="49192E4F" w14:textId="77777777" w:rsidR="002F4399" w:rsidRPr="001A0468" w:rsidRDefault="008F7645" w:rsidP="008F7645">
          <w:pPr>
            <w:pStyle w:val="Header"/>
            <w:pBdr>
              <w:bottom w:val="none" w:sz="0" w:space="0" w:color="auto"/>
            </w:pBdr>
            <w:jc w:val="right"/>
            <w:rPr>
              <w:rFonts w:eastAsia="DengXian"/>
              <w:b/>
              <w:bCs/>
            </w:rPr>
          </w:pPr>
          <w:r w:rsidRPr="001A0468">
            <w:rPr>
              <w:rFonts w:eastAsia="DengXian"/>
              <w:b/>
              <w:bCs/>
              <w:noProof/>
            </w:rPr>
            <w:drawing>
              <wp:inline distT="0" distB="0" distL="0" distR="0" wp14:anchorId="4EF1E053" wp14:editId="4D7FA45B">
                <wp:extent cx="540000" cy="360000"/>
                <wp:effectExtent l="0" t="0" r="0" b="2540"/>
                <wp:docPr id="1859630180" name="Picture 1"/>
                <wp:cNvGraphicFramePr/>
                <a:graphic xmlns:a="http://schemas.openxmlformats.org/drawingml/2006/main">
                  <a:graphicData uri="http://schemas.openxmlformats.org/drawingml/2006/picture">
                    <pic:pic xmlns:pic="http://schemas.openxmlformats.org/drawingml/2006/picture">
                      <pic:nvPicPr>
                        <pic:cNvPr id="1859630180" name=""/>
                        <pic:cNvPicPr/>
                      </pic:nvPicPr>
                      <pic:blipFill>
                        <a:blip r:embed="rId2"/>
                        <a:stretch>
                          <a:fillRect/>
                        </a:stretch>
                      </pic:blipFill>
                      <pic:spPr>
                        <a:xfrm>
                          <a:off x="0" y="0"/>
                          <a:ext cx="540000" cy="360000"/>
                        </a:xfrm>
                        <a:prstGeom prst="rect">
                          <a:avLst/>
                        </a:prstGeom>
                      </pic:spPr>
                    </pic:pic>
                  </a:graphicData>
                </a:graphic>
              </wp:inline>
            </w:drawing>
          </w:r>
        </w:p>
      </w:tc>
    </w:tr>
  </w:tbl>
  <w:p w14:paraId="6DF9CB03" w14:textId="77777777" w:rsidR="00F1277D" w:rsidRPr="001A0468" w:rsidRDefault="00F1277D" w:rsidP="006D1F3D">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37DA4"/>
    <w:multiLevelType w:val="hybridMultilevel"/>
    <w:tmpl w:val="9DCC18D0"/>
    <w:lvl w:ilvl="0" w:tplc="1B4A346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0A7C9E58"/>
    <w:lvl w:ilvl="0" w:tplc="29F60EA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8CE7A6F"/>
    <w:multiLevelType w:val="hybridMultilevel"/>
    <w:tmpl w:val="E8A6BE1E"/>
    <w:lvl w:ilvl="0" w:tplc="595EF18A">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F3720F"/>
    <w:multiLevelType w:val="hybridMultilevel"/>
    <w:tmpl w:val="778E0D1C"/>
    <w:lvl w:ilvl="0" w:tplc="47D41B6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7435843">
    <w:abstractNumId w:val="4"/>
  </w:num>
  <w:num w:numId="2" w16cid:durableId="2067558058">
    <w:abstractNumId w:val="6"/>
  </w:num>
  <w:num w:numId="3" w16cid:durableId="705176169">
    <w:abstractNumId w:val="3"/>
  </w:num>
  <w:num w:numId="4" w16cid:durableId="22474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0465304">
    <w:abstractNumId w:val="5"/>
  </w:num>
  <w:num w:numId="6" w16cid:durableId="336930266">
    <w:abstractNumId w:val="10"/>
  </w:num>
  <w:num w:numId="7" w16cid:durableId="645429088">
    <w:abstractNumId w:val="2"/>
  </w:num>
  <w:num w:numId="8" w16cid:durableId="805199283">
    <w:abstractNumId w:val="10"/>
  </w:num>
  <w:num w:numId="9" w16cid:durableId="244071345">
    <w:abstractNumId w:val="2"/>
  </w:num>
  <w:num w:numId="10" w16cid:durableId="657226210">
    <w:abstractNumId w:val="10"/>
  </w:num>
  <w:num w:numId="11" w16cid:durableId="140849554">
    <w:abstractNumId w:val="2"/>
  </w:num>
  <w:num w:numId="12" w16cid:durableId="1514607303">
    <w:abstractNumId w:val="11"/>
  </w:num>
  <w:num w:numId="13" w16cid:durableId="960066478">
    <w:abstractNumId w:val="10"/>
  </w:num>
  <w:num w:numId="14" w16cid:durableId="2051219325">
    <w:abstractNumId w:val="2"/>
  </w:num>
  <w:num w:numId="15" w16cid:durableId="1483038518">
    <w:abstractNumId w:val="1"/>
  </w:num>
  <w:num w:numId="16" w16cid:durableId="1036740188">
    <w:abstractNumId w:val="9"/>
  </w:num>
  <w:num w:numId="17" w16cid:durableId="1196501769">
    <w:abstractNumId w:val="0"/>
  </w:num>
  <w:num w:numId="18" w16cid:durableId="955216231">
    <w:abstractNumId w:val="10"/>
  </w:num>
  <w:num w:numId="19" w16cid:durableId="2072149230">
    <w:abstractNumId w:val="2"/>
  </w:num>
  <w:num w:numId="20" w16cid:durableId="791288244">
    <w:abstractNumId w:val="1"/>
  </w:num>
  <w:num w:numId="21" w16cid:durableId="1117218266">
    <w:abstractNumId w:val="0"/>
  </w:num>
  <w:num w:numId="22" w16cid:durableId="705714496">
    <w:abstractNumId w:val="8"/>
  </w:num>
  <w:num w:numId="23" w16cid:durableId="510005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AC8"/>
    <w:rsid w:val="00007207"/>
    <w:rsid w:val="00013D75"/>
    <w:rsid w:val="000164B0"/>
    <w:rsid w:val="00030B46"/>
    <w:rsid w:val="00054A98"/>
    <w:rsid w:val="00061C10"/>
    <w:rsid w:val="00073F7C"/>
    <w:rsid w:val="00092C95"/>
    <w:rsid w:val="000B0016"/>
    <w:rsid w:val="000B7CB5"/>
    <w:rsid w:val="000F467E"/>
    <w:rsid w:val="000F5580"/>
    <w:rsid w:val="00126651"/>
    <w:rsid w:val="00132F5E"/>
    <w:rsid w:val="001505DB"/>
    <w:rsid w:val="00176AFB"/>
    <w:rsid w:val="00184462"/>
    <w:rsid w:val="001961E4"/>
    <w:rsid w:val="001A0468"/>
    <w:rsid w:val="001A6901"/>
    <w:rsid w:val="001B4F61"/>
    <w:rsid w:val="001C0886"/>
    <w:rsid w:val="001C3DE8"/>
    <w:rsid w:val="001D79D4"/>
    <w:rsid w:val="001E2469"/>
    <w:rsid w:val="001E2AEB"/>
    <w:rsid w:val="001E5F1B"/>
    <w:rsid w:val="001E6509"/>
    <w:rsid w:val="0020045E"/>
    <w:rsid w:val="002134D1"/>
    <w:rsid w:val="00225608"/>
    <w:rsid w:val="0023048B"/>
    <w:rsid w:val="00235537"/>
    <w:rsid w:val="00247F3A"/>
    <w:rsid w:val="00250A90"/>
    <w:rsid w:val="00260AEA"/>
    <w:rsid w:val="00266FA8"/>
    <w:rsid w:val="002704EA"/>
    <w:rsid w:val="00270FD5"/>
    <w:rsid w:val="00295161"/>
    <w:rsid w:val="002A0454"/>
    <w:rsid w:val="002A25A3"/>
    <w:rsid w:val="002B1E7B"/>
    <w:rsid w:val="002C3BB4"/>
    <w:rsid w:val="002D4077"/>
    <w:rsid w:val="002D75EC"/>
    <w:rsid w:val="002F10C7"/>
    <w:rsid w:val="002F4399"/>
    <w:rsid w:val="002F6FA4"/>
    <w:rsid w:val="002F6FFF"/>
    <w:rsid w:val="00326141"/>
    <w:rsid w:val="00331773"/>
    <w:rsid w:val="00335ED0"/>
    <w:rsid w:val="00340315"/>
    <w:rsid w:val="00347E92"/>
    <w:rsid w:val="00381F51"/>
    <w:rsid w:val="00396A9C"/>
    <w:rsid w:val="003B2401"/>
    <w:rsid w:val="003B4C16"/>
    <w:rsid w:val="003D7BB8"/>
    <w:rsid w:val="003F2905"/>
    <w:rsid w:val="003F328F"/>
    <w:rsid w:val="00401D30"/>
    <w:rsid w:val="00435E83"/>
    <w:rsid w:val="004524FF"/>
    <w:rsid w:val="00454A4A"/>
    <w:rsid w:val="0047542C"/>
    <w:rsid w:val="00481F84"/>
    <w:rsid w:val="00483986"/>
    <w:rsid w:val="004854D9"/>
    <w:rsid w:val="00491E1B"/>
    <w:rsid w:val="00497A05"/>
    <w:rsid w:val="004A09E2"/>
    <w:rsid w:val="004A5019"/>
    <w:rsid w:val="004A7E7E"/>
    <w:rsid w:val="004B6062"/>
    <w:rsid w:val="004C34E8"/>
    <w:rsid w:val="004C76DD"/>
    <w:rsid w:val="004C7C2C"/>
    <w:rsid w:val="004D23FC"/>
    <w:rsid w:val="004D6841"/>
    <w:rsid w:val="004F5EE7"/>
    <w:rsid w:val="00501924"/>
    <w:rsid w:val="005314C2"/>
    <w:rsid w:val="005452CD"/>
    <w:rsid w:val="00545B32"/>
    <w:rsid w:val="0055258A"/>
    <w:rsid w:val="00563F8C"/>
    <w:rsid w:val="00564ED2"/>
    <w:rsid w:val="00586D34"/>
    <w:rsid w:val="005C4B93"/>
    <w:rsid w:val="005C6726"/>
    <w:rsid w:val="005D5420"/>
    <w:rsid w:val="005E5501"/>
    <w:rsid w:val="005F60CF"/>
    <w:rsid w:val="00604882"/>
    <w:rsid w:val="006320EE"/>
    <w:rsid w:val="00643C8E"/>
    <w:rsid w:val="006515A7"/>
    <w:rsid w:val="006539A7"/>
    <w:rsid w:val="00662394"/>
    <w:rsid w:val="00671FBF"/>
    <w:rsid w:val="00671FD1"/>
    <w:rsid w:val="00684FC0"/>
    <w:rsid w:val="00692393"/>
    <w:rsid w:val="00694F17"/>
    <w:rsid w:val="00697840"/>
    <w:rsid w:val="006B599F"/>
    <w:rsid w:val="006B6DE7"/>
    <w:rsid w:val="006C4DAF"/>
    <w:rsid w:val="006D1F3D"/>
    <w:rsid w:val="006E22B1"/>
    <w:rsid w:val="006F6AD5"/>
    <w:rsid w:val="0070063D"/>
    <w:rsid w:val="0072027F"/>
    <w:rsid w:val="0073728B"/>
    <w:rsid w:val="00741861"/>
    <w:rsid w:val="007474A9"/>
    <w:rsid w:val="00760E13"/>
    <w:rsid w:val="00787B55"/>
    <w:rsid w:val="00791896"/>
    <w:rsid w:val="007B0621"/>
    <w:rsid w:val="007C1CDA"/>
    <w:rsid w:val="007F15EC"/>
    <w:rsid w:val="007F5EB6"/>
    <w:rsid w:val="007F627F"/>
    <w:rsid w:val="008060C7"/>
    <w:rsid w:val="00812901"/>
    <w:rsid w:val="008244B9"/>
    <w:rsid w:val="0085755C"/>
    <w:rsid w:val="00862536"/>
    <w:rsid w:val="00865AC6"/>
    <w:rsid w:val="00866286"/>
    <w:rsid w:val="008838FC"/>
    <w:rsid w:val="00883ADD"/>
    <w:rsid w:val="00886AC8"/>
    <w:rsid w:val="008B21E3"/>
    <w:rsid w:val="008C2375"/>
    <w:rsid w:val="008D2C40"/>
    <w:rsid w:val="008E43BC"/>
    <w:rsid w:val="008F7645"/>
    <w:rsid w:val="0090634D"/>
    <w:rsid w:val="00911D7D"/>
    <w:rsid w:val="00915926"/>
    <w:rsid w:val="00926358"/>
    <w:rsid w:val="00941F95"/>
    <w:rsid w:val="00947E23"/>
    <w:rsid w:val="00954876"/>
    <w:rsid w:val="0095592C"/>
    <w:rsid w:val="00957FCA"/>
    <w:rsid w:val="00981C19"/>
    <w:rsid w:val="00985255"/>
    <w:rsid w:val="00990AA3"/>
    <w:rsid w:val="009B0F3A"/>
    <w:rsid w:val="009B6587"/>
    <w:rsid w:val="009E4B64"/>
    <w:rsid w:val="009E6AEB"/>
    <w:rsid w:val="009F70E6"/>
    <w:rsid w:val="00A01E0D"/>
    <w:rsid w:val="00A054DE"/>
    <w:rsid w:val="00A120CD"/>
    <w:rsid w:val="00A15456"/>
    <w:rsid w:val="00A44D35"/>
    <w:rsid w:val="00A4506D"/>
    <w:rsid w:val="00A5467C"/>
    <w:rsid w:val="00A67AA9"/>
    <w:rsid w:val="00A7099E"/>
    <w:rsid w:val="00A73DC5"/>
    <w:rsid w:val="00A744C4"/>
    <w:rsid w:val="00A776AA"/>
    <w:rsid w:val="00A77F88"/>
    <w:rsid w:val="00A90CDF"/>
    <w:rsid w:val="00A9280F"/>
    <w:rsid w:val="00AA115C"/>
    <w:rsid w:val="00AC3F86"/>
    <w:rsid w:val="00B13530"/>
    <w:rsid w:val="00B21EF0"/>
    <w:rsid w:val="00B329F2"/>
    <w:rsid w:val="00B5330D"/>
    <w:rsid w:val="00B6423E"/>
    <w:rsid w:val="00B64378"/>
    <w:rsid w:val="00B65CD8"/>
    <w:rsid w:val="00B83F29"/>
    <w:rsid w:val="00B86987"/>
    <w:rsid w:val="00B95C2F"/>
    <w:rsid w:val="00BC77CF"/>
    <w:rsid w:val="00BE74CB"/>
    <w:rsid w:val="00BF39E3"/>
    <w:rsid w:val="00C06B40"/>
    <w:rsid w:val="00C077BE"/>
    <w:rsid w:val="00C12F6B"/>
    <w:rsid w:val="00C14E68"/>
    <w:rsid w:val="00C2125A"/>
    <w:rsid w:val="00C220A1"/>
    <w:rsid w:val="00C37459"/>
    <w:rsid w:val="00C94760"/>
    <w:rsid w:val="00CB5CC4"/>
    <w:rsid w:val="00CB7A69"/>
    <w:rsid w:val="00CD3F81"/>
    <w:rsid w:val="00CF5D67"/>
    <w:rsid w:val="00D00E18"/>
    <w:rsid w:val="00D0760F"/>
    <w:rsid w:val="00D14C36"/>
    <w:rsid w:val="00D2020E"/>
    <w:rsid w:val="00D20290"/>
    <w:rsid w:val="00D21D2E"/>
    <w:rsid w:val="00D4514A"/>
    <w:rsid w:val="00D727CC"/>
    <w:rsid w:val="00D8038F"/>
    <w:rsid w:val="00D85F80"/>
    <w:rsid w:val="00D949EE"/>
    <w:rsid w:val="00DB3246"/>
    <w:rsid w:val="00DC0B90"/>
    <w:rsid w:val="00DE5E15"/>
    <w:rsid w:val="00E2332E"/>
    <w:rsid w:val="00E413C9"/>
    <w:rsid w:val="00E44645"/>
    <w:rsid w:val="00E47504"/>
    <w:rsid w:val="00E47C2E"/>
    <w:rsid w:val="00E52BAD"/>
    <w:rsid w:val="00E648A5"/>
    <w:rsid w:val="00E76A66"/>
    <w:rsid w:val="00E77632"/>
    <w:rsid w:val="00E87069"/>
    <w:rsid w:val="00E911E5"/>
    <w:rsid w:val="00EB2850"/>
    <w:rsid w:val="00EB7E41"/>
    <w:rsid w:val="00EC4E34"/>
    <w:rsid w:val="00ED43E4"/>
    <w:rsid w:val="00ED7886"/>
    <w:rsid w:val="00EE03CA"/>
    <w:rsid w:val="00EE34AB"/>
    <w:rsid w:val="00F1277D"/>
    <w:rsid w:val="00F17F40"/>
    <w:rsid w:val="00F326B3"/>
    <w:rsid w:val="00F34FEE"/>
    <w:rsid w:val="00F41042"/>
    <w:rsid w:val="00F515E1"/>
    <w:rsid w:val="00F70F25"/>
    <w:rsid w:val="00F77DC6"/>
    <w:rsid w:val="00F97C0B"/>
    <w:rsid w:val="00FA7223"/>
    <w:rsid w:val="00FB035B"/>
    <w:rsid w:val="00FC076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08837F1"/>
  <w15:chartTrackingRefBased/>
  <w15:docId w15:val="{F9E1D5FF-A285-4F7F-B0F1-039B064B5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CDA"/>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7C1CDA"/>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7C1CDA"/>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7C1CDA"/>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7C1CDA"/>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7C1CDA"/>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7C1CDA"/>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7C1CDA"/>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7C1CDA"/>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D85F80"/>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7C1CDA"/>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7C1CDA"/>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7C1CDA"/>
    <w:rPr>
      <w:rFonts w:ascii="Palatino Linotype" w:hAnsi="Palatino Linotype"/>
      <w:noProof/>
      <w:color w:val="000000"/>
      <w:szCs w:val="18"/>
    </w:rPr>
  </w:style>
  <w:style w:type="paragraph" w:styleId="Header">
    <w:name w:val="header"/>
    <w:basedOn w:val="Normal"/>
    <w:link w:val="HeaderChar"/>
    <w:uiPriority w:val="99"/>
    <w:rsid w:val="007C1CDA"/>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7C1CDA"/>
    <w:rPr>
      <w:rFonts w:ascii="Palatino Linotype" w:hAnsi="Palatino Linotype"/>
      <w:noProof/>
      <w:color w:val="000000"/>
      <w:szCs w:val="18"/>
    </w:rPr>
  </w:style>
  <w:style w:type="paragraph" w:customStyle="1" w:styleId="MDPI32textnoindent">
    <w:name w:val="MDPI_3.2_text_no_indent"/>
    <w:basedOn w:val="MDPI31text"/>
    <w:qFormat/>
    <w:rsid w:val="007C1CDA"/>
    <w:pPr>
      <w:ind w:firstLine="0"/>
    </w:pPr>
  </w:style>
  <w:style w:type="paragraph" w:customStyle="1" w:styleId="MDPI31text">
    <w:name w:val="MDPI_3.1_text"/>
    <w:qFormat/>
    <w:rsid w:val="00671FB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7C1CDA"/>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7C1CDA"/>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7C1CDA"/>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EE03CA"/>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EE03CA"/>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7C1CDA"/>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7C1CDA"/>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7C1CDA"/>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381F51"/>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7C1CDA"/>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7C1CDA"/>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7C1CDA"/>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7C1CDA"/>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7C1CDA"/>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7C1CDA"/>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1E5F1B"/>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7C1CDA"/>
    <w:rPr>
      <w:rFonts w:cs="Tahoma"/>
      <w:szCs w:val="18"/>
    </w:rPr>
  </w:style>
  <w:style w:type="character" w:customStyle="1" w:styleId="BalloonTextChar">
    <w:name w:val="Balloon Text Char"/>
    <w:link w:val="BalloonText"/>
    <w:uiPriority w:val="99"/>
    <w:rsid w:val="007C1CDA"/>
    <w:rPr>
      <w:rFonts w:ascii="Palatino Linotype" w:hAnsi="Palatino Linotype" w:cs="Tahoma"/>
      <w:noProof/>
      <w:color w:val="000000"/>
      <w:szCs w:val="18"/>
    </w:rPr>
  </w:style>
  <w:style w:type="character" w:styleId="LineNumber">
    <w:name w:val="line number"/>
    <w:uiPriority w:val="99"/>
    <w:rsid w:val="00A15456"/>
    <w:rPr>
      <w:rFonts w:ascii="Palatino Linotype" w:hAnsi="Palatino Linotype"/>
      <w:sz w:val="16"/>
    </w:rPr>
  </w:style>
  <w:style w:type="table" w:customStyle="1" w:styleId="MDPI41threelinetable">
    <w:name w:val="MDPI_4.1_three_line_table"/>
    <w:basedOn w:val="TableNormal"/>
    <w:uiPriority w:val="99"/>
    <w:rsid w:val="007C1CDA"/>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7C1CDA"/>
    <w:rPr>
      <w:color w:val="0000FF"/>
      <w:u w:val="single"/>
    </w:rPr>
  </w:style>
  <w:style w:type="character" w:styleId="UnresolvedMention">
    <w:name w:val="Unresolved Mention"/>
    <w:uiPriority w:val="99"/>
    <w:semiHidden/>
    <w:unhideWhenUsed/>
    <w:rsid w:val="00F70F25"/>
    <w:rPr>
      <w:color w:val="605E5C"/>
      <w:shd w:val="clear" w:color="auto" w:fill="E1DFDD"/>
    </w:rPr>
  </w:style>
  <w:style w:type="table" w:styleId="PlainTable4">
    <w:name w:val="Plain Table 4"/>
    <w:basedOn w:val="TableNormal"/>
    <w:uiPriority w:val="44"/>
    <w:rsid w:val="004C7C2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7C1CDA"/>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7C1CDA"/>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7C1CDA"/>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7C1CDA"/>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7C1CDA"/>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7C1CDA"/>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7474A9"/>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7C1CDA"/>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7C1CDA"/>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3F328F"/>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7C1CDA"/>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7C1CDA"/>
  </w:style>
  <w:style w:type="paragraph" w:styleId="Bibliography">
    <w:name w:val="Bibliography"/>
    <w:basedOn w:val="Normal"/>
    <w:next w:val="Normal"/>
    <w:uiPriority w:val="37"/>
    <w:semiHidden/>
    <w:unhideWhenUsed/>
    <w:rsid w:val="007C1CDA"/>
  </w:style>
  <w:style w:type="paragraph" w:styleId="BodyText">
    <w:name w:val="Body Text"/>
    <w:link w:val="BodyTextChar"/>
    <w:rsid w:val="007C1CDA"/>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7C1CDA"/>
    <w:rPr>
      <w:rFonts w:ascii="Palatino Linotype" w:hAnsi="Palatino Linotype"/>
      <w:color w:val="000000"/>
      <w:sz w:val="24"/>
      <w:lang w:eastAsia="de-DE"/>
    </w:rPr>
  </w:style>
  <w:style w:type="character" w:styleId="CommentReference">
    <w:name w:val="annotation reference"/>
    <w:rsid w:val="007C1CDA"/>
    <w:rPr>
      <w:sz w:val="21"/>
      <w:szCs w:val="21"/>
    </w:rPr>
  </w:style>
  <w:style w:type="paragraph" w:styleId="CommentText">
    <w:name w:val="annotation text"/>
    <w:basedOn w:val="Normal"/>
    <w:link w:val="CommentTextChar"/>
    <w:rsid w:val="007C1CDA"/>
  </w:style>
  <w:style w:type="character" w:customStyle="1" w:styleId="CommentTextChar">
    <w:name w:val="Comment Text Char"/>
    <w:link w:val="CommentText"/>
    <w:rsid w:val="007C1CDA"/>
    <w:rPr>
      <w:rFonts w:ascii="Palatino Linotype" w:hAnsi="Palatino Linotype"/>
      <w:noProof/>
      <w:color w:val="000000"/>
    </w:rPr>
  </w:style>
  <w:style w:type="paragraph" w:styleId="CommentSubject">
    <w:name w:val="annotation subject"/>
    <w:basedOn w:val="CommentText"/>
    <w:next w:val="CommentText"/>
    <w:link w:val="CommentSubjectChar"/>
    <w:rsid w:val="007C1CDA"/>
    <w:rPr>
      <w:b/>
      <w:bCs/>
    </w:rPr>
  </w:style>
  <w:style w:type="character" w:customStyle="1" w:styleId="CommentSubjectChar">
    <w:name w:val="Comment Subject Char"/>
    <w:link w:val="CommentSubject"/>
    <w:rsid w:val="007C1CDA"/>
    <w:rPr>
      <w:rFonts w:ascii="Palatino Linotype" w:hAnsi="Palatino Linotype"/>
      <w:b/>
      <w:bCs/>
      <w:noProof/>
      <w:color w:val="000000"/>
    </w:rPr>
  </w:style>
  <w:style w:type="character" w:styleId="EndnoteReference">
    <w:name w:val="endnote reference"/>
    <w:rsid w:val="007C1CDA"/>
    <w:rPr>
      <w:vertAlign w:val="superscript"/>
    </w:rPr>
  </w:style>
  <w:style w:type="paragraph" w:styleId="EndnoteText">
    <w:name w:val="endnote text"/>
    <w:basedOn w:val="Normal"/>
    <w:link w:val="EndnoteTextChar"/>
    <w:semiHidden/>
    <w:unhideWhenUsed/>
    <w:rsid w:val="007C1CDA"/>
    <w:pPr>
      <w:spacing w:line="240" w:lineRule="auto"/>
    </w:pPr>
  </w:style>
  <w:style w:type="character" w:customStyle="1" w:styleId="EndnoteTextChar">
    <w:name w:val="Endnote Text Char"/>
    <w:link w:val="EndnoteText"/>
    <w:semiHidden/>
    <w:rsid w:val="007C1CDA"/>
    <w:rPr>
      <w:rFonts w:ascii="Palatino Linotype" w:hAnsi="Palatino Linotype"/>
      <w:noProof/>
      <w:color w:val="000000"/>
    </w:rPr>
  </w:style>
  <w:style w:type="character" w:styleId="FollowedHyperlink">
    <w:name w:val="FollowedHyperlink"/>
    <w:rsid w:val="007C1CDA"/>
    <w:rPr>
      <w:color w:val="954F72"/>
      <w:u w:val="single"/>
    </w:rPr>
  </w:style>
  <w:style w:type="paragraph" w:styleId="FootnoteText">
    <w:name w:val="footnote text"/>
    <w:basedOn w:val="Normal"/>
    <w:link w:val="FootnoteTextChar"/>
    <w:semiHidden/>
    <w:unhideWhenUsed/>
    <w:rsid w:val="007C1CDA"/>
    <w:pPr>
      <w:spacing w:line="240" w:lineRule="auto"/>
    </w:pPr>
  </w:style>
  <w:style w:type="character" w:customStyle="1" w:styleId="FootnoteTextChar">
    <w:name w:val="Footnote Text Char"/>
    <w:link w:val="FootnoteText"/>
    <w:semiHidden/>
    <w:rsid w:val="007C1CDA"/>
    <w:rPr>
      <w:rFonts w:ascii="Palatino Linotype" w:hAnsi="Palatino Linotype"/>
      <w:noProof/>
      <w:color w:val="000000"/>
    </w:rPr>
  </w:style>
  <w:style w:type="paragraph" w:styleId="NormalWeb">
    <w:name w:val="Normal (Web)"/>
    <w:basedOn w:val="Normal"/>
    <w:uiPriority w:val="99"/>
    <w:rsid w:val="007C1CDA"/>
    <w:rPr>
      <w:szCs w:val="24"/>
    </w:rPr>
  </w:style>
  <w:style w:type="paragraph" w:customStyle="1" w:styleId="MsoFootnoteText0">
    <w:name w:val="MsoFootnoteText"/>
    <w:basedOn w:val="NormalWeb"/>
    <w:qFormat/>
    <w:rsid w:val="007C1CDA"/>
    <w:rPr>
      <w:rFonts w:ascii="Times New Roman" w:hAnsi="Times New Roman"/>
    </w:rPr>
  </w:style>
  <w:style w:type="character" w:styleId="PageNumber">
    <w:name w:val="page number"/>
    <w:rsid w:val="007C1CDA"/>
  </w:style>
  <w:style w:type="character" w:styleId="PlaceholderText">
    <w:name w:val="Placeholder Text"/>
    <w:uiPriority w:val="99"/>
    <w:semiHidden/>
    <w:rsid w:val="007C1CDA"/>
    <w:rPr>
      <w:color w:val="808080"/>
    </w:rPr>
  </w:style>
  <w:style w:type="paragraph" w:customStyle="1" w:styleId="MDPI71footnotes">
    <w:name w:val="MDPI_7.1_footnotes"/>
    <w:qFormat/>
    <w:rsid w:val="006C4DAF"/>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C212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mg.mdpi.org/data/contributor-role-instruction.pdf" TargetMode="External"/><Relationship Id="rId14" Type="http://schemas.openxmlformats.org/officeDocument/2006/relationships/footer" Target="footer2.xm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sama\Downloads\diagnostic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diagnostics-template</Template>
  <TotalTime>0</TotalTime>
  <Pages>6</Pages>
  <Words>2419</Words>
  <Characters>13789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Transformer-Based Artificial Intelligence Models Ready for Glaucoma Screening from Retinal Imaging? A Systematic Review of Validation Rigour, Early-Disease Evidence, and Risk of Bias</dc:title>
  <dc:subject>Systematic Review</dc:subject>
  <dc:creator>Majed S. Alsanea; Moulay Ibrahim El-Khalil Ghembaza; Ashit Kumar Dutta; Mujeeb Ahmed Shaikh</dc:creator>
  <cp:keywords>glaucoma; vision transformer; deep learning; artificial intelligence; fundus image; optical coherence tomography; early diagnosis; external validation; risk of bias; PROBAST+AI</cp:keywords>
  <dc:description/>
  <cp:lastModifiedBy>Moulay Ibrahim El-Khalil Ghembaza</cp:lastModifiedBy>
  <cp:revision>1</cp:revision>
  <dcterms:created xsi:type="dcterms:W3CDTF">2026-09-29T12:00:00Z</dcterms:created>
  <dcterms:modified xsi:type="dcterms:W3CDTF">2026-09-29T12:00:00Z</dcterms:modified>
  <cp:category/>
</cp:coreProperties>
</file>