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t>29 September 2026</w:t>
      </w:r>
    </w:p>
    <w:p>
      <w:pPr>
        <w:spacing w:after="0"/>
      </w:pPr>
      <w:r>
        <w:rPr>
          <w:b w:val="0"/>
          <w:i w:val="0"/>
        </w:rPr>
        <w:t>Prof. Dr. Jae-Ho Han, Guest Editor</w:t>
      </w:r>
    </w:p>
    <w:p>
      <w:pPr>
        <w:spacing w:after="0"/>
      </w:pPr>
      <w:r>
        <w:rPr>
          <w:b w:val="0"/>
          <w:i w:val="0"/>
        </w:rPr>
        <w:t>Special Issue “Artificial Intelligence in Eye Disease, Fifth Edition”</w:t>
      </w:r>
    </w:p>
    <w:p>
      <w:pPr>
        <w:spacing w:after="240"/>
      </w:pPr>
      <w:r>
        <w:rPr>
          <w:b w:val="0"/>
          <w:i w:val="0"/>
        </w:rPr>
        <w:t>Diagnostics (MDPI), Section “Machine Learning and Artificial Intelligence in Diagnostics”</w:t>
      </w:r>
    </w:p>
    <w:p>
      <w:pPr>
        <w:spacing w:after="200"/>
      </w:pPr>
      <w:r>
        <w:rPr>
          <w:b w:val="0"/>
          <w:i w:val="0"/>
        </w:rPr>
        <w:t>Dear Prof. Han,</w:t>
      </w:r>
    </w:p>
    <w:p>
      <w:r>
        <w:t>On behalf of all authors, I submit our manuscript entitled “</w:t>
      </w:r>
      <w:r>
        <w:rPr>
          <w:i/>
        </w:rPr>
        <w:t>Are Transformer-Based Artificial Intelligence Models Ready for Glaucoma Screening from Retinal Imaging? A Systematic Review of Validation Rigour, Early-Disease Evidence, and Risk of Bias</w:t>
      </w:r>
      <w:r>
        <w:t xml:space="preserve">” for consideration as a Systematic Review in </w:t>
      </w:r>
      <w:r>
        <w:rPr>
          <w:i/>
        </w:rPr>
        <w:t>Diagnostics</w:t>
      </w:r>
      <w:r>
        <w:t>, for the Special Issue “Artificial Intelligence in Eye Disease, Fifth Edition”.</w:t>
      </w:r>
    </w:p>
    <w:p>
      <w:r>
        <w:rPr>
          <w:b w:val="0"/>
          <w:i w:val="0"/>
        </w:rPr>
        <w:t>Artificial intelligence is increasingly proposed as a way to extend glaucoma case finding beyond specialist clinics, and transformer-based models now report near-perfect accuracy on retinal images. Health systems, regulators, and purchasers need to know whether these results can support screening or referral decisions. Our review answers this question directly, and the answer is that they cannot yet do so.</w:t>
      </w:r>
    </w:p>
    <w:p>
      <w:pPr>
        <w:spacing w:after="80"/>
      </w:pPr>
      <w:r>
        <w:rPr>
          <w:b/>
          <w:i w:val="0"/>
        </w:rPr>
        <w:t>Principal findings</w:t>
      </w:r>
    </w:p>
    <w:p>
      <w:pPr>
        <w:pStyle w:val="ListBullet"/>
        <w:spacing w:after="80"/>
      </w:pPr>
      <w:r>
        <w:rPr>
          <w:b/>
        </w:rPr>
        <w:t xml:space="preserve">Evidence base: </w:t>
      </w:r>
      <w:r>
        <w:t>we included 55 peer-reviewed reports (76% published in 2025–2026), identified through a PROSPERO-registered search of five databases with supplementary citation searching.</w:t>
      </w:r>
    </w:p>
    <w:p>
      <w:pPr>
        <w:pStyle w:val="ListBullet"/>
        <w:spacing w:after="80"/>
      </w:pPr>
      <w:r>
        <w:rPr>
          <w:b/>
        </w:rPr>
        <w:t xml:space="preserve">Validation gap: </w:t>
      </w:r>
      <w:r>
        <w:t>only 8 reports confirmed participant-level separation of training and test data, 9 tested models on a distinct data source, and 38 relied on inherited, mixed-repository, or surrogate labels. Where external testing was performed, internal areas under the curve of 0.94–0.96 could fall to 0.56–0.63.</w:t>
      </w:r>
    </w:p>
    <w:p>
      <w:pPr>
        <w:pStyle w:val="ListBullet"/>
        <w:spacing w:after="80"/>
      </w:pPr>
      <w:r>
        <w:rPr>
          <w:b/>
        </w:rPr>
        <w:t xml:space="preserve">Early-disease gap: </w:t>
      </w:r>
      <w:r>
        <w:t>two reports provided an extractable early-glaucoma estimate, only one of which was credible for clinical inference, and none reported preperimetric performance, the stage at which screening would add most value.</w:t>
      </w:r>
    </w:p>
    <w:p>
      <w:pPr>
        <w:pStyle w:val="ListBullet"/>
        <w:spacing w:after="80"/>
      </w:pPr>
      <w:r>
        <w:rPr>
          <w:b/>
        </w:rPr>
        <w:t xml:space="preserve">Risk of bias and applicability: </w:t>
      </w:r>
      <w:r>
        <w:t>under PROBAST+AI, 92.7% of evaluations were at high risk of bias. Three reports had low risk of bias and low applicability concern for diagnostic detection, but none was applicable to population screening or evaluated a screening pathway prospectively.</w:t>
      </w:r>
    </w:p>
    <w:p>
      <w:pPr>
        <w:spacing w:after="80"/>
      </w:pPr>
      <w:r>
        <w:rPr>
          <w:b/>
          <w:i w:val="0"/>
        </w:rPr>
        <w:t>Why the manuscript suits the Special Issue</w:t>
      </w:r>
    </w:p>
    <w:p>
      <w:r>
        <w:rPr>
          <w:b w:val="0"/>
          <w:i w:val="0"/>
        </w:rPr>
        <w:t>The Special Issue seeks work on AI for detecting, screening, diagnosing, and monitoring eye diseases from fundus photographs, optical coherence tomography, and visual fields, including glaucomatous optic nerve changes, in clinical and community settings. Our review addresses exactly this question for the fastest-growing class of models: it asks whether transformer-based glaucoma detection from fundus and OCT imaging is ready for screening and diagnostic use. It defines the diagnostic and screening uses explicitly (target population, setting, test role, and referral pathway), judges the evidence against them, and sets out minimum evidence requirements that developers and evaluators of ophthalmic AI can apply (Table 5).</w:t>
      </w:r>
    </w:p>
    <w:p>
      <w:pPr>
        <w:spacing w:after="80"/>
      </w:pPr>
      <w:r>
        <w:rPr>
          <w:b/>
          <w:i w:val="0"/>
        </w:rPr>
        <w:t>Novelty and rigour</w:t>
      </w:r>
    </w:p>
    <w:p>
      <w:r>
        <w:rPr>
          <w:b w:val="0"/>
          <w:i w:val="0"/>
        </w:rPr>
        <w:t>Recent reviews of glaucoma AI have mapped deep-learning methods and highlighted limited external validation. Our contribution is narrower: a systematic review restricted to transformer-based models that codes validation independence at the report level, links reports that reused the same datasets, separates operationally defined early disease from suspect and surrogate targets, and appraises development and evaluation with PROBAST+AI. It follows PRISMA 2020 and PRISMA-S and was informed by TRIPOD-SRMA, PRISMA-DTA, and SWiM. Every report excluded at full text is cited with its reason, the glaucoma-specific basis for including each report is documented, and a sensitivity analysis shows that the headline findings do not depend on the one report whose glaucoma-specific estimate has no identifiable metric type. Screening, data extraction, and risk-of-bias assessment were performed independently in duplicate, with every disagreement re-checked and adjudicated by the two remaining authors. All report-level data and judgements are provided in the Supplementary Materials, making the synthesis fully auditable.</w:t>
      </w:r>
    </w:p>
    <w:p>
      <w:pPr>
        <w:spacing w:after="80"/>
      </w:pPr>
      <w:r>
        <w:rPr>
          <w:b/>
          <w:i w:val="0"/>
        </w:rPr>
        <w:t>Declarations</w:t>
      </w:r>
    </w:p>
    <w:p>
      <w:r>
        <w:rPr>
          <w:b w:val="0"/>
          <w:i w:val="0"/>
        </w:rPr>
        <w:t>Previous submission: an earlier version of this review was submitted to Diagnostics and was declined at editorial assessment without peer review. The present manuscript has been substantially revised. It has a new research question and title, an explicit definition of diagnostic and screening uses with a separate assessment of screening applicability, independent duplicate screening, extraction, and appraisal with adjudication, a cited list of all full-text exclusions, a documented glaucoma-specific eligibility basis for every included report with a sensitivity analysis, a distinction between extractable and credible early-disease estimates, and engagement with recent reviews in the field.</w:t>
      </w:r>
    </w:p>
    <w:p>
      <w:r>
        <w:rPr>
          <w:b w:val="0"/>
          <w:i w:val="0"/>
        </w:rPr>
        <w:t>This manuscript is original, has not been published previously, and is not under consideration by any other journal. All authors have approved the submitted version and agree with its submission to Diagnostics. The study was funded by the King Salman Center for Disability Research (grant KSRG-2026-457), and the authors declare no conflicts of interest. The completed PRISMA 2020 checklist and the Supplementary Materials are provided with the submission.</w:t>
      </w:r>
    </w:p>
    <w:p>
      <w:pPr>
        <w:spacing w:after="320"/>
      </w:pPr>
      <w:r>
        <w:rPr>
          <w:b w:val="0"/>
          <w:i w:val="0"/>
        </w:rPr>
        <w:t>Thank you for considering our work. We look forward to your response.</w:t>
      </w:r>
    </w:p>
    <w:p>
      <w:pPr>
        <w:spacing w:after="400"/>
      </w:pPr>
      <w:r>
        <w:rPr>
          <w:b w:val="0"/>
          <w:i w:val="0"/>
        </w:rPr>
        <w:t>Sincerely,</w:t>
      </w:r>
    </w:p>
    <w:p>
      <w:pPr>
        <w:spacing w:after="0"/>
      </w:pPr>
      <w:r>
        <w:rPr>
          <w:b/>
          <w:i w:val="0"/>
        </w:rPr>
        <w:t>Moulay Ibrahim El-Khalil Ghembaza (corresponding author)</w:t>
      </w:r>
    </w:p>
    <w:p>
      <w:pPr>
        <w:spacing w:after="0"/>
      </w:pPr>
      <w:r>
        <w:rPr>
          <w:b w:val="0"/>
          <w:i w:val="0"/>
        </w:rPr>
        <w:t>Department of Computer Science, College of Engineering and Information Technology, Onaizah Colleges, Qassim 56447, Saudi Arabia; King Salman Center for Disability Research, Riyadh, Saudi Arabia</w:t>
      </w:r>
    </w:p>
    <w:p>
      <w:pPr>
        <w:spacing w:after="0"/>
      </w:pPr>
      <w:r>
        <w:rPr>
          <w:b w:val="0"/>
          <w:i w:val="0"/>
        </w:rPr>
        <w:t>Email: mghembaza@oc.edu.sa</w:t>
      </w:r>
    </w:p>
    <w:p>
      <w:r>
        <w:rPr>
          <w:b w:val="0"/>
          <w:i w:val="0"/>
        </w:rPr>
        <w:t>On behalf of Majed S. Alsanea, Ashit Kumar Dutta, and Mujeeb Ahmed Shaikh</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Palatino Linotype" w:hAnsi="Palatino Linotype" w:eastAsia="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Moulay Ibrahim El-Khalil Ghembaza</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