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Are Transformer-Based Artificial Intelligence Models Ready for Glaucoma Screening from Retinal Imaging? A Systematic Review of Validation Rigour, Early-Disease Evidence, and Risk of Bias</w:t>
      </w:r>
    </w:p>
    <w:p>
      <w:pPr>
        <w:spacing w:after="40"/>
      </w:pPr>
      <w:r>
        <w:rPr>
          <w:b w:val="0"/>
        </w:rPr>
        <w:t>Journal: Healthcare (MDPI). Article type: Systematic Review. PROSPERO registration: CRD420261504931.</w:t>
      </w:r>
    </w:p>
    <w:p>
      <w:pPr>
        <w:spacing w:after="160"/>
      </w:pPr>
      <w:r>
        <w:rPr>
          <w:b w:val="0"/>
        </w:rPr>
        <w:t>Entries state whether each item is reported, partially reported, not assessed, or not applicable. 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Reported: 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Reported: Abstract; see the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Reported: 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Reported: 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Reported: 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Reported: 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Reported: 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Reported: Section 2.4 (two independent reviewers; adjudication by two further authors; no automation tools used for eligibility decisions)</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Reported: Section 2.5 (two independent reviewers; data taken from published reports)</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Reported: 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Reported: 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Reported: Section 2.7 (PROBAST+AI; two independent reviewers)</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Reported: 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Reported: Sections 2.2, 2.6, and 2.8; Table S4 (eligibility basis for each report)</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Reported: 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Reported: Section 2.8; Tables 2–3; Figures 2–3; Tables S3–S8</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Reported: 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Reported: 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Reported: Section 2.8 (post hoc sensitivity analysis of the report denominator)</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Not assessed: no pooled estimate was produced (Section 2.8); searches contained no performance terms (Section 2.3)</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Not assessed: formal certainty grading was not performed, with rationale (Section 2.8)</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Reported: 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Reported: Section 3.1; Figure 1; Table S2 (all 36 reports excluded at full text cited, each with its principal reason and specific basis)</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Reported: Sections 3.2 and 3.3; Table 2; Table S3; references to all included reports</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Reported: 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Reported: Table 3; Table S4 (estimates and confidence intervals as reported by the source)</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Reported: 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Reported: 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Reported: Section 3.8; Table S8</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assessed (see item 14); acknowledged in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assessed (see item 15); acknowledged in Section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Reported: 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Reported: 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Reported: 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Reported: 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Reported: 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Reported: Section 2.1 (PROSPERO record CRD420261504931 with web address)</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Reported: Section 2.1 (five post hoc additions listed; no change to eligibility, search, selection, extraction, or risk-of-bias ratings)</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Reported: Funding; Acknowledgments; Conflicts of Interest (role of funder)</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Reported: 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Reported: Data Availability Statement; Supplementary Materials (Tables S1–S8); machine-readable extraction dataset available on request</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Yes (Results: 55 reports; an independent participant total was not estimable because of dataset reuse)</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 not included in the abstract (journal abstract format); reported in the Funding section</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