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2title"/>
      </w:pPr>
      <w:r>
        <w:rPr/>
        <w:t>Supplementary Materials</w:t>
      </w:r>
    </w:p>
    <w:p>
      <w:pPr>
        <w:pStyle w:val="MDPI32textnoindent"/>
      </w:pPr>
      <w:r>
        <w:rPr>
          <w:b/>
        </w:rPr>
        <w:t>Are Digital Gait Biomarkers Ready to Predict Falls? A Systematic Review and PROBAST+AI Appraisal of Wearable and Vision-Based Prognostic Models in Older Adults</w:t>
      </w:r>
    </w:p>
    <w:p>
      <w:pPr>
        <w:pStyle w:val="MDPI32textnoindent"/>
      </w:pPr>
      <w:r>
        <w:rPr/>
        <w:t>Majed S. Alsanea, Yosef Hasan Jbara, Alshimaa Hamdy Ismail, Farha Mujeeb Ahmed Shaikh, and Mohammed Gh. Alzahrani</w:t>
      </w:r>
    </w:p>
    <w:p>
      <w:pPr>
        <w:pStyle w:val="MDPI32textnoindent"/>
      </w:pPr>
      <w:r>
        <w:rPr>
          <w:sz w:val="18"/>
        </w:rPr>
        <w:t>Contents: Table S1. Information sources, search strategies, limits, dates, and yields. Table S2. Detailed data extraction for the 47 included reports. Table S3. Excluded reports that might appear eligible, with reasons. Table S4. Cohort-overlap map. Table S5. PROBAST+AI risk-of-bias judgments by domain. Table S6. PROBAST+AI applicability judgments. Reference numbers in square brackets correspond to the reference list of the main article.</w:t>
      </w:r>
    </w:p>
    <w:p>
      <w:pPr>
        <w:pStyle w:val="MDPI22heading2"/>
      </w:pPr>
      <w:r>
        <w:rPr/>
        <w:t>Table S1. Information sources, search strategies, limits, dates, and yields</w:t>
      </w:r>
    </w:p>
    <w:tbl>
      <w:tblPr>
        <w:tblStyle w:val="MDPI41threelinetable"/>
        <w:tblW w:type="auto" w:w="0"/>
        <w:tblLook w:firstColumn="1" w:firstRow="1" w:lastColumn="0" w:lastRow="0" w:noHBand="0" w:noVBand="1" w:val="04A0"/>
        <w:tblLayout w:type="fixed"/>
      </w:tblPr>
      <w:tblGrid>
        <w:gridCol w:w="2300"/>
        <w:gridCol w:w="9800"/>
        <w:gridCol w:w="1400"/>
        <w:gridCol w:w="1400"/>
      </w:tblGrid>
      <w:tr>
        <w:trPr>
          <w:tblHeader/>
        </w:trPr>
        <w:tc>
          <w:tcPr>
            <w:tcW w:type="dxa" w:w="3869"/>
            <w:tcW w:w="2300" w:type="dxa"/>
          </w:tcPr>
          <w:p>
            <w:pPr>
              <w:pStyle w:val="MDPI42tablebody"/>
              <w:jc w:val="left"/>
            </w:pPr>
            <w:r>
              <w:rPr>
                <w:b/>
                <w:sz w:val="15"/>
              </w:rPr>
              <w:t>Source/interface</w:t>
            </w:r>
          </w:p>
        </w:tc>
        <w:tc>
          <w:tcPr>
            <w:tcW w:type="dxa" w:w="3869"/>
            <w:tcW w:w="9800" w:type="dxa"/>
          </w:tcPr>
          <w:p>
            <w:pPr>
              <w:pStyle w:val="MDPI42tablebody"/>
              <w:jc w:val="left"/>
            </w:pPr>
            <w:r>
              <w:rPr>
                <w:b/>
                <w:sz w:val="15"/>
              </w:rPr>
              <w:t>Source-specific strategy or method</w:t>
            </w:r>
          </w:p>
        </w:tc>
        <w:tc>
          <w:tcPr>
            <w:tcW w:type="dxa" w:w="3869"/>
            <w:tcW w:w="1400" w:type="dxa"/>
          </w:tcPr>
          <w:p>
            <w:pPr>
              <w:pStyle w:val="MDPI42tablebody"/>
              <w:jc w:val="left"/>
            </w:pPr>
            <w:r>
              <w:rPr>
                <w:b/>
                <w:sz w:val="15"/>
              </w:rPr>
              <w:t>Records/candidates</w:t>
            </w:r>
          </w:p>
        </w:tc>
        <w:tc>
          <w:tcPr>
            <w:tcW w:type="dxa" w:w="3869"/>
            <w:tcW w:w="1400" w:type="dxa"/>
          </w:tcPr>
          <w:p>
            <w:pPr>
              <w:pStyle w:val="MDPI42tablebody"/>
              <w:jc w:val="left"/>
            </w:pPr>
            <w:r>
              <w:rPr>
                <w:b/>
                <w:sz w:val="15"/>
              </w:rPr>
              <w:t>Final date</w:t>
            </w:r>
          </w:p>
        </w:tc>
      </w:tr>
      <w:tr>
        <w:tc>
          <w:tcPr>
            <w:tcW w:type="dxa" w:w="3869"/>
            <w:tcW w:w="2300" w:type="dxa"/>
          </w:tcPr>
          <w:p>
            <w:pPr>
              <w:pStyle w:val="MDPI42tablebody"/>
              <w:jc w:val="left"/>
            </w:pPr>
            <w:r>
              <w:rPr>
                <w:sz w:val="15"/>
              </w:rPr>
              <w:t>PubMed/MEDLINE (NCBI PubMed)</w:t>
            </w:r>
          </w:p>
        </w:tc>
        <w:tc>
          <w:tcPr>
            <w:tcW w:type="dxa" w:w="3869"/>
            <w:tcW w:w="9800" w:type="dxa"/>
          </w:tcPr>
          <w:p>
            <w:pPr>
              <w:pStyle w:val="MDPI42tablebody"/>
              <w:jc w:val="left"/>
            </w:pPr>
            <w:r>
              <w:rPr>
                <w:sz w:val="15"/>
              </w:rPr>
              <w:t>("Aged"[Mesh] OR "Aged, 80 and over"[Mesh] OR older adult</w:t>
            </w:r>
            <w:r>
              <w:rPr>
                <w:i/>
                <w:sz w:val="15"/>
              </w:rPr>
              <w:t>[tiab] OR elderly[tiab] OR geriatric</w:t>
            </w:r>
            <w:r>
              <w:rPr>
                <w:sz w:val="15"/>
              </w:rPr>
              <w:t>[tiab] OR community-dwelling[tiab]) AND ("Gait"[Mesh] OR "Gait Analysis"[Mesh] OR "Walking"[Mesh] OR "Postural Balance"[Mesh] OR gait[tiab] OR walking[tiab] OR ambulat</w:t>
            </w:r>
            <w:r>
              <w:rPr>
                <w:i/>
                <w:sz w:val="15"/>
              </w:rPr>
              <w:t>[tiab] OR stride</w:t>
            </w:r>
            <w:r>
              <w:rPr>
                <w:sz w:val="15"/>
              </w:rPr>
              <w:t>[tiab] OR spatiotemporal[tiab]) AND ("Wearable Electronic Devices"[Mesh] OR "Accelerometry"[Mesh] OR accelerometer</w:t>
            </w:r>
            <w:r>
              <w:rPr>
                <w:i/>
                <w:sz w:val="15"/>
              </w:rPr>
              <w:t>[tiab] OR "inertial measurement unit</w:t>
            </w:r>
            <w:r>
              <w:rPr>
                <w:sz w:val="15"/>
              </w:rPr>
              <w:t>"[tiab] OR IMU[tiab] OR wearable</w:t>
            </w:r>
            <w:r>
              <w:rPr>
                <w:i/>
                <w:sz w:val="15"/>
              </w:rPr>
              <w:t>[tiab] OR body-worn[tiab] OR smartphone</w:t>
            </w:r>
            <w:r>
              <w:rPr>
                <w:sz w:val="15"/>
              </w:rPr>
              <w:t>[tiab] OR insole</w:t>
            </w:r>
            <w:r>
              <w:rPr>
                <w:i/>
                <w:sz w:val="15"/>
              </w:rPr>
              <w:t>[tiab] OR "instrumented walkway"[tiab] OR GAITRite[tiab] OR Kinect[tiab] OR "depth camera"[tiab] OR markerless[tiab] OR "pose estimation"[tiab] OR "computer vision"[tiab]) AND ("Accidental Falls"[Mesh] OR fall[tiab] OR falls[tiab] OR faller</w:t>
            </w:r>
            <w:r>
              <w:rPr>
                <w:sz w:val="15"/>
              </w:rPr>
              <w:t>[tiab]) AND (predict</w:t>
            </w:r>
            <w:r>
              <w:rPr>
                <w:i/>
                <w:sz w:val="15"/>
              </w:rPr>
              <w:t>[tiab] OR prognos</w:t>
            </w:r>
            <w:r>
              <w:rPr>
                <w:sz w:val="15"/>
              </w:rPr>
              <w:t>[tiab] OR "risk score"[tiab] OR "machine learning"[tiab] OR AUC[tiab] OR ROC[tiab] OR c-statistic</w:t>
            </w:r>
            <w:r>
              <w:rPr>
                <w:i/>
                <w:sz w:val="15"/>
              </w:rPr>
              <w:t>[tiab] OR calibrat</w:t>
            </w:r>
            <w:r>
              <w:rPr>
                <w:sz w:val="15"/>
              </w:rPr>
              <w:t>[tiab] OR validat*[tiab]). Filter: 2000/01/01:2026/07/20[dp].</w:t>
            </w:r>
          </w:p>
        </w:tc>
        <w:tc>
          <w:tcPr>
            <w:tcW w:type="dxa" w:w="3869"/>
            <w:tcW w:w="1400" w:type="dxa"/>
          </w:tcPr>
          <w:p>
            <w:pPr>
              <w:pStyle w:val="MDPI42tablebody"/>
              <w:jc w:val="left"/>
            </w:pPr>
            <w:r>
              <w:rPr>
                <w:sz w:val="15"/>
              </w:rPr>
              <w:t>2,418</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Embase (Ovid)</w:t>
            </w:r>
          </w:p>
        </w:tc>
        <w:tc>
          <w:tcPr>
            <w:tcW w:type="dxa" w:w="3869"/>
            <w:tcW w:w="9800" w:type="dxa"/>
          </w:tcPr>
          <w:p>
            <w:pPr>
              <w:pStyle w:val="MDPI42tablebody"/>
              <w:jc w:val="left"/>
            </w:pPr>
            <w:r>
              <w:rPr>
                <w:sz w:val="15"/>
              </w:rPr>
              <w:t>exp aged/ OR (older adult</w:t>
            </w:r>
            <w:r>
              <w:rPr>
                <w:i/>
                <w:sz w:val="15"/>
              </w:rPr>
              <w:t xml:space="preserve"> or elderly or geriatric</w:t>
            </w:r>
            <w:r>
              <w:rPr>
                <w:sz w:val="15"/>
              </w:rPr>
              <w:t>).ti,ab,kw. AND exp gait/ OR exp walking/ OR exp gait analysis/ OR (gait or walking or ambulat</w:t>
            </w:r>
            <w:r>
              <w:rPr>
                <w:i/>
                <w:sz w:val="15"/>
              </w:rPr>
              <w:t xml:space="preserve"> or stride</w:t>
            </w:r>
            <w:r>
              <w:rPr>
                <w:sz w:val="15"/>
              </w:rPr>
              <w:t xml:space="preserve"> or spatiotemporal).ti,ab,kw. AND exp wearable computer/ OR exp accelerometer/ OR (accelerometer</w:t>
            </w:r>
            <w:r>
              <w:rPr>
                <w:i/>
                <w:sz w:val="15"/>
              </w:rPr>
              <w:t xml:space="preserve"> or "inertial measurement unit</w:t>
            </w:r>
            <w:r>
              <w:rPr>
                <w:sz w:val="15"/>
              </w:rPr>
              <w:t>" or IMU or wearable</w:t>
            </w:r>
            <w:r>
              <w:rPr>
                <w:i/>
                <w:sz w:val="15"/>
              </w:rPr>
              <w:t xml:space="preserve"> or body-worn or smartphone</w:t>
            </w:r>
            <w:r>
              <w:rPr>
                <w:sz w:val="15"/>
              </w:rPr>
              <w:t xml:space="preserve"> or insole</w:t>
            </w:r>
            <w:r>
              <w:rPr>
                <w:i/>
                <w:sz w:val="15"/>
              </w:rPr>
              <w:t xml:space="preserve"> or GAITRite or Kinect or "depth camera" or markerless or "pose estimation").ti,ab,kw. AND exp falling/ OR (fall or falls or faller</w:t>
            </w:r>
            <w:r>
              <w:rPr>
                <w:sz w:val="15"/>
              </w:rPr>
              <w:t>).ti,ab,kw. AND (predict</w:t>
            </w:r>
            <w:r>
              <w:rPr>
                <w:i/>
                <w:sz w:val="15"/>
              </w:rPr>
              <w:t xml:space="preserve"> or prognos</w:t>
            </w:r>
            <w:r>
              <w:rPr>
                <w:sz w:val="15"/>
              </w:rPr>
              <w:t xml:space="preserve"> or "risk score" or "machine learning" or AUC or ROC or c-statistic</w:t>
            </w:r>
            <w:r>
              <w:rPr>
                <w:i/>
                <w:sz w:val="15"/>
              </w:rPr>
              <w:t xml:space="preserve"> or calibrat</w:t>
            </w:r>
            <w:r>
              <w:rPr>
                <w:sz w:val="15"/>
              </w:rPr>
              <w:t xml:space="preserve"> or validat*).ti,ab,kw. Limit: yr="2000-2026".</w:t>
            </w:r>
          </w:p>
        </w:tc>
        <w:tc>
          <w:tcPr>
            <w:tcW w:type="dxa" w:w="3869"/>
            <w:tcW w:w="1400" w:type="dxa"/>
          </w:tcPr>
          <w:p>
            <w:pPr>
              <w:pStyle w:val="MDPI42tablebody"/>
              <w:jc w:val="left"/>
            </w:pPr>
            <w:r>
              <w:rPr>
                <w:sz w:val="15"/>
              </w:rPr>
              <w:t>3,106</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Scopus (Elsevier)</w:t>
            </w:r>
          </w:p>
        </w:tc>
        <w:tc>
          <w:tcPr>
            <w:tcW w:type="dxa" w:w="3869"/>
            <w:tcW w:w="9800" w:type="dxa"/>
          </w:tcPr>
          <w:p>
            <w:pPr>
              <w:pStyle w:val="MDPI42tablebody"/>
              <w:jc w:val="left"/>
            </w:pPr>
            <w:r>
              <w:rPr>
                <w:sz w:val="15"/>
              </w:rPr>
              <w:t>TITLE-ABS-KEY("older adult</w:t>
            </w:r>
            <w:r>
              <w:rPr>
                <w:i/>
                <w:sz w:val="15"/>
              </w:rPr>
              <w:t>" OR elderly OR geriatric</w:t>
            </w:r>
            <w:r>
              <w:rPr>
                <w:sz w:val="15"/>
              </w:rPr>
              <w:t xml:space="preserve"> OR "community-dwelling") AND TITLE-ABS-KEY(gait OR walking OR ambulat</w:t>
            </w:r>
            <w:r>
              <w:rPr>
                <w:i/>
                <w:sz w:val="15"/>
              </w:rPr>
              <w:t xml:space="preserve"> OR stride</w:t>
            </w:r>
            <w:r>
              <w:rPr>
                <w:sz w:val="15"/>
              </w:rPr>
              <w:t xml:space="preserve"> OR "spatiotemporal parameter</w:t>
            </w:r>
            <w:r>
              <w:rPr>
                <w:i/>
                <w:sz w:val="15"/>
              </w:rPr>
              <w:t>") AND TITLE-ABS-KEY(wearable</w:t>
            </w:r>
            <w:r>
              <w:rPr>
                <w:sz w:val="15"/>
              </w:rPr>
              <w:t xml:space="preserve"> OR accelerometer</w:t>
            </w:r>
            <w:r>
              <w:rPr>
                <w:i/>
                <w:sz w:val="15"/>
              </w:rPr>
              <w:t xml:space="preserve"> OR "inertial measurement unit</w:t>
            </w:r>
            <w:r>
              <w:rPr>
                <w:sz w:val="15"/>
              </w:rPr>
              <w:t>" OR IMU OR smartphone</w:t>
            </w:r>
            <w:r>
              <w:rPr>
                <w:i/>
                <w:sz w:val="15"/>
              </w:rPr>
              <w:t xml:space="preserve"> OR insole</w:t>
            </w:r>
            <w:r>
              <w:rPr>
                <w:sz w:val="15"/>
              </w:rPr>
              <w:t xml:space="preserve"> OR "instrumented walkway" OR GAITRite OR Kinect OR "depth camera" OR markerless OR "pose estimation" OR "computer vision") AND TITLE-ABS-KEY(fall OR falls OR faller*) AND PUBYEAR &gt; 1999 AND PUBYEAR &lt; 2027.</w:t>
            </w:r>
          </w:p>
        </w:tc>
        <w:tc>
          <w:tcPr>
            <w:tcW w:type="dxa" w:w="3869"/>
            <w:tcW w:w="1400" w:type="dxa"/>
          </w:tcPr>
          <w:p>
            <w:pPr>
              <w:pStyle w:val="MDPI42tablebody"/>
              <w:jc w:val="left"/>
            </w:pPr>
            <w:r>
              <w:rPr>
                <w:sz w:val="15"/>
              </w:rPr>
              <w:t>2,874</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Web of Science Core Collection (Clarivate)</w:t>
            </w:r>
          </w:p>
        </w:tc>
        <w:tc>
          <w:tcPr>
            <w:tcW w:type="dxa" w:w="3869"/>
            <w:tcW w:w="9800" w:type="dxa"/>
          </w:tcPr>
          <w:p>
            <w:pPr>
              <w:pStyle w:val="MDPI42tablebody"/>
              <w:jc w:val="left"/>
            </w:pPr>
            <w:r>
              <w:rPr>
                <w:sz w:val="15"/>
              </w:rPr>
              <w:t>TS=("older adult</w:t>
            </w:r>
            <w:r>
              <w:rPr>
                <w:i/>
                <w:sz w:val="15"/>
              </w:rPr>
              <w:t>" OR elderly OR geriatric</w:t>
            </w:r>
            <w:r>
              <w:rPr>
                <w:sz w:val="15"/>
              </w:rPr>
              <w:t>) AND TS=(gait OR walking OR ambulat</w:t>
            </w:r>
            <w:r>
              <w:rPr>
                <w:i/>
                <w:sz w:val="15"/>
              </w:rPr>
              <w:t xml:space="preserve"> OR stride</w:t>
            </w:r>
            <w:r>
              <w:rPr>
                <w:sz w:val="15"/>
              </w:rPr>
              <w:t xml:space="preserve"> OR "gait variability") AND TS=(wearable</w:t>
            </w:r>
            <w:r>
              <w:rPr>
                <w:i/>
                <w:sz w:val="15"/>
              </w:rPr>
              <w:t xml:space="preserve"> OR accelerometer</w:t>
            </w:r>
            <w:r>
              <w:rPr>
                <w:sz w:val="15"/>
              </w:rPr>
              <w:t xml:space="preserve"> OR "inertial measurement unit</w:t>
            </w:r>
            <w:r>
              <w:rPr>
                <w:i/>
                <w:sz w:val="15"/>
              </w:rPr>
              <w:t>" OR IMU OR smartphone</w:t>
            </w:r>
            <w:r>
              <w:rPr>
                <w:sz w:val="15"/>
              </w:rPr>
              <w:t xml:space="preserve"> OR insole</w:t>
            </w:r>
            <w:r>
              <w:rPr>
                <w:i/>
                <w:sz w:val="15"/>
              </w:rPr>
              <w:t xml:space="preserve"> OR GAITRite OR Kinect OR "depth camera" OR markerless OR "pose estimation") AND TS=(fall OR falls OR faller</w:t>
            </w:r>
            <w:r>
              <w:rPr>
                <w:sz w:val="15"/>
              </w:rPr>
              <w:t>). Timespan: 2000–2026.</w:t>
            </w:r>
          </w:p>
        </w:tc>
        <w:tc>
          <w:tcPr>
            <w:tcW w:type="dxa" w:w="3869"/>
            <w:tcW w:w="1400" w:type="dxa"/>
          </w:tcPr>
          <w:p>
            <w:pPr>
              <w:pStyle w:val="MDPI42tablebody"/>
              <w:jc w:val="left"/>
            </w:pPr>
            <w:r>
              <w:rPr>
                <w:sz w:val="15"/>
              </w:rPr>
              <w:t>2,239</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IEEE Xplore (IEEE)</w:t>
            </w:r>
          </w:p>
        </w:tc>
        <w:tc>
          <w:tcPr>
            <w:tcW w:type="dxa" w:w="3869"/>
            <w:tcW w:w="9800" w:type="dxa"/>
          </w:tcPr>
          <w:p>
            <w:pPr>
              <w:pStyle w:val="MDPI42tablebody"/>
              <w:jc w:val="left"/>
            </w:pPr>
            <w:r>
              <w:rPr>
                <w:sz w:val="15"/>
              </w:rPr>
              <w:t>("All Metadata":gait OR walking OR stride) AND ("All Metadata":"older adult</w:t>
            </w:r>
            <w:r>
              <w:rPr>
                <w:i/>
                <w:sz w:val="15"/>
              </w:rPr>
              <w:t>" OR elderly OR geriatric) AND ("All Metadata":fall OR falls OR faller) AND ("All Metadata":predict</w:t>
            </w:r>
            <w:r>
              <w:rPr>
                <w:sz w:val="15"/>
              </w:rPr>
              <w:t xml:space="preserve"> OR "machine learning" OR classif</w:t>
            </w:r>
            <w:r>
              <w:rPr>
                <w:i/>
                <w:sz w:val="15"/>
              </w:rPr>
              <w:t xml:space="preserve"> OR prognos</w:t>
            </w:r>
            <w:r>
              <w:rPr>
                <w:sz w:val="15"/>
              </w:rPr>
              <w:t>) AND ("All Metadata":wearable OR accelerometer OR IMU OR inertial OR camera OR vision OR depth). Year range: 2000–2026.</w:t>
            </w:r>
          </w:p>
        </w:tc>
        <w:tc>
          <w:tcPr>
            <w:tcW w:type="dxa" w:w="3869"/>
            <w:tcW w:w="1400" w:type="dxa"/>
          </w:tcPr>
          <w:p>
            <w:pPr>
              <w:pStyle w:val="MDPI42tablebody"/>
              <w:jc w:val="left"/>
            </w:pPr>
            <w:r>
              <w:rPr>
                <w:sz w:val="15"/>
              </w:rPr>
              <w:t>1,653</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CINAHL (EBSCOhost)</w:t>
            </w:r>
          </w:p>
        </w:tc>
        <w:tc>
          <w:tcPr>
            <w:tcW w:type="dxa" w:w="3869"/>
            <w:tcW w:w="9800" w:type="dxa"/>
          </w:tcPr>
          <w:p>
            <w:pPr>
              <w:pStyle w:val="MDPI42tablebody"/>
              <w:jc w:val="left"/>
            </w:pPr>
            <w:r>
              <w:rPr>
                <w:sz w:val="15"/>
              </w:rPr>
              <w:t>(MH "Aged+" OR TI/AB ("older adult</w:t>
            </w:r>
            <w:r>
              <w:rPr>
                <w:i/>
                <w:sz w:val="15"/>
              </w:rPr>
              <w:t>" OR elderly)) AND (MH "Gait+" OR MH "Walking" OR TI/AB (gait OR walking OR stride</w:t>
            </w:r>
            <w:r>
              <w:rPr>
                <w:sz w:val="15"/>
              </w:rPr>
              <w:t>)) AND (MH "Accelerometry" OR TI/AB (accelerometer</w:t>
            </w:r>
            <w:r>
              <w:rPr>
                <w:i/>
                <w:sz w:val="15"/>
              </w:rPr>
              <w:t xml:space="preserve"> OR wearable</w:t>
            </w:r>
            <w:r>
              <w:rPr>
                <w:sz w:val="15"/>
              </w:rPr>
              <w:t xml:space="preserve"> OR "inertial measurement unit</w:t>
            </w:r>
            <w:r>
              <w:rPr>
                <w:i/>
                <w:sz w:val="15"/>
              </w:rPr>
              <w:t>" OR Kinect OR "depth camera")) AND (MH "Accidental Falls+" OR TI/AB (fall OR falls OR faller</w:t>
            </w:r>
            <w:r>
              <w:rPr>
                <w:sz w:val="15"/>
              </w:rPr>
              <w:t>)) AND TI/AB (predict</w:t>
            </w:r>
            <w:r>
              <w:rPr>
                <w:i/>
                <w:sz w:val="15"/>
              </w:rPr>
              <w:t xml:space="preserve"> OR prognos</w:t>
            </w:r>
            <w:r>
              <w:rPr>
                <w:sz w:val="15"/>
              </w:rPr>
              <w:t xml:space="preserve"> OR "risk score" OR AUC OR ROC OR validat*). Published date: 20000101–20260720.</w:t>
            </w:r>
          </w:p>
        </w:tc>
        <w:tc>
          <w:tcPr>
            <w:tcW w:type="dxa" w:w="3869"/>
            <w:tcW w:w="1400" w:type="dxa"/>
          </w:tcPr>
          <w:p>
            <w:pPr>
              <w:pStyle w:val="MDPI42tablebody"/>
              <w:jc w:val="left"/>
            </w:pPr>
            <w:r>
              <w:rPr>
                <w:sz w:val="15"/>
              </w:rPr>
              <w:t>811</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APA PsycINFO</w:t>
            </w:r>
          </w:p>
        </w:tc>
        <w:tc>
          <w:tcPr>
            <w:tcW w:type="dxa" w:w="3869"/>
            <w:tcW w:w="9800" w:type="dxa"/>
          </w:tcPr>
          <w:p>
            <w:pPr>
              <w:pStyle w:val="MDPI42tablebody"/>
              <w:jc w:val="left"/>
            </w:pPr>
            <w:r>
              <w:rPr>
                <w:sz w:val="15"/>
              </w:rPr>
              <w:t>(DE "Geriatrics" OR DE "Aging" OR (older adult</w:t>
            </w:r>
            <w:r>
              <w:rPr>
                <w:i/>
                <w:sz w:val="15"/>
              </w:rPr>
              <w:t xml:space="preserve"> or elderly).ti,ab.) AND (DE "Gait" OR DE "Walking" OR (gait or walking or stride</w:t>
            </w:r>
            <w:r>
              <w:rPr>
                <w:sz w:val="15"/>
              </w:rPr>
              <w:t>).ti,ab.) AND (DE "Falls" OR (fall or falls or faller</w:t>
            </w:r>
            <w:r>
              <w:rPr>
                <w:i/>
                <w:sz w:val="15"/>
              </w:rPr>
              <w:t>).ti,ab.) AND (accelerometer</w:t>
            </w:r>
            <w:r>
              <w:rPr>
                <w:sz w:val="15"/>
              </w:rPr>
              <w:t xml:space="preserve"> or wearable</w:t>
            </w:r>
            <w:r>
              <w:rPr>
                <w:i/>
                <w:sz w:val="15"/>
              </w:rPr>
              <w:t xml:space="preserve"> or "inertial measurement unit</w:t>
            </w:r>
            <w:r>
              <w:rPr>
                <w:sz w:val="15"/>
              </w:rPr>
              <w:t>" or "depth camera" or "computer vision").ti,ab. AND (predict</w:t>
            </w:r>
            <w:r>
              <w:rPr>
                <w:i/>
                <w:sz w:val="15"/>
              </w:rPr>
              <w:t xml:space="preserve"> or prognos</w:t>
            </w:r>
            <w:r>
              <w:rPr>
                <w:sz w:val="15"/>
              </w:rPr>
              <w:t xml:space="preserve"> or "machine learning" or ROC or AUC).ti,ab. Limit: yr="2000-2026".</w:t>
            </w:r>
          </w:p>
        </w:tc>
        <w:tc>
          <w:tcPr>
            <w:tcW w:type="dxa" w:w="3869"/>
            <w:tcW w:w="1400" w:type="dxa"/>
          </w:tcPr>
          <w:p>
            <w:pPr>
              <w:pStyle w:val="MDPI42tablebody"/>
              <w:jc w:val="left"/>
            </w:pPr>
            <w:r>
              <w:rPr>
                <w:sz w:val="15"/>
              </w:rPr>
              <w:t>486</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ACM Digital Library</w:t>
            </w:r>
          </w:p>
        </w:tc>
        <w:tc>
          <w:tcPr>
            <w:tcW w:type="dxa" w:w="3869"/>
            <w:tcW w:w="9800" w:type="dxa"/>
          </w:tcPr>
          <w:p>
            <w:pPr>
              <w:pStyle w:val="MDPI42tablebody"/>
              <w:jc w:val="left"/>
            </w:pPr>
            <w:r>
              <w:rPr>
                <w:sz w:val="15"/>
              </w:rPr>
              <w:t>Abstract:(gait OR walking) AND Abstract:("older adult</w:t>
            </w:r>
            <w:r>
              <w:rPr>
                <w:i/>
                <w:sz w:val="15"/>
              </w:rPr>
              <w:t>" OR elderly) AND Abstract:(fall OR falls) AND Abstract:(predict</w:t>
            </w:r>
            <w:r>
              <w:rPr>
                <w:sz w:val="15"/>
              </w:rPr>
              <w:t xml:space="preserve"> OR "machine learning" OR classif*) AND Abstract:(wearable OR accelerometer OR sensor OR camera OR vision). Publication date: 2000–2026.</w:t>
            </w:r>
          </w:p>
        </w:tc>
        <w:tc>
          <w:tcPr>
            <w:tcW w:type="dxa" w:w="3869"/>
            <w:tcW w:w="1400" w:type="dxa"/>
          </w:tcPr>
          <w:p>
            <w:pPr>
              <w:pStyle w:val="MDPI42tablebody"/>
              <w:jc w:val="left"/>
            </w:pPr>
            <w:r>
              <w:rPr>
                <w:sz w:val="15"/>
              </w:rPr>
              <w:t>429</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Cochrane CENTRAL</w:t>
            </w:r>
          </w:p>
        </w:tc>
        <w:tc>
          <w:tcPr>
            <w:tcW w:type="dxa" w:w="3869"/>
            <w:tcW w:w="9800" w:type="dxa"/>
          </w:tcPr>
          <w:p>
            <w:pPr>
              <w:pStyle w:val="MDPI42tablebody"/>
              <w:jc w:val="left"/>
            </w:pPr>
            <w:r>
              <w:rPr>
                <w:sz w:val="15"/>
              </w:rPr>
              <w:t>MeSH descriptor [Accidental Falls] explode all trees AND (gait OR walking OR mobility):ti,ab,kw AND (wearable OR accelerometer OR sensor OR camera):ti,ab,kw AND (predict</w:t>
            </w:r>
            <w:r>
              <w:rPr>
                <w:i/>
                <w:sz w:val="15"/>
              </w:rPr>
              <w:t xml:space="preserve"> OR prognos</w:t>
            </w:r>
            <w:r>
              <w:rPr>
                <w:sz w:val="15"/>
              </w:rPr>
              <w:t xml:space="preserve"> OR "risk score"):ti,ab,kw. Custom date range: January 2000–July 2026.</w:t>
            </w:r>
          </w:p>
        </w:tc>
        <w:tc>
          <w:tcPr>
            <w:tcW w:type="dxa" w:w="3869"/>
            <w:tcW w:w="1400" w:type="dxa"/>
          </w:tcPr>
          <w:p>
            <w:pPr>
              <w:pStyle w:val="MDPI42tablebody"/>
              <w:jc w:val="left"/>
            </w:pPr>
            <w:r>
              <w:rPr>
                <w:sz w:val="15"/>
              </w:rPr>
              <w:t>372</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Subtotal—nine Boolean database/register sources</w:t>
            </w:r>
          </w:p>
        </w:tc>
        <w:tc>
          <w:tcPr>
            <w:tcW w:type="dxa" w:w="3869"/>
            <w:tcW w:w="9800" w:type="dxa"/>
          </w:tcPr>
          <w:p>
            <w:pPr>
              <w:pStyle w:val="MDPI42tablebody"/>
              <w:jc w:val="left"/>
            </w:pPr>
            <w:r>
              <w:rPr>
                <w:sz w:val="15"/>
              </w:rPr>
              <w:t>Combined source total before deduplication.</w:t>
            </w:r>
          </w:p>
        </w:tc>
        <w:tc>
          <w:tcPr>
            <w:tcW w:type="dxa" w:w="3869"/>
            <w:tcW w:w="1400" w:type="dxa"/>
          </w:tcPr>
          <w:p>
            <w:pPr>
              <w:pStyle w:val="MDPI42tablebody"/>
              <w:jc w:val="left"/>
            </w:pPr>
            <w:r>
              <w:rPr>
                <w:sz w:val="15"/>
              </w:rPr>
              <w:t>14,388</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Google Scholar</w:t>
            </w:r>
          </w:p>
        </w:tc>
        <w:tc>
          <w:tcPr>
            <w:tcW w:type="dxa" w:w="3869"/>
            <w:tcW w:w="9800" w:type="dxa"/>
          </w:tcPr>
          <w:p>
            <w:pPr>
              <w:pStyle w:val="MDPI42tablebody"/>
              <w:jc w:val="left"/>
            </w:pPr>
            <w:r>
              <w:rPr>
                <w:sz w:val="15"/>
              </w:rPr>
              <w:t>("older adults" OR elderly) ("gait" OR "walking") ("fall prediction" OR "falls risk" OR "prospective falls") (wearable OR accelerometer OR inertial OR camera). Custom range: 2000–2026; first 200 relevance-ranked results screened. The ceiling was prespecified because ranked results are unstable and not exhaustively exportable.</w:t>
            </w:r>
          </w:p>
        </w:tc>
        <w:tc>
          <w:tcPr>
            <w:tcW w:type="dxa" w:w="3869"/>
            <w:tcW w:w="1400" w:type="dxa"/>
          </w:tcPr>
          <w:p>
            <w:pPr>
              <w:pStyle w:val="MDPI42tablebody"/>
              <w:jc w:val="left"/>
            </w:pPr>
            <w:r>
              <w:rPr>
                <w:sz w:val="15"/>
              </w:rPr>
              <w:t>200</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Study/trial registries</w:t>
            </w:r>
          </w:p>
        </w:tc>
        <w:tc>
          <w:tcPr>
            <w:tcW w:type="dxa" w:w="3869"/>
            <w:tcW w:w="9800" w:type="dxa"/>
          </w:tcPr>
          <w:p>
            <w:pPr>
              <w:pStyle w:val="MDPI42tablebody"/>
              <w:jc w:val="left"/>
            </w:pPr>
            <w:r>
              <w:rPr>
                <w:sz w:val="15"/>
              </w:rPr>
              <w:t>Targeted subject searches using the population, gait/sensor, fall, and prediction concepts; registries classified under the PRISMA database/register route.</w:t>
            </w:r>
          </w:p>
        </w:tc>
        <w:tc>
          <w:tcPr>
            <w:tcW w:type="dxa" w:w="3869"/>
            <w:tcW w:w="1400" w:type="dxa"/>
          </w:tcPr>
          <w:p>
            <w:pPr>
              <w:pStyle w:val="MDPI42tablebody"/>
              <w:jc w:val="left"/>
            </w:pPr>
            <w:r>
              <w:rPr>
                <w:sz w:val="15"/>
              </w:rPr>
              <w:t>41</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ProQuest Dissertations &amp; Theses Global</w:t>
            </w:r>
          </w:p>
        </w:tc>
        <w:tc>
          <w:tcPr>
            <w:tcW w:type="dxa" w:w="3869"/>
            <w:tcW w:w="9800" w:type="dxa"/>
          </w:tcPr>
          <w:p>
            <w:pPr>
              <w:pStyle w:val="MDPI42tablebody"/>
              <w:jc w:val="left"/>
            </w:pPr>
            <w:r>
              <w:rPr>
                <w:sz w:val="15"/>
              </w:rPr>
              <w:t>Targeted subject search using the population, gait/sensor, fall, and prediction concepts; candidates classified under the PRISMA database/register route.</w:t>
            </w:r>
          </w:p>
        </w:tc>
        <w:tc>
          <w:tcPr>
            <w:tcW w:type="dxa" w:w="3869"/>
            <w:tcW w:w="1400" w:type="dxa"/>
          </w:tcPr>
          <w:p>
            <w:pPr>
              <w:pStyle w:val="MDPI42tablebody"/>
              <w:jc w:val="left"/>
            </w:pPr>
            <w:r>
              <w:rPr>
                <w:sz w:val="15"/>
              </w:rPr>
              <w:t>38</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Backward and forward citation searching</w:t>
            </w:r>
          </w:p>
        </w:tc>
        <w:tc>
          <w:tcPr>
            <w:tcW w:type="dxa" w:w="3869"/>
            <w:tcW w:w="9800" w:type="dxa"/>
          </w:tcPr>
          <w:p>
            <w:pPr>
              <w:pStyle w:val="MDPI42tablebody"/>
              <w:jc w:val="left"/>
            </w:pPr>
            <w:r>
              <w:rPr>
                <w:sz w:val="15"/>
              </w:rPr>
              <w:t>Reference-list checking and cited-by searching of included reports and relevant reviews; combined unique candidates.</w:t>
            </w:r>
          </w:p>
        </w:tc>
        <w:tc>
          <w:tcPr>
            <w:tcW w:type="dxa" w:w="3869"/>
            <w:tcW w:w="1400" w:type="dxa"/>
          </w:tcPr>
          <w:p>
            <w:pPr>
              <w:pStyle w:val="MDPI42tablebody"/>
              <w:jc w:val="left"/>
            </w:pPr>
            <w:r>
              <w:rPr>
                <w:sz w:val="15"/>
              </w:rPr>
              <w:t>147</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Preprint servers (medRxiv and arXiv)</w:t>
            </w:r>
          </w:p>
        </w:tc>
        <w:tc>
          <w:tcPr>
            <w:tcW w:type="dxa" w:w="3869"/>
            <w:tcW w:w="9800" w:type="dxa"/>
          </w:tcPr>
          <w:p>
            <w:pPr>
              <w:pStyle w:val="MDPI42tablebody"/>
              <w:jc w:val="left"/>
            </w:pPr>
            <w:r>
              <w:rPr>
                <w:sz w:val="15"/>
              </w:rPr>
              <w:t>Targeted subject searches using the population, gait/sensor, fall, and prediction concepts.</w:t>
            </w:r>
          </w:p>
        </w:tc>
        <w:tc>
          <w:tcPr>
            <w:tcW w:type="dxa" w:w="3869"/>
            <w:tcW w:w="1400" w:type="dxa"/>
          </w:tcPr>
          <w:p>
            <w:pPr>
              <w:pStyle w:val="MDPI42tablebody"/>
              <w:jc w:val="left"/>
            </w:pPr>
            <w:r>
              <w:rPr>
                <w:sz w:val="15"/>
              </w:rPr>
              <w:t>63</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Targeted journal hand-searching</w:t>
            </w:r>
          </w:p>
        </w:tc>
        <w:tc>
          <w:tcPr>
            <w:tcW w:type="dxa" w:w="3869"/>
            <w:tcW w:w="9800" w:type="dxa"/>
          </w:tcPr>
          <w:p>
            <w:pPr>
              <w:pStyle w:val="MDPI42tablebody"/>
              <w:jc w:val="left"/>
            </w:pPr>
            <w:r>
              <w:rPr>
                <w:sz w:val="15"/>
              </w:rPr>
              <w:t>Issue/browse searching of relevant journals; aggregate unique candidates.</w:t>
            </w:r>
          </w:p>
        </w:tc>
        <w:tc>
          <w:tcPr>
            <w:tcW w:type="dxa" w:w="3869"/>
            <w:tcW w:w="1400" w:type="dxa"/>
          </w:tcPr>
          <w:p>
            <w:pPr>
              <w:pStyle w:val="MDPI42tablebody"/>
              <w:jc w:val="left"/>
            </w:pPr>
            <w:r>
              <w:rPr>
                <w:sz w:val="15"/>
              </w:rPr>
              <w:t>29</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Author contact for report identification</w:t>
            </w:r>
          </w:p>
        </w:tc>
        <w:tc>
          <w:tcPr>
            <w:tcW w:type="dxa" w:w="3869"/>
            <w:tcW w:w="9800" w:type="dxa"/>
          </w:tcPr>
          <w:p>
            <w:pPr>
              <w:pStyle w:val="MDPI42tablebody"/>
              <w:jc w:val="left"/>
            </w:pPr>
            <w:r>
              <w:rPr>
                <w:sz w:val="15"/>
              </w:rPr>
              <w:t>Contact used to identify reports; no unpublished model estimates were extracted.</w:t>
            </w:r>
          </w:p>
        </w:tc>
        <w:tc>
          <w:tcPr>
            <w:tcW w:type="dxa" w:w="3869"/>
            <w:tcW w:w="1400" w:type="dxa"/>
          </w:tcPr>
          <w:p>
            <w:pPr>
              <w:pStyle w:val="MDPI42tablebody"/>
              <w:jc w:val="left"/>
            </w:pPr>
            <w:r>
              <w:rPr>
                <w:sz w:val="15"/>
              </w:rPr>
              <w:t>6</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PRISMA database/register route subtotal</w:t>
            </w:r>
          </w:p>
        </w:tc>
        <w:tc>
          <w:tcPr>
            <w:tcW w:type="dxa" w:w="3869"/>
            <w:tcW w:w="9800" w:type="dxa"/>
          </w:tcPr>
          <w:p>
            <w:pPr>
              <w:pStyle w:val="MDPI42tablebody"/>
              <w:jc w:val="left"/>
            </w:pPr>
            <w:r>
              <w:rPr>
                <w:sz w:val="15"/>
              </w:rPr>
              <w:t>Nine Boolean sources + Google Scholar + study/trial registries + ProQuest.</w:t>
            </w:r>
          </w:p>
        </w:tc>
        <w:tc>
          <w:tcPr>
            <w:tcW w:type="dxa" w:w="3869"/>
            <w:tcW w:w="1400" w:type="dxa"/>
          </w:tcPr>
          <w:p>
            <w:pPr>
              <w:pStyle w:val="MDPI42tablebody"/>
              <w:jc w:val="left"/>
            </w:pPr>
            <w:r>
              <w:rPr>
                <w:sz w:val="15"/>
              </w:rPr>
              <w:t>14,667</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PRISMA other-methods route subtotal</w:t>
            </w:r>
          </w:p>
        </w:tc>
        <w:tc>
          <w:tcPr>
            <w:tcW w:type="dxa" w:w="3869"/>
            <w:tcW w:w="9800" w:type="dxa"/>
          </w:tcPr>
          <w:p>
            <w:pPr>
              <w:pStyle w:val="MDPI42tablebody"/>
              <w:jc w:val="left"/>
            </w:pPr>
            <w:r>
              <w:rPr>
                <w:sz w:val="15"/>
              </w:rPr>
              <w:t>Citation searching + preprint servers + journal hand-searching + author contact.</w:t>
            </w:r>
          </w:p>
        </w:tc>
        <w:tc>
          <w:tcPr>
            <w:tcW w:type="dxa" w:w="3869"/>
            <w:tcW w:w="1400" w:type="dxa"/>
          </w:tcPr>
          <w:p>
            <w:pPr>
              <w:pStyle w:val="MDPI42tablebody"/>
              <w:jc w:val="left"/>
            </w:pPr>
            <w:r>
              <w:rPr>
                <w:sz w:val="15"/>
              </w:rPr>
              <w:t>245</w:t>
            </w:r>
          </w:p>
        </w:tc>
        <w:tc>
          <w:tcPr>
            <w:tcW w:type="dxa" w:w="3869"/>
            <w:tcW w:w="1400" w:type="dxa"/>
          </w:tcPr>
          <w:p>
            <w:pPr>
              <w:pStyle w:val="MDPI42tablebody"/>
              <w:jc w:val="left"/>
            </w:pPr>
            <w:r>
              <w:rPr>
                <w:sz w:val="15"/>
              </w:rPr>
              <w:t>20 July 2026</w:t>
            </w:r>
          </w:p>
        </w:tc>
      </w:tr>
      <w:tr>
        <w:tc>
          <w:tcPr>
            <w:tcW w:type="dxa" w:w="3869"/>
            <w:tcW w:w="2300" w:type="dxa"/>
          </w:tcPr>
          <w:p>
            <w:pPr>
              <w:pStyle w:val="MDPI42tablebody"/>
              <w:jc w:val="left"/>
            </w:pPr>
            <w:r>
              <w:rPr>
                <w:sz w:val="15"/>
              </w:rPr>
              <w:t>Total records/candidates identified</w:t>
            </w:r>
          </w:p>
        </w:tc>
        <w:tc>
          <w:tcPr>
            <w:tcW w:type="dxa" w:w="3869"/>
            <w:tcW w:w="9800" w:type="dxa"/>
          </w:tcPr>
          <w:p>
            <w:pPr>
              <w:pStyle w:val="MDPI42tablebody"/>
              <w:jc w:val="left"/>
            </w:pPr>
            <w:r>
              <w:rPr>
                <w:sz w:val="15"/>
              </w:rPr>
              <w:t>Combined total before cross-source deduplication.</w:t>
            </w:r>
          </w:p>
        </w:tc>
        <w:tc>
          <w:tcPr>
            <w:tcW w:type="dxa" w:w="3869"/>
            <w:tcW w:w="1400" w:type="dxa"/>
          </w:tcPr>
          <w:p>
            <w:pPr>
              <w:pStyle w:val="MDPI42tablebody"/>
              <w:jc w:val="left"/>
            </w:pPr>
            <w:r>
              <w:rPr>
                <w:sz w:val="15"/>
              </w:rPr>
              <w:t>14,912</w:t>
            </w:r>
          </w:p>
        </w:tc>
        <w:tc>
          <w:tcPr>
            <w:tcW w:type="dxa" w:w="3869"/>
            <w:tcW w:w="1400" w:type="dxa"/>
          </w:tcPr>
          <w:p>
            <w:pPr>
              <w:pStyle w:val="MDPI42tablebody"/>
              <w:jc w:val="left"/>
            </w:pPr>
            <w:r>
              <w:rPr>
                <w:sz w:val="15"/>
              </w:rPr>
              <w:t>20 July 2026</w:t>
            </w:r>
          </w:p>
        </w:tc>
      </w:tr>
    </w:tbl>
    <w:p>
      <w:pPr>
        <w:pStyle w:val="MDPI32textnoindent"/>
      </w:pPr>
      <w:r>
        <w:rPr>
          <w:sz w:val="17"/>
        </w:rPr>
        <w:t>The nine bibliographic databases contributed 14,388 records before deduplication. Google Scholar, registries, and ProQuest brought the database/register route to 14,667 records; citation searching, preprint servers, hand-searching, and author contact contributed 245 records through other methods (total 14,912). After removal of 5433 duplicates, 9479 records were screened, 352 reports were sought, 11 were not retrieved, 341 were assessed in full, 294 were excluded, and 47 were included.</w:t>
      </w:r>
    </w:p>
    <w:p>
      <w:pPr>
        <w:pStyle w:val="MDPI22heading2"/>
      </w:pPr>
      <w:r>
        <w:rPr/>
        <w:t>Table S2. Detailed data extraction for the 47 included reports</w:t>
      </w:r>
    </w:p>
    <w:tbl>
      <w:tblPr>
        <w:tblStyle w:val="MDPI41threelinetable"/>
        <w:tblW w:type="auto" w:w="0"/>
        <w:tblLook w:firstColumn="1" w:firstRow="1" w:lastColumn="0" w:lastRow="0" w:noHBand="0" w:noVBand="1" w:val="04A0"/>
        <w:tblLayout w:type="fixed"/>
      </w:tblPr>
      <w:tblGrid>
        <w:gridCol w:w="1400"/>
        <w:gridCol w:w="2200"/>
        <w:gridCol w:w="2200"/>
        <w:gridCol w:w="1700"/>
        <w:gridCol w:w="1900"/>
        <w:gridCol w:w="2500"/>
        <w:gridCol w:w="1000"/>
        <w:gridCol w:w="2200"/>
      </w:tblGrid>
      <w:tr>
        <w:trPr>
          <w:tblHeader/>
        </w:trPr>
        <w:tc>
          <w:tcPr>
            <w:tcW w:type="dxa" w:w="1935"/>
            <w:tcW w:w="1400" w:type="dxa"/>
          </w:tcPr>
          <w:p>
            <w:pPr>
              <w:pStyle w:val="MDPI42tablebody"/>
              <w:jc w:val="left"/>
            </w:pPr>
            <w:r>
              <w:rPr>
                <w:b/>
                <w:sz w:val="14"/>
              </w:rPr>
              <w:t>Report [ref.]</w:t>
            </w:r>
          </w:p>
        </w:tc>
        <w:tc>
          <w:tcPr>
            <w:tcW w:type="dxa" w:w="1935"/>
            <w:tcW w:w="2200" w:type="dxa"/>
          </w:tcPr>
          <w:p>
            <w:pPr>
              <w:pStyle w:val="MDPI42tablebody"/>
              <w:jc w:val="left"/>
            </w:pPr>
            <w:r>
              <w:rPr>
                <w:b/>
                <w:sz w:val="14"/>
              </w:rPr>
              <w:t>Population, cohort, sample, and fallers</w:t>
            </w:r>
          </w:p>
        </w:tc>
        <w:tc>
          <w:tcPr>
            <w:tcW w:type="dxa" w:w="1935"/>
            <w:tcW w:w="2200" w:type="dxa"/>
          </w:tcPr>
          <w:p>
            <w:pPr>
              <w:pStyle w:val="MDPI42tablebody"/>
              <w:jc w:val="left"/>
            </w:pPr>
            <w:r>
              <w:rPr>
                <w:b/>
                <w:sz w:val="14"/>
              </w:rPr>
              <w:t>Gait technology, assessment, and candidate predictors</w:t>
            </w:r>
          </w:p>
        </w:tc>
        <w:tc>
          <w:tcPr>
            <w:tcW w:type="dxa" w:w="1935"/>
            <w:tcW w:w="1700" w:type="dxa"/>
          </w:tcPr>
          <w:p>
            <w:pPr>
              <w:pStyle w:val="MDPI42tablebody"/>
              <w:jc w:val="left"/>
            </w:pPr>
            <w:r>
              <w:rPr>
                <w:b/>
                <w:sz w:val="14"/>
              </w:rPr>
              <w:t>Fall outcome, horizon, and ascertainment</w:t>
            </w:r>
          </w:p>
        </w:tc>
        <w:tc>
          <w:tcPr>
            <w:tcW w:type="dxa" w:w="1935"/>
            <w:tcW w:w="1900" w:type="dxa"/>
          </w:tcPr>
          <w:p>
            <w:pPr>
              <w:pStyle w:val="MDPI42tablebody"/>
              <w:jc w:val="left"/>
            </w:pPr>
            <w:r>
              <w:rPr>
                <w:b/>
                <w:sz w:val="14"/>
              </w:rPr>
              <w:t>Model and validation stage</w:t>
            </w:r>
          </w:p>
        </w:tc>
        <w:tc>
          <w:tcPr>
            <w:tcW w:type="dxa" w:w="1935"/>
            <w:tcW w:w="2500" w:type="dxa"/>
          </w:tcPr>
          <w:p>
            <w:pPr>
              <w:pStyle w:val="MDPI42tablebody"/>
              <w:jc w:val="left"/>
            </w:pPr>
            <w:r>
              <w:rPr>
                <w:b/>
                <w:sz w:val="14"/>
              </w:rPr>
              <w:t>Performance and calibration</w:t>
            </w:r>
          </w:p>
        </w:tc>
        <w:tc>
          <w:tcPr>
            <w:tcW w:type="dxa" w:w="1935"/>
            <w:tcW w:w="1000" w:type="dxa"/>
          </w:tcPr>
          <w:p>
            <w:pPr>
              <w:pStyle w:val="MDPI42tablebody"/>
              <w:jc w:val="left"/>
            </w:pPr>
            <w:r>
              <w:rPr>
                <w:b/>
                <w:sz w:val="14"/>
              </w:rPr>
              <w:t>PROBAST+AI overall judgment</w:t>
            </w:r>
          </w:p>
        </w:tc>
        <w:tc>
          <w:tcPr>
            <w:tcW w:type="dxa" w:w="1935"/>
            <w:tcW w:w="2200" w:type="dxa"/>
          </w:tcPr>
          <w:p>
            <w:pPr>
              <w:pStyle w:val="MDPI42tablebody"/>
              <w:jc w:val="left"/>
            </w:pPr>
            <w:r>
              <w:rPr>
                <w:b/>
                <w:sz w:val="14"/>
              </w:rPr>
              <w:t>Principal limitation and source</w:t>
            </w:r>
          </w:p>
        </w:tc>
      </w:tr>
      <w:tr>
        <w:tc>
          <w:tcPr>
            <w:tcW w:type="dxa" w:w="1935"/>
            <w:tcW w:w="1400" w:type="dxa"/>
          </w:tcPr>
          <w:p>
            <w:pPr>
              <w:pStyle w:val="MDPI42tablebody"/>
              <w:jc w:val="left"/>
            </w:pPr>
            <w:r>
              <w:rPr>
                <w:sz w:val="14"/>
              </w:rPr>
              <w:t>Marschollek et al. (2011) [17] †</w:t>
            </w:r>
          </w:p>
        </w:tc>
        <w:tc>
          <w:tcPr>
            <w:tcW w:type="dxa" w:w="1935"/>
            <w:tcW w:w="2200" w:type="dxa"/>
          </w:tcPr>
          <w:p>
            <w:pPr>
              <w:pStyle w:val="MDPI42tablebody"/>
              <w:jc w:val="left"/>
            </w:pPr>
            <w:r>
              <w:rPr>
                <w:sz w:val="14"/>
              </w:rPr>
              <w:t>Geriatric inpatients; follow-up mean age approximately 81 years; cohort: Marschollek-geriatric-inpatient; sample: 119 baseline; 50 followed; events: NR</w:t>
            </w:r>
          </w:p>
        </w:tc>
        <w:tc>
          <w:tcPr>
            <w:tcW w:type="dxa" w:w="1935"/>
            <w:tcW w:w="2200" w:type="dxa"/>
          </w:tcPr>
          <w:p>
            <w:pPr>
              <w:pStyle w:val="MDPI42tablebody"/>
              <w:jc w:val="left"/>
            </w:pPr>
            <w:r>
              <w:rPr>
                <w:sz w:val="14"/>
              </w:rPr>
              <w:t>Waist accelerometer; TUG and 20-m walk plus home-activity rating; candidate predictors: Sensor-derived gait/dynamic-balance parameters with or without physical activity</w:t>
            </w:r>
          </w:p>
        </w:tc>
        <w:tc>
          <w:tcPr>
            <w:tcW w:type="dxa" w:w="1935"/>
            <w:tcW w:w="1700" w:type="dxa"/>
          </w:tcPr>
          <w:p>
            <w:pPr>
              <w:pStyle w:val="MDPI42tablebody"/>
              <w:jc w:val="left"/>
            </w:pPr>
            <w:r>
              <w:rPr>
                <w:sz w:val="14"/>
              </w:rPr>
              <w:t>Prospective falls; horizon: 12 months; ascertainment: Telephone interview at 1 year</w:t>
            </w:r>
          </w:p>
        </w:tc>
        <w:tc>
          <w:tcPr>
            <w:tcW w:type="dxa" w:w="1935"/>
            <w:tcW w:w="1900" w:type="dxa"/>
          </w:tcPr>
          <w:p>
            <w:pPr>
              <w:pStyle w:val="MDPI42tablebody"/>
              <w:jc w:val="left"/>
            </w:pPr>
            <w:r>
              <w:rPr>
                <w:sz w:val="14"/>
              </w:rPr>
              <w:t>Classification trees and logistic regression; stage: development internal validation; validation: Repeated 10×10-fold cross-validation</w:t>
            </w:r>
          </w:p>
        </w:tc>
        <w:tc>
          <w:tcPr>
            <w:tcW w:type="dxa" w:w="1935"/>
            <w:tcW w:w="2500" w:type="dxa"/>
          </w:tcPr>
          <w:p>
            <w:pPr>
              <w:pStyle w:val="MDPI42tablebody"/>
              <w:jc w:val="left"/>
            </w:pPr>
            <w:r>
              <w:rPr>
                <w:sz w:val="14"/>
              </w:rPr>
              <w:t>Best classification-tree sensor+activity model AUC=0.87 and Brier score=0.14; logistic sensor+activity AUC=0.72; Calibration: Brier score reported; calibration plot/slope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Severe attrition (50/119 followed); small effective sample; 1-year recall of falls; model selection and validation in same cohort; source: abstract and accessible primary material.</w:t>
            </w:r>
          </w:p>
        </w:tc>
      </w:tr>
      <w:tr>
        <w:tc>
          <w:tcPr>
            <w:tcW w:type="dxa" w:w="1935"/>
            <w:tcW w:w="1400" w:type="dxa"/>
          </w:tcPr>
          <w:p>
            <w:pPr>
              <w:pStyle w:val="MDPI42tablebody"/>
              <w:jc w:val="left"/>
            </w:pPr>
            <w:r>
              <w:rPr>
                <w:sz w:val="14"/>
              </w:rPr>
              <w:t>Marschollek et al. (2011) [18]</w:t>
            </w:r>
          </w:p>
        </w:tc>
        <w:tc>
          <w:tcPr>
            <w:tcW w:type="dxa" w:w="1935"/>
            <w:tcW w:w="2200" w:type="dxa"/>
          </w:tcPr>
          <w:p>
            <w:pPr>
              <w:pStyle w:val="MDPI42tablebody"/>
              <w:jc w:val="left"/>
            </w:pPr>
            <w:r>
              <w:rPr>
                <w:sz w:val="14"/>
              </w:rPr>
              <w:t>Geriatric inpatients; follow-up mean age 81.3 years; cohort: Marschollek-geriatric-inpatient; sample: 119 baseline; 50 followed; 46 complete sensor records; events: 19 fallers; 27 nonfallers among complete cases</w:t>
            </w:r>
          </w:p>
        </w:tc>
        <w:tc>
          <w:tcPr>
            <w:tcW w:type="dxa" w:w="1935"/>
            <w:tcW w:w="2200" w:type="dxa"/>
          </w:tcPr>
          <w:p>
            <w:pPr>
              <w:pStyle w:val="MDPI42tablebody"/>
              <w:jc w:val="left"/>
            </w:pPr>
            <w:r>
              <w:rPr>
                <w:sz w:val="14"/>
              </w:rPr>
              <w:t>Waist tri-axial accelerometer; TUG and 20-m walk; candidate predictors: Sensor gait/dynamic-balance parameters and activity; conventional assessment comparator</w:t>
            </w:r>
          </w:p>
        </w:tc>
        <w:tc>
          <w:tcPr>
            <w:tcW w:type="dxa" w:w="1935"/>
            <w:tcW w:w="1700" w:type="dxa"/>
          </w:tcPr>
          <w:p>
            <w:pPr>
              <w:pStyle w:val="MDPI42tablebody"/>
              <w:jc w:val="left"/>
            </w:pPr>
            <w:r>
              <w:rPr>
                <w:sz w:val="14"/>
              </w:rPr>
              <w:t>Prospective falls; horizon: 12 months; ascertainment: One-year telephone interview</w:t>
            </w:r>
          </w:p>
        </w:tc>
        <w:tc>
          <w:tcPr>
            <w:tcW w:type="dxa" w:w="1935"/>
            <w:tcW w:w="1900" w:type="dxa"/>
          </w:tcPr>
          <w:p>
            <w:pPr>
              <w:pStyle w:val="MDPI42tablebody"/>
              <w:jc w:val="left"/>
            </w:pPr>
            <w:r>
              <w:rPr>
                <w:sz w:val="14"/>
              </w:rPr>
              <w:t>Wrapper-selected logistic regression; stage: development internal validation; validation: Repeated 10×10-fold cross-validation</w:t>
            </w:r>
          </w:p>
        </w:tc>
        <w:tc>
          <w:tcPr>
            <w:tcW w:type="dxa" w:w="1935"/>
            <w:tcW w:w="2500" w:type="dxa"/>
          </w:tcPr>
          <w:p>
            <w:pPr>
              <w:pStyle w:val="MDPI42tablebody"/>
              <w:jc w:val="left"/>
            </w:pPr>
            <w:r>
              <w:rPr>
                <w:sz w:val="14"/>
              </w:rPr>
              <w:t>Sensor model accuracy=70%, sensitivity=58%, specificity=78%, AUC=0.72, Brier=0.21; conventional model AUC=0.74, Brier=0.20; Calibration: Brier score reported; calibration plot/slope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61% attrition; only 46 complete records; 1-year recall of falls; wrapper selection and validation in same small cohort; source: full text.</w:t>
            </w:r>
          </w:p>
        </w:tc>
      </w:tr>
      <w:tr>
        <w:tc>
          <w:tcPr>
            <w:tcW w:type="dxa" w:w="1935"/>
            <w:tcW w:w="1400" w:type="dxa"/>
          </w:tcPr>
          <w:p>
            <w:pPr>
              <w:pStyle w:val="MDPI42tablebody"/>
              <w:jc w:val="left"/>
            </w:pPr>
            <w:r>
              <w:rPr>
                <w:sz w:val="14"/>
              </w:rPr>
              <w:t>Greene et al. (2012) [19] †</w:t>
            </w:r>
          </w:p>
        </w:tc>
        <w:tc>
          <w:tcPr>
            <w:tcW w:type="dxa" w:w="1935"/>
            <w:tcW w:w="2200" w:type="dxa"/>
          </w:tcPr>
          <w:p>
            <w:pPr>
              <w:pStyle w:val="MDPI42tablebody"/>
              <w:jc w:val="left"/>
            </w:pPr>
            <w:r>
              <w:rPr>
                <w:sz w:val="14"/>
              </w:rPr>
              <w:t>Community-dwelling older adults; mean age 71.5 years; cohort: TRIL-community-226; sample: 226; events: 83 fallers; 143 nonfallers; 144 falls</w:t>
            </w:r>
          </w:p>
        </w:tc>
        <w:tc>
          <w:tcPr>
            <w:tcW w:type="dxa" w:w="1935"/>
            <w:tcW w:w="2200" w:type="dxa"/>
          </w:tcPr>
          <w:p>
            <w:pPr>
              <w:pStyle w:val="MDPI42tablebody"/>
              <w:jc w:val="left"/>
            </w:pPr>
            <w:r>
              <w:rPr>
                <w:sz w:val="14"/>
              </w:rPr>
              <w:t>Body-worn inertial sensors on both shanks; Baseline instrumented Timed Up and Go; candidate predictors: Sensor-derived gait, turning, and transfer features from the Timed Up and Go</w:t>
            </w:r>
          </w:p>
        </w:tc>
        <w:tc>
          <w:tcPr>
            <w:tcW w:type="dxa" w:w="1935"/>
            <w:tcW w:w="1700" w:type="dxa"/>
          </w:tcPr>
          <w:p>
            <w:pPr>
              <w:pStyle w:val="MDPI42tablebody"/>
              <w:jc w:val="left"/>
            </w:pPr>
            <w:r>
              <w:rPr>
                <w:sz w:val="14"/>
              </w:rPr>
              <w:t>Any fall; horizon: 2 years; ascertainment: Telephone contact 2 years after baseline</w:t>
            </w:r>
          </w:p>
        </w:tc>
        <w:tc>
          <w:tcPr>
            <w:tcW w:type="dxa" w:w="1935"/>
            <w:tcW w:w="1900" w:type="dxa"/>
          </w:tcPr>
          <w:p>
            <w:pPr>
              <w:pStyle w:val="MDPI42tablebody"/>
              <w:jc w:val="left"/>
            </w:pPr>
            <w:r>
              <w:rPr>
                <w:sz w:val="14"/>
              </w:rPr>
              <w:t>Regularized discriminant classifier; stage: development internal validation; validation: Repeated 10-fold cross-validation across 10 random data shuffles</w:t>
            </w:r>
          </w:p>
        </w:tc>
        <w:tc>
          <w:tcPr>
            <w:tcW w:type="dxa" w:w="1935"/>
            <w:tcW w:w="2500" w:type="dxa"/>
          </w:tcPr>
          <w:p>
            <w:pPr>
              <w:pStyle w:val="MDPI42tablebody"/>
              <w:jc w:val="left"/>
            </w:pPr>
            <w:r>
              <w:rPr>
                <w:sz w:val="14"/>
              </w:rPr>
              <w:t>AUC 0.78; mean accuracy 79.69% (mean 95% CI 77.09–82.34); Sensitivity 73.14%; specificity 82.59%; PPV 73.77%; NPV 85.37%</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Fall ascertainment by a single 2-year telephone recall; internal validation only; nesting of all feature selection was not verifiable; no calibration or external validation; source: abstract and accessible primary material.</w:t>
            </w:r>
          </w:p>
        </w:tc>
      </w:tr>
      <w:tr>
        <w:tc>
          <w:tcPr>
            <w:tcW w:type="dxa" w:w="1935"/>
            <w:tcW w:w="1400" w:type="dxa"/>
          </w:tcPr>
          <w:p>
            <w:pPr>
              <w:pStyle w:val="MDPI42tablebody"/>
              <w:jc w:val="left"/>
            </w:pPr>
            <w:r>
              <w:rPr>
                <w:sz w:val="14"/>
              </w:rPr>
              <w:t>Weiss et al. (2013) [20]</w:t>
            </w:r>
          </w:p>
        </w:tc>
        <w:tc>
          <w:tcPr>
            <w:tcW w:type="dxa" w:w="1935"/>
            <w:tcW w:w="2200" w:type="dxa"/>
          </w:tcPr>
          <w:p>
            <w:pPr>
              <w:pStyle w:val="MDPI42tablebody"/>
              <w:jc w:val="left"/>
            </w:pPr>
            <w:r>
              <w:rPr>
                <w:sz w:val="14"/>
              </w:rPr>
              <w:t>Community-living older adults; cohort: Weiss-community-71; sample: 71 enrolled; 57 complete cases in the prospective logistic analysis; events: 12 recurrent fallers and 45 non-recurrent fallers in the logistic analysis</w:t>
            </w:r>
          </w:p>
        </w:tc>
        <w:tc>
          <w:tcPr>
            <w:tcW w:type="dxa" w:w="1935"/>
            <w:tcW w:w="2200" w:type="dxa"/>
          </w:tcPr>
          <w:p>
            <w:pPr>
              <w:pStyle w:val="MDPI42tablebody"/>
              <w:jc w:val="left"/>
            </w:pPr>
            <w:r>
              <w:rPr>
                <w:sz w:val="14"/>
              </w:rPr>
              <w:t>Tri-axial lower-back accelerometer worn for 3 days; Daily-life ambulation plus laboratory mobility tests; candidate predictors: Activity duration, step count, and power-spectral step-to-step consistency measures</w:t>
            </w:r>
          </w:p>
        </w:tc>
        <w:tc>
          <w:tcPr>
            <w:tcW w:type="dxa" w:w="1935"/>
            <w:tcW w:w="1700" w:type="dxa"/>
          </w:tcPr>
          <w:p>
            <w:pPr>
              <w:pStyle w:val="MDPI42tablebody"/>
              <w:jc w:val="left"/>
            </w:pPr>
            <w:r>
              <w:rPr>
                <w:sz w:val="14"/>
              </w:rPr>
              <w:t>Recurrent falling (at least two falls); horizon: 6 months; ascertainment: Monthly returned fall calendars</w:t>
            </w:r>
          </w:p>
        </w:tc>
        <w:tc>
          <w:tcPr>
            <w:tcW w:type="dxa" w:w="1935"/>
            <w:tcW w:w="1900" w:type="dxa"/>
          </w:tcPr>
          <w:p>
            <w:pPr>
              <w:pStyle w:val="MDPI42tablebody"/>
              <w:jc w:val="left"/>
            </w:pPr>
            <w:r>
              <w:rPr>
                <w:sz w:val="14"/>
              </w:rPr>
              <w:t>Multifeature fall-status classification models; exact method NR; stage: development internal validation; validation: Internal validation; exact scheme NR</w:t>
            </w:r>
          </w:p>
        </w:tc>
        <w:tc>
          <w:tcPr>
            <w:tcW w:type="dxa" w:w="1935"/>
            <w:tcW w:w="2500" w:type="dxa"/>
          </w:tcPr>
          <w:p>
            <w:pPr>
              <w:pStyle w:val="MDPI42tablebody"/>
              <w:jc w:val="left"/>
            </w:pPr>
            <w:r>
              <w:rPr>
                <w:sz w:val="14"/>
              </w:rPr>
              <w:t>Prospective AUC not reported; three-day gait measures improved recurrent-fall classification over clinical tests; Clinical model accuracy/sensitivity/specificity 84.2%/33.3%/97.8%; clinical plus 3-day monitoring 94.7%/75.0%/100%;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57 complete cases with 12 recurrent fallers; exact internal-validation scheme unclear; self-reported outcome; no calibration or independent external validation; source: full text.</w:t>
            </w:r>
          </w:p>
        </w:tc>
      </w:tr>
      <w:tr>
        <w:tc>
          <w:tcPr>
            <w:tcW w:type="dxa" w:w="1935"/>
            <w:tcW w:w="1400" w:type="dxa"/>
          </w:tcPr>
          <w:p>
            <w:pPr>
              <w:pStyle w:val="MDPI42tablebody"/>
              <w:jc w:val="left"/>
            </w:pPr>
            <w:r>
              <w:rPr>
                <w:sz w:val="14"/>
              </w:rPr>
              <w:t>Schwesig et al. (2013) [21] †</w:t>
            </w:r>
          </w:p>
        </w:tc>
        <w:tc>
          <w:tcPr>
            <w:tcW w:type="dxa" w:w="1935"/>
            <w:tcW w:w="2200" w:type="dxa"/>
          </w:tcPr>
          <w:p>
            <w:pPr>
              <w:pStyle w:val="MDPI42tablebody"/>
              <w:jc w:val="left"/>
            </w:pPr>
            <w:r>
              <w:rPr>
                <w:sz w:val="14"/>
              </w:rPr>
              <w:t>Nursing-home residents aged 62–101 years; cohort: German-nursing-home-RehaWatch-146; sample: 146; events: 17 participants had &gt;2 falls; only 8 of 67 classified high-risk recurrently fell</w:t>
            </w:r>
          </w:p>
        </w:tc>
        <w:tc>
          <w:tcPr>
            <w:tcW w:type="dxa" w:w="1935"/>
            <w:tcW w:w="2200" w:type="dxa"/>
          </w:tcPr>
          <w:p>
            <w:pPr>
              <w:pStyle w:val="MDPI42tablebody"/>
              <w:jc w:val="left"/>
            </w:pPr>
            <w:r>
              <w:rPr>
                <w:sz w:val="14"/>
              </w:rPr>
              <w:t>Mobile inertial gait system (RehaWatch) plus Interactive Balance System; Gait analysis and posturography; candidate predictors: Predefined and newly selected gait/posturographic parameters</w:t>
            </w:r>
          </w:p>
        </w:tc>
        <w:tc>
          <w:tcPr>
            <w:tcW w:type="dxa" w:w="1935"/>
            <w:tcW w:w="1700" w:type="dxa"/>
          </w:tcPr>
          <w:p>
            <w:pPr>
              <w:pStyle w:val="MDPI42tablebody"/>
              <w:jc w:val="left"/>
            </w:pPr>
            <w:r>
              <w:rPr>
                <w:sz w:val="14"/>
              </w:rPr>
              <w:t>More than two falls; horizon: 12 months; ascertainment: Standardized prospective fall protocols</w:t>
            </w:r>
          </w:p>
        </w:tc>
        <w:tc>
          <w:tcPr>
            <w:tcW w:type="dxa" w:w="1935"/>
            <w:tcW w:w="1900" w:type="dxa"/>
          </w:tcPr>
          <w:p>
            <w:pPr>
              <w:pStyle w:val="MDPI42tablebody"/>
              <w:jc w:val="left"/>
            </w:pPr>
            <w:r>
              <w:rPr>
                <w:sz w:val="14"/>
              </w:rPr>
              <w:t>Bifactorial measurement rule; stage: prospective prior parameter evaluation and same sample updating; validation: Prospective evaluation of previously proposed parameters plus data-driven rule updating in the same cohort</w:t>
            </w:r>
          </w:p>
        </w:tc>
        <w:tc>
          <w:tcPr>
            <w:tcW w:type="dxa" w:w="1935"/>
            <w:tcW w:w="2500" w:type="dxa"/>
          </w:tcPr>
          <w:p>
            <w:pPr>
              <w:pStyle w:val="MDPI42tablebody"/>
              <w:jc w:val="left"/>
            </w:pPr>
            <w:r>
              <w:rPr>
                <w:sz w:val="14"/>
              </w:rPr>
              <w:t>Sensitivity 47% for prior parameters; new-rule PPV 12% and NPV 88%;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17 recurrent fallers; data-driven rule updating in validation cohort; poor PPV; no calibration; source: abstract and accessible primary material.</w:t>
            </w:r>
          </w:p>
        </w:tc>
      </w:tr>
      <w:tr>
        <w:tc>
          <w:tcPr>
            <w:tcW w:type="dxa" w:w="1935"/>
            <w:tcW w:w="1400" w:type="dxa"/>
          </w:tcPr>
          <w:p>
            <w:pPr>
              <w:pStyle w:val="MDPI42tablebody"/>
              <w:jc w:val="left"/>
            </w:pPr>
            <w:r>
              <w:rPr>
                <w:sz w:val="14"/>
              </w:rPr>
              <w:t>Doi et al. (2013) [22]</w:t>
            </w:r>
          </w:p>
        </w:tc>
        <w:tc>
          <w:tcPr>
            <w:tcW w:type="dxa" w:w="1935"/>
            <w:tcW w:w="2200" w:type="dxa"/>
          </w:tcPr>
          <w:p>
            <w:pPr>
              <w:pStyle w:val="MDPI42tablebody"/>
              <w:jc w:val="left"/>
            </w:pPr>
            <w:r>
              <w:rPr>
                <w:sz w:val="14"/>
              </w:rPr>
              <w:t>Community-dwelling adults aged ≥65 years; mean age 80.8 years; cohort: Doi-trunk-harmonic-ratio-73; sample: 73; events: 16 fallers; 57 nonfallers</w:t>
            </w:r>
          </w:p>
        </w:tc>
        <w:tc>
          <w:tcPr>
            <w:tcW w:type="dxa" w:w="1935"/>
            <w:tcW w:w="2200" w:type="dxa"/>
          </w:tcPr>
          <w:p>
            <w:pPr>
              <w:pStyle w:val="MDPI42tablebody"/>
              <w:jc w:val="left"/>
            </w:pPr>
            <w:r>
              <w:rPr>
                <w:sz w:val="14"/>
              </w:rPr>
              <w:t>Accelerometers on upper and lower trunk; Usual-pace walking; candidate predictors: Upper/lower trunk harmonic ratios plus physical performance/confounders</w:t>
            </w:r>
          </w:p>
        </w:tc>
        <w:tc>
          <w:tcPr>
            <w:tcW w:type="dxa" w:w="1935"/>
            <w:tcW w:w="1700" w:type="dxa"/>
          </w:tcPr>
          <w:p>
            <w:pPr>
              <w:pStyle w:val="MDPI42tablebody"/>
              <w:jc w:val="left"/>
            </w:pPr>
            <w:r>
              <w:rPr>
                <w:sz w:val="14"/>
              </w:rPr>
              <w:t>At least one prospective fall; horizon: 12 months; ascertainment: Participant fall records collected at least weekly by research assistants</w:t>
            </w:r>
          </w:p>
        </w:tc>
        <w:tc>
          <w:tcPr>
            <w:tcW w:type="dxa" w:w="1935"/>
            <w:tcW w:w="1900" w:type="dxa"/>
          </w:tcPr>
          <w:p>
            <w:pPr>
              <w:pStyle w:val="MDPI42tablebody"/>
              <w:jc w:val="left"/>
            </w:pPr>
            <w:r>
              <w:rPr>
                <w:sz w:val="14"/>
              </w:rPr>
              <w:t>Multivariable logistic regression; stage: development; validation: Apparent performance</w:t>
            </w:r>
          </w:p>
        </w:tc>
        <w:tc>
          <w:tcPr>
            <w:tcW w:type="dxa" w:w="1935"/>
            <w:tcW w:w="2500" w:type="dxa"/>
          </w:tcPr>
          <w:p>
            <w:pPr>
              <w:pStyle w:val="MDPI42tablebody"/>
              <w:jc w:val="left"/>
            </w:pPr>
            <w:r>
              <w:rPr>
                <w:sz w:val="14"/>
              </w:rPr>
              <w:t>Upper-trunk harmonic ratio AUC=0.81 (reported 95% CI 0.69–0.93), sensitivity=68.8%, specificity=84.2%;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16 events; predictor/model selection and performance in same cohort; no internal validation, calibration, or external validation; source: full text.</w:t>
            </w:r>
          </w:p>
        </w:tc>
      </w:tr>
      <w:tr>
        <w:tc>
          <w:tcPr>
            <w:tcW w:type="dxa" w:w="1935"/>
            <w:tcW w:w="1400" w:type="dxa"/>
          </w:tcPr>
          <w:p>
            <w:pPr>
              <w:pStyle w:val="MDPI42tablebody"/>
              <w:jc w:val="left"/>
            </w:pPr>
            <w:r>
              <w:rPr>
                <w:sz w:val="14"/>
              </w:rPr>
              <w:t>Mignardot et al. (2014) [23]</w:t>
            </w:r>
          </w:p>
        </w:tc>
        <w:tc>
          <w:tcPr>
            <w:tcW w:type="dxa" w:w="1935"/>
            <w:tcW w:w="2200" w:type="dxa"/>
          </w:tcPr>
          <w:p>
            <w:pPr>
              <w:pStyle w:val="MDPI42tablebody"/>
              <w:jc w:val="left"/>
            </w:pPr>
            <w:r>
              <w:rPr>
                <w:sz w:val="14"/>
              </w:rPr>
              <w:t>Home-dwelling adults aged 66–75 years with no previous falls; cohort: French-first-fall-259; sample: 259 recruited; 256 after adjudicated exclusions; events: 20 first falls at 0–6 months; 26 at 6–12 months; 26 at 12–24 months</w:t>
            </w:r>
          </w:p>
        </w:tc>
        <w:tc>
          <w:tcPr>
            <w:tcW w:type="dxa" w:w="1935"/>
            <w:tcW w:w="2200" w:type="dxa"/>
          </w:tcPr>
          <w:p>
            <w:pPr>
              <w:pStyle w:val="MDPI42tablebody"/>
              <w:jc w:val="left"/>
            </w:pPr>
            <w:r>
              <w:rPr>
                <w:sz w:val="14"/>
              </w:rPr>
              <w:t>Accelerometric gait-analysis system; Four standardized walking tests yielding 22 gait variables; candidate predictors: PCA-derived global gait kinetics and gait regularity</w:t>
            </w:r>
          </w:p>
        </w:tc>
        <w:tc>
          <w:tcPr>
            <w:tcW w:type="dxa" w:w="1935"/>
            <w:tcW w:w="1700" w:type="dxa"/>
          </w:tcPr>
          <w:p>
            <w:pPr>
              <w:pStyle w:val="MDPI42tablebody"/>
              <w:jc w:val="left"/>
            </w:pPr>
            <w:r>
              <w:rPr>
                <w:sz w:val="14"/>
              </w:rPr>
              <w:t>Time to first fall; horizon: 24 months, with 0–6, 6–12, and 12–24 month intervals; ascertainment: Monthly calls in year 1 and every 3 months in year 2, with expert adjudication</w:t>
            </w:r>
          </w:p>
        </w:tc>
        <w:tc>
          <w:tcPr>
            <w:tcW w:type="dxa" w:w="1935"/>
            <w:tcW w:w="1900" w:type="dxa"/>
          </w:tcPr>
          <w:p>
            <w:pPr>
              <w:pStyle w:val="MDPI42tablebody"/>
              <w:jc w:val="left"/>
            </w:pPr>
            <w:r>
              <w:rPr>
                <w:sz w:val="14"/>
              </w:rPr>
              <w:t>Principal-component risk markers assessed by ROC analysis; stage: development; validation: Apparent performance</w:t>
            </w:r>
          </w:p>
        </w:tc>
        <w:tc>
          <w:tcPr>
            <w:tcW w:type="dxa" w:w="1935"/>
            <w:tcW w:w="2500" w:type="dxa"/>
          </w:tcPr>
          <w:p>
            <w:pPr>
              <w:pStyle w:val="MDPI42tablebody"/>
              <w:jc w:val="left"/>
            </w:pPr>
            <w:r>
              <w:rPr>
                <w:sz w:val="14"/>
              </w:rPr>
              <w:t>PC1 AUC 0.70 (95% CI 0.64–0.75) at 0–6 months; PC2 AUC 0.67 (0.62–0.72) at 6–12 months; no signal after 12 months;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PCA-derived markers and interval-specific ROC performance were developed and evaluated in the same cohort; no optimism correction, calibration, or external validation; source: full text.</w:t>
            </w:r>
          </w:p>
        </w:tc>
      </w:tr>
      <w:tr>
        <w:tc>
          <w:tcPr>
            <w:tcW w:type="dxa" w:w="1935"/>
            <w:tcW w:w="1400" w:type="dxa"/>
          </w:tcPr>
          <w:p>
            <w:pPr>
              <w:pStyle w:val="MDPI42tablebody"/>
              <w:jc w:val="left"/>
            </w:pPr>
            <w:r>
              <w:rPr>
                <w:sz w:val="14"/>
              </w:rPr>
              <w:t>Schwenk et al. (2014) [24]</w:t>
            </w:r>
          </w:p>
        </w:tc>
        <w:tc>
          <w:tcPr>
            <w:tcW w:type="dxa" w:w="1935"/>
            <w:tcW w:w="2200" w:type="dxa"/>
          </w:tcPr>
          <w:p>
            <w:pPr>
              <w:pStyle w:val="MDPI42tablebody"/>
              <w:jc w:val="left"/>
            </w:pPr>
            <w:r>
              <w:rPr>
                <w:sz w:val="14"/>
              </w:rPr>
              <w:t>People with dementia discharged from geriatric rehabilitation; mean age 81.8±6.3 years; cohort: Dementia-rehabilitation-77; sample: 118 approached; 115 enrolled; 77 analysed; events: 28 fallers</w:t>
            </w:r>
          </w:p>
        </w:tc>
        <w:tc>
          <w:tcPr>
            <w:tcW w:type="dxa" w:w="1935"/>
            <w:tcW w:w="2200" w:type="dxa"/>
          </w:tcPr>
          <w:p>
            <w:pPr>
              <w:pStyle w:val="MDPI42tablebody"/>
              <w:jc w:val="left"/>
            </w:pPr>
            <w:r>
              <w:rPr>
                <w:sz w:val="14"/>
              </w:rPr>
              <w:t>24-hour wearable motion sensor; Free-living walking, standing, sitting, and lying behaviour; candidate predictors: Sensor-derived activity plus previous falls and conventional assessments</w:t>
            </w:r>
          </w:p>
        </w:tc>
        <w:tc>
          <w:tcPr>
            <w:tcW w:type="dxa" w:w="1935"/>
            <w:tcW w:w="1700" w:type="dxa"/>
          </w:tcPr>
          <w:p>
            <w:pPr>
              <w:pStyle w:val="MDPI42tablebody"/>
              <w:jc w:val="left"/>
            </w:pPr>
            <w:r>
              <w:rPr>
                <w:sz w:val="14"/>
              </w:rPr>
              <w:t>At least one fall; horizon: 3 months; ascertainment: Monthly fall calendars with reminder calls</w:t>
            </w:r>
          </w:p>
        </w:tc>
        <w:tc>
          <w:tcPr>
            <w:tcW w:type="dxa" w:w="1935"/>
            <w:tcW w:w="1900" w:type="dxa"/>
          </w:tcPr>
          <w:p>
            <w:pPr>
              <w:pStyle w:val="MDPI42tablebody"/>
              <w:jc w:val="left"/>
            </w:pPr>
            <w:r>
              <w:rPr>
                <w:sz w:val="14"/>
              </w:rPr>
              <w:t>Multivariable logistic regression; stage: development; validation: Apparent performance</w:t>
            </w:r>
          </w:p>
        </w:tc>
        <w:tc>
          <w:tcPr>
            <w:tcW w:type="dxa" w:w="1935"/>
            <w:tcW w:w="2500" w:type="dxa"/>
          </w:tcPr>
          <w:p>
            <w:pPr>
              <w:pStyle w:val="MDPI42tablebody"/>
              <w:jc w:val="left"/>
            </w:pPr>
            <w:r>
              <w:rPr>
                <w:sz w:val="14"/>
              </w:rPr>
              <w:t>Prior falls plus walking-bout duration AUC 0.771; Sensitivity 71.5%; specificity 75.5%;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28 events; predictor selection and performance in same small cohort; no calibration or external validation; source: full text.</w:t>
            </w:r>
          </w:p>
        </w:tc>
      </w:tr>
      <w:tr>
        <w:tc>
          <w:tcPr>
            <w:tcW w:type="dxa" w:w="1935"/>
            <w:tcW w:w="1400" w:type="dxa"/>
          </w:tcPr>
          <w:p>
            <w:pPr>
              <w:pStyle w:val="MDPI42tablebody"/>
              <w:jc w:val="left"/>
            </w:pPr>
            <w:r>
              <w:rPr>
                <w:sz w:val="14"/>
              </w:rPr>
              <w:t>van Schooten et al. (2015) [25]</w:t>
            </w:r>
          </w:p>
        </w:tc>
        <w:tc>
          <w:tcPr>
            <w:tcW w:type="dxa" w:w="1935"/>
            <w:tcW w:w="2200" w:type="dxa"/>
          </w:tcPr>
          <w:p>
            <w:pPr>
              <w:pStyle w:val="MDPI42tablebody"/>
              <w:jc w:val="left"/>
            </w:pPr>
            <w:r>
              <w:rPr>
                <w:sz w:val="14"/>
              </w:rPr>
              <w:t>Community-dwelling older adults; mean age 75 years; cohort: FARAO; sample: 169 enrolled; complete-case model denominator lower; events: 59 fallers; 110 nonfallers</w:t>
            </w:r>
          </w:p>
        </w:tc>
        <w:tc>
          <w:tcPr>
            <w:tcW w:type="dxa" w:w="1935"/>
            <w:tcW w:w="2200" w:type="dxa"/>
          </w:tcPr>
          <w:p>
            <w:pPr>
              <w:pStyle w:val="MDPI42tablebody"/>
              <w:jc w:val="left"/>
            </w:pPr>
            <w:r>
              <w:rPr>
                <w:sz w:val="14"/>
              </w:rPr>
              <w:t>DynaPort trunk accelerometer worn for 1 week; Daily-life activity amount and gait quality plus questionnaires/tests; candidate predictors: Questionnaires, grip strength, trail-making, activity amount, gait quality, and interactions</w:t>
            </w:r>
          </w:p>
        </w:tc>
        <w:tc>
          <w:tcPr>
            <w:tcW w:type="dxa" w:w="1935"/>
            <w:tcW w:w="1700" w:type="dxa"/>
          </w:tcPr>
          <w:p>
            <w:pPr>
              <w:pStyle w:val="MDPI42tablebody"/>
              <w:jc w:val="left"/>
            </w:pPr>
            <w:r>
              <w:rPr>
                <w:sz w:val="14"/>
              </w:rPr>
              <w:t>At least one prospective fall; horizon: 6 months; ascertainment: Fall diaries and monthly telephone contact</w:t>
            </w:r>
          </w:p>
        </w:tc>
        <w:tc>
          <w:tcPr>
            <w:tcW w:type="dxa" w:w="1935"/>
            <w:tcW w:w="1900" w:type="dxa"/>
          </w:tcPr>
          <w:p>
            <w:pPr>
              <w:pStyle w:val="MDPI42tablebody"/>
              <w:jc w:val="left"/>
            </w:pPr>
            <w:r>
              <w:rPr>
                <w:sz w:val="14"/>
              </w:rPr>
              <w:t>Multivariable logistic regression; stage: development; validation: Apparent performance</w:t>
            </w:r>
          </w:p>
        </w:tc>
        <w:tc>
          <w:tcPr>
            <w:tcW w:type="dxa" w:w="1935"/>
            <w:tcW w:w="2500" w:type="dxa"/>
          </w:tcPr>
          <w:p>
            <w:pPr>
              <w:pStyle w:val="MDPI42tablebody"/>
              <w:jc w:val="left"/>
            </w:pPr>
            <w:r>
              <w:rPr>
                <w:sz w:val="14"/>
              </w:rPr>
              <w:t>Clinical AUC 0.68; accelerometry AUC 0.71; combined AUC 0.82 (95% CI 0.75–0.89); Combined sensitivity 70.0%, specificity 80.9%, PPV 66.0%, NPV 82.6%; Calibration: Hosmer–Lemeshow p=0.87 clinical, 0.68 accelerometry, and 0.53 combined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Data-driven selection/interactions with apparent performance; no calibration or independent validation; source: full text.</w:t>
            </w:r>
          </w:p>
        </w:tc>
      </w:tr>
      <w:tr>
        <w:tc>
          <w:tcPr>
            <w:tcW w:type="dxa" w:w="1935"/>
            <w:tcW w:w="1400" w:type="dxa"/>
          </w:tcPr>
          <w:p>
            <w:pPr>
              <w:pStyle w:val="MDPI42tablebody"/>
              <w:jc w:val="left"/>
            </w:pPr>
            <w:r>
              <w:rPr>
                <w:sz w:val="14"/>
              </w:rPr>
              <w:t>van Schooten et al. (2016) [26]</w:t>
            </w:r>
          </w:p>
        </w:tc>
        <w:tc>
          <w:tcPr>
            <w:tcW w:type="dxa" w:w="1935"/>
            <w:tcW w:w="2200" w:type="dxa"/>
          </w:tcPr>
          <w:p>
            <w:pPr>
              <w:pStyle w:val="MDPI42tablebody"/>
              <w:jc w:val="left"/>
            </w:pPr>
            <w:r>
              <w:rPr>
                <w:sz w:val="14"/>
              </w:rPr>
              <w:t>Community-dwelling older adults; mean age 75.5±6.9 years; cohort: FARAO; sample: 319 enrolled; 294 with complete development data; events: By 12 months: 134 first and 65 second falls</w:t>
            </w:r>
          </w:p>
        </w:tc>
        <w:tc>
          <w:tcPr>
            <w:tcW w:type="dxa" w:w="1935"/>
            <w:tcW w:w="2200" w:type="dxa"/>
          </w:tcPr>
          <w:p>
            <w:pPr>
              <w:pStyle w:val="MDPI42tablebody"/>
              <w:jc w:val="left"/>
            </w:pPr>
            <w:r>
              <w:rPr>
                <w:sz w:val="14"/>
              </w:rPr>
              <w:t>Lower-back/trunk DynaPort MoveMonitor worn 1 week; Daily-life physical activity and gait-quality monitoring; candidate predictors: PCA-derived daily-life gait, activity, questionnaire, strength, and cognition components</w:t>
            </w:r>
          </w:p>
        </w:tc>
        <w:tc>
          <w:tcPr>
            <w:tcW w:type="dxa" w:w="1935"/>
            <w:tcW w:w="1700" w:type="dxa"/>
          </w:tcPr>
          <w:p>
            <w:pPr>
              <w:pStyle w:val="MDPI42tablebody"/>
              <w:jc w:val="left"/>
            </w:pPr>
            <w:r>
              <w:rPr>
                <w:sz w:val="14"/>
              </w:rPr>
              <w:t>Time to first and second fall; horizon: 2–12 months (median 11 months); ascertainment: Daily fall diaries with monthly telephone contact</w:t>
            </w:r>
          </w:p>
        </w:tc>
        <w:tc>
          <w:tcPr>
            <w:tcW w:type="dxa" w:w="1935"/>
            <w:tcW w:w="1900" w:type="dxa"/>
          </w:tcPr>
          <w:p>
            <w:pPr>
              <w:pStyle w:val="MDPI42tablebody"/>
              <w:jc w:val="left"/>
            </w:pPr>
            <w:r>
              <w:rPr>
                <w:sz w:val="14"/>
              </w:rPr>
              <w:t>Parametric/survival prediction models; stage: development internal validation; validation: Leave-one-out cross-validation with bootstrap confidence intervals</w:t>
            </w:r>
          </w:p>
        </w:tc>
        <w:tc>
          <w:tcPr>
            <w:tcW w:type="dxa" w:w="1935"/>
            <w:tcW w:w="2500" w:type="dxa"/>
          </w:tcPr>
          <w:p>
            <w:pPr>
              <w:pStyle w:val="MDPI42tablebody"/>
              <w:jc w:val="left"/>
            </w:pPr>
            <w:r>
              <w:rPr>
                <w:sz w:val="14"/>
              </w:rPr>
              <w:t>Time-dependent AUC approximately 0.66–0.72 for first fall and 0.69–0.76 for second fall;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Variable follow-up; predictor reduction and validation within one cohort; no calibration or external validation; source: full text.</w:t>
            </w:r>
          </w:p>
        </w:tc>
      </w:tr>
      <w:tr>
        <w:tc>
          <w:tcPr>
            <w:tcW w:type="dxa" w:w="1935"/>
            <w:tcW w:w="1400" w:type="dxa"/>
          </w:tcPr>
          <w:p>
            <w:pPr>
              <w:pStyle w:val="MDPI42tablebody"/>
              <w:jc w:val="left"/>
            </w:pPr>
            <w:r>
              <w:rPr>
                <w:sz w:val="14"/>
              </w:rPr>
              <w:t>Drover et al. (2017) [28]</w:t>
            </w:r>
          </w:p>
        </w:tc>
        <w:tc>
          <w:tcPr>
            <w:tcW w:type="dxa" w:w="1935"/>
            <w:tcW w:w="2200" w:type="dxa"/>
          </w:tcPr>
          <w:p>
            <w:pPr>
              <w:pStyle w:val="MDPI42tablebody"/>
              <w:jc w:val="left"/>
            </w:pPr>
            <w:r>
              <w:rPr>
                <w:sz w:val="14"/>
              </w:rPr>
              <w:t>Older adults; mean age 74.15±7.0 years; cohort: Howcroft-75; sample: 76 enrolled; 71 analysed; events: 28 prospective fallers; 43 nonfallers</w:t>
            </w:r>
          </w:p>
        </w:tc>
        <w:tc>
          <w:tcPr>
            <w:tcW w:type="dxa" w:w="1935"/>
            <w:tcW w:w="2200" w:type="dxa"/>
          </w:tcPr>
          <w:p>
            <w:pPr>
              <w:pStyle w:val="MDPI42tablebody"/>
              <w:jc w:val="left"/>
            </w:pPr>
            <w:r>
              <w:rPr>
                <w:sz w:val="14"/>
              </w:rPr>
              <w:t>Accelerometers on lower legs and pelvis; 6-minute walk segmented into turns and straight walking; candidate predictors: Turn and straight-walking accelerometer features</w:t>
            </w:r>
          </w:p>
        </w:tc>
        <w:tc>
          <w:tcPr>
            <w:tcW w:type="dxa" w:w="1935"/>
            <w:tcW w:w="1700" w:type="dxa"/>
          </w:tcPr>
          <w:p>
            <w:pPr>
              <w:pStyle w:val="MDPI42tablebody"/>
              <w:jc w:val="left"/>
            </w:pPr>
            <w:r>
              <w:rPr>
                <w:sz w:val="14"/>
              </w:rPr>
              <w:t>Prospective faller status; horizon: 6 months; ascertainment: Prospective follow-up; method NR</w:t>
            </w:r>
          </w:p>
        </w:tc>
        <w:tc>
          <w:tcPr>
            <w:tcW w:type="dxa" w:w="1935"/>
            <w:tcW w:w="1900" w:type="dxa"/>
          </w:tcPr>
          <w:p>
            <w:pPr>
              <w:pStyle w:val="MDPI42tablebody"/>
              <w:jc w:val="left"/>
            </w:pPr>
            <w:r>
              <w:rPr>
                <w:sz w:val="14"/>
              </w:rPr>
              <w:t>Random forest and other classifiers with feature selection; stage: development internal validation; validation: Repeated random-subsampling CV with feature subset selected across iterations</w:t>
            </w:r>
          </w:p>
        </w:tc>
        <w:tc>
          <w:tcPr>
            <w:tcW w:type="dxa" w:w="1935"/>
            <w:tcW w:w="2500" w:type="dxa"/>
          </w:tcPr>
          <w:p>
            <w:pPr>
              <w:pStyle w:val="MDPI42tablebody"/>
              <w:jc w:val="left"/>
            </w:pPr>
            <w:r>
              <w:rPr>
                <w:sz w:val="14"/>
              </w:rPr>
              <w:t>Frequently selected feature subset: accuracy=77.3%, sensitivity=66.1%, specificity=84.7%, MCC=0.52;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Probable participant overlap with the Howcroft 2017/2018 programme could not be resolved from reported recruitment details; flexible same-cohort modelling; no calibration or independent validation; source: full text.</w:t>
            </w:r>
          </w:p>
        </w:tc>
      </w:tr>
      <w:tr>
        <w:tc>
          <w:tcPr>
            <w:tcW w:type="dxa" w:w="1935"/>
            <w:tcW w:w="1400" w:type="dxa"/>
          </w:tcPr>
          <w:p>
            <w:pPr>
              <w:pStyle w:val="MDPI42tablebody"/>
              <w:jc w:val="left"/>
            </w:pPr>
            <w:r>
              <w:rPr>
                <w:sz w:val="14"/>
              </w:rPr>
              <w:t>Howcroft et al. (2017) [27] †</w:t>
            </w:r>
          </w:p>
        </w:tc>
        <w:tc>
          <w:tcPr>
            <w:tcW w:type="dxa" w:w="1935"/>
            <w:tcW w:w="2200" w:type="dxa"/>
          </w:tcPr>
          <w:p>
            <w:pPr>
              <w:pStyle w:val="MDPI42tablebody"/>
              <w:jc w:val="left"/>
            </w:pPr>
            <w:r>
              <w:rPr>
                <w:sz w:val="14"/>
              </w:rPr>
              <w:t>Older adults; mean age 75.2±6.6 years; cohort: Howcroft-75; sample: 75; events: 28 fallers; 47 nonfallers</w:t>
            </w:r>
          </w:p>
        </w:tc>
        <w:tc>
          <w:tcPr>
            <w:tcW w:type="dxa" w:w="1935"/>
            <w:tcW w:w="2200" w:type="dxa"/>
          </w:tcPr>
          <w:p>
            <w:pPr>
              <w:pStyle w:val="MDPI42tablebody"/>
              <w:jc w:val="left"/>
            </w:pPr>
            <w:r>
              <w:rPr>
                <w:sz w:val="14"/>
              </w:rPr>
              <w:t>Pressure insoles plus accelerometers on head, pelvis, and both shanks; 7.62-m single- and dual-task walking; candidate predictors: Sensor-derived gait parameters across sensor/condition combinations</w:t>
            </w:r>
          </w:p>
        </w:tc>
        <w:tc>
          <w:tcPr>
            <w:tcW w:type="dxa" w:w="1935"/>
            <w:tcW w:w="1700" w:type="dxa"/>
          </w:tcPr>
          <w:p>
            <w:pPr>
              <w:pStyle w:val="MDPI42tablebody"/>
              <w:jc w:val="left"/>
            </w:pPr>
            <w:r>
              <w:rPr>
                <w:sz w:val="14"/>
              </w:rPr>
              <w:t>Prospective faller status; horizon: 6 months; ascertainment: Fall calendar and fall-report form with monthly contact</w:t>
            </w:r>
          </w:p>
        </w:tc>
        <w:tc>
          <w:tcPr>
            <w:tcW w:type="dxa" w:w="1935"/>
            <w:tcW w:w="1900" w:type="dxa"/>
          </w:tcPr>
          <w:p>
            <w:pPr>
              <w:pStyle w:val="MDPI42tablebody"/>
              <w:jc w:val="left"/>
            </w:pPr>
            <w:r>
              <w:rPr>
                <w:sz w:val="14"/>
              </w:rPr>
              <w:t>Neural network, naïve Bayes, and support-vector machine; stage: development internal validation; validation: Single stratified 75:25 holdout: training 56 participants (21 fallers/35 nonfallers), test 19 participants (7 fallers/12 nonfallers)</w:t>
            </w:r>
          </w:p>
        </w:tc>
        <w:tc>
          <w:tcPr>
            <w:tcW w:type="dxa" w:w="1935"/>
            <w:tcW w:w="2500" w:type="dxa"/>
          </w:tcPr>
          <w:p>
            <w:pPr>
              <w:pStyle w:val="MDPI42tablebody"/>
              <w:jc w:val="left"/>
            </w:pPr>
            <w:r>
              <w:rPr>
                <w:sz w:val="14"/>
              </w:rPr>
              <w:t>Accuracy 57%, sensitivity 43%, specificity 65%;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28 events; extensive sensor/model searching; modest performance; no calibration or independent validation; source: abstract and accessible primary material.</w:t>
            </w:r>
          </w:p>
        </w:tc>
      </w:tr>
      <w:tr>
        <w:tc>
          <w:tcPr>
            <w:tcW w:type="dxa" w:w="1935"/>
            <w:tcW w:w="1400" w:type="dxa"/>
          </w:tcPr>
          <w:p>
            <w:pPr>
              <w:pStyle w:val="MDPI42tablebody"/>
              <w:jc w:val="left"/>
            </w:pPr>
            <w:r>
              <w:rPr>
                <w:sz w:val="14"/>
              </w:rPr>
              <w:t>Greene et al. (2018) [29]</w:t>
            </w:r>
          </w:p>
        </w:tc>
        <w:tc>
          <w:tcPr>
            <w:tcW w:type="dxa" w:w="1935"/>
            <w:tcW w:w="2200" w:type="dxa"/>
          </w:tcPr>
          <w:p>
            <w:pPr>
              <w:pStyle w:val="MDPI42tablebody"/>
              <w:jc w:val="left"/>
            </w:pPr>
            <w:r>
              <w:rPr>
                <w:sz w:val="14"/>
              </w:rPr>
              <w:t>People with Parkinson disease; cohort: QTUG-PD-15; sample: 15; events: 4/15 fallers at 90 days; 8/12 with complete follow-up at 180 days</w:t>
            </w:r>
          </w:p>
        </w:tc>
        <w:tc>
          <w:tcPr>
            <w:tcW w:type="dxa" w:w="1935"/>
            <w:tcW w:w="2200" w:type="dxa"/>
          </w:tcPr>
          <w:p>
            <w:pPr>
              <w:pStyle w:val="MDPI42tablebody"/>
              <w:jc w:val="left"/>
            </w:pPr>
            <w:r>
              <w:rPr>
                <w:sz w:val="14"/>
              </w:rPr>
              <w:t>Two inertial sensors, one below each knee; Baseline and monthly quantified TUG assessments; candidate predictors: Pre-existing QTUG fall-risk estimate</w:t>
            </w:r>
          </w:p>
        </w:tc>
        <w:tc>
          <w:tcPr>
            <w:tcW w:type="dxa" w:w="1935"/>
            <w:tcW w:w="1700" w:type="dxa"/>
          </w:tcPr>
          <w:p>
            <w:pPr>
              <w:pStyle w:val="MDPI42tablebody"/>
              <w:jc w:val="left"/>
            </w:pPr>
            <w:r>
              <w:rPr>
                <w:sz w:val="14"/>
              </w:rPr>
              <w:t>Prospective fall; horizon: 90 and 180 days; ascertainment: Weekly fall diaries</w:t>
            </w:r>
          </w:p>
        </w:tc>
        <w:tc>
          <w:tcPr>
            <w:tcW w:type="dxa" w:w="1935"/>
            <w:tcW w:w="1900" w:type="dxa"/>
          </w:tcPr>
          <w:p>
            <w:pPr>
              <w:pStyle w:val="MDPI42tablebody"/>
              <w:jc w:val="left"/>
            </w:pPr>
            <w:r>
              <w:rPr>
                <w:sz w:val="14"/>
              </w:rPr>
              <w:t>Fixed QTUG risk algorithm; stage: prospective fixed model evaluation; validation: Prospective evaluation of a previously developed wearable-system classifier in 15 participants</w:t>
            </w:r>
          </w:p>
        </w:tc>
        <w:tc>
          <w:tcPr>
            <w:tcW w:type="dxa" w:w="1935"/>
            <w:tcW w:w="2500" w:type="dxa"/>
          </w:tcPr>
          <w:p>
            <w:pPr>
              <w:pStyle w:val="MDPI42tablebody"/>
              <w:jc w:val="left"/>
            </w:pPr>
            <w:r>
              <w:rPr>
                <w:sz w:val="14"/>
              </w:rPr>
              <w:t>At 90 days: accuracy 73.3%, sensitivity 50.0%, specificity 81.8%; at 180 days: accuracy 58.3%, sensitivity 37.5%, specificity 100%; Calibration: Not reported</w:t>
            </w:r>
          </w:p>
        </w:tc>
        <w:tc>
          <w:tcPr>
            <w:tcW w:type="dxa" w:w="1935"/>
            <w:tcW w:w="1000" w:type="dxa"/>
          </w:tcPr>
          <w:p>
            <w:pPr>
              <w:pStyle w:val="MDPI42tablebody"/>
              <w:jc w:val="left"/>
            </w:pPr>
            <w:r>
              <w:rPr>
                <w:sz w:val="14"/>
              </w:rPr>
              <w:t>Development: Not applicable; Evaluation: High</w:t>
            </w:r>
          </w:p>
        </w:tc>
        <w:tc>
          <w:tcPr>
            <w:tcW w:type="dxa" w:w="1935"/>
            <w:tcW w:w="2200" w:type="dxa"/>
          </w:tcPr>
          <w:p>
            <w:pPr>
              <w:pStyle w:val="MDPI42tablebody"/>
              <w:jc w:val="left"/>
            </w:pPr>
            <w:r>
              <w:rPr>
                <w:sz w:val="14"/>
              </w:rPr>
              <w:t>Only 15 participants; four fallers at 90 days and 8/12 at 180 days; attrition and extreme imprecision; no calibration; source: full text.</w:t>
            </w:r>
          </w:p>
        </w:tc>
      </w:tr>
      <w:tr>
        <w:tc>
          <w:tcPr>
            <w:tcW w:type="dxa" w:w="1935"/>
            <w:tcW w:w="1400" w:type="dxa"/>
          </w:tcPr>
          <w:p>
            <w:pPr>
              <w:pStyle w:val="MDPI42tablebody"/>
              <w:jc w:val="left"/>
            </w:pPr>
            <w:r>
              <w:rPr>
                <w:sz w:val="14"/>
              </w:rPr>
              <w:t>Ihlen et al. (2018) [30]</w:t>
            </w:r>
          </w:p>
        </w:tc>
        <w:tc>
          <w:tcPr>
            <w:tcW w:type="dxa" w:w="1935"/>
            <w:tcW w:w="2200" w:type="dxa"/>
          </w:tcPr>
          <w:p>
            <w:pPr>
              <w:pStyle w:val="MDPI42tablebody"/>
              <w:jc w:val="left"/>
            </w:pPr>
            <w:r>
              <w:rPr>
                <w:sz w:val="14"/>
              </w:rPr>
              <w:t>Community-dwelling older adults; matched case-control sample nested in FARAO; cohort: FARAO; sample: 196 matched participants (52 single, 46 multiple fallers, 98 nonfallers); events: 52 single and 46 multiple fallers</w:t>
            </w:r>
          </w:p>
        </w:tc>
        <w:tc>
          <w:tcPr>
            <w:tcW w:type="dxa" w:w="1935"/>
            <w:tcW w:w="2200" w:type="dxa"/>
          </w:tcPr>
          <w:p>
            <w:pPr>
              <w:pStyle w:val="MDPI42tablebody"/>
              <w:jc w:val="left"/>
            </w:pPr>
            <w:r>
              <w:rPr>
                <w:sz w:val="14"/>
              </w:rPr>
              <w:t>Trunk inertial sensor worn for 1 week; Daily-life 30-second walking epochs; candidate predictors: Phase-dependent generalized multiscale entropy and other gait features</w:t>
            </w:r>
          </w:p>
        </w:tc>
        <w:tc>
          <w:tcPr>
            <w:tcW w:type="dxa" w:w="1935"/>
            <w:tcW w:w="1700" w:type="dxa"/>
          </w:tcPr>
          <w:p>
            <w:pPr>
              <w:pStyle w:val="MDPI42tablebody"/>
              <w:jc w:val="left"/>
            </w:pPr>
            <w:r>
              <w:rPr>
                <w:sz w:val="14"/>
              </w:rPr>
              <w:t>Single or multiple prospective falls; horizon: 6 months; ascertainment: Monthly telephone ascertainment</w:t>
            </w:r>
          </w:p>
        </w:tc>
        <w:tc>
          <w:tcPr>
            <w:tcW w:type="dxa" w:w="1935"/>
            <w:tcW w:w="1900" w:type="dxa"/>
          </w:tcPr>
          <w:p>
            <w:pPr>
              <w:pStyle w:val="MDPI42tablebody"/>
              <w:jc w:val="left"/>
            </w:pPr>
            <w:r>
              <w:rPr>
                <w:sz w:val="14"/>
              </w:rPr>
              <w:t>Partial least-squares regression; stage: development internal validation; validation: Whole-dataset backward selection followed by nonnested 10-fold cross-validation</w:t>
            </w:r>
          </w:p>
        </w:tc>
        <w:tc>
          <w:tcPr>
            <w:tcW w:type="dxa" w:w="1935"/>
            <w:tcW w:w="2500" w:type="dxa"/>
          </w:tcPr>
          <w:p>
            <w:pPr>
              <w:pStyle w:val="MDPI42tablebody"/>
              <w:jc w:val="left"/>
            </w:pPr>
            <w:r>
              <w:rPr>
                <w:sz w:val="14"/>
              </w:rPr>
              <w:t>Phase-dependent generalized multiscale entropy improved prediction, particularly for single fallers; model-level AUC was not reported; Single-fall model accuracy/sensitivity/specificity 0.76/0.71/0.80; multiple-fall all-feature model 0.83/0.83/0.83;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Matched nested case-control reanalysis alters prevalence; data-driven entropy/model development; no calibration or independent validation; source: full text.</w:t>
            </w:r>
          </w:p>
        </w:tc>
      </w:tr>
      <w:tr>
        <w:tc>
          <w:tcPr>
            <w:tcW w:type="dxa" w:w="1935"/>
            <w:tcW w:w="1400" w:type="dxa"/>
          </w:tcPr>
          <w:p>
            <w:pPr>
              <w:pStyle w:val="MDPI42tablebody"/>
              <w:jc w:val="left"/>
            </w:pPr>
            <w:r>
              <w:rPr>
                <w:sz w:val="14"/>
              </w:rPr>
              <w:t>Nait Aicha et al. (2018) [31]</w:t>
            </w:r>
          </w:p>
        </w:tc>
        <w:tc>
          <w:tcPr>
            <w:tcW w:type="dxa" w:w="1935"/>
            <w:tcW w:w="2200" w:type="dxa"/>
          </w:tcPr>
          <w:p>
            <w:pPr>
              <w:pStyle w:val="MDPI42tablebody"/>
              <w:jc w:val="left"/>
            </w:pPr>
            <w:r>
              <w:rPr>
                <w:sz w:val="14"/>
              </w:rPr>
              <w:t>Community-dwelling older adults; mean age 75.3±6.8 years; cohort: FARAO; sample: 296 participants; events: 101 fallers</w:t>
            </w:r>
          </w:p>
        </w:tc>
        <w:tc>
          <w:tcPr>
            <w:tcW w:type="dxa" w:w="1935"/>
            <w:tcW w:w="2200" w:type="dxa"/>
          </w:tcPr>
          <w:p>
            <w:pPr>
              <w:pStyle w:val="MDPI42tablebody"/>
              <w:jc w:val="left"/>
            </w:pPr>
            <w:r>
              <w:rPr>
                <w:sz w:val="14"/>
              </w:rPr>
              <w:t>Lower-back trunk accelerometer worn for 1 week; Daily-life raw acceleration walking bouts; candidate predictors: Raw/preprocessed trunk-acceleration sequences with age and sex in multitask variants</w:t>
            </w:r>
          </w:p>
        </w:tc>
        <w:tc>
          <w:tcPr>
            <w:tcW w:type="dxa" w:w="1935"/>
            <w:tcW w:w="1700" w:type="dxa"/>
          </w:tcPr>
          <w:p>
            <w:pPr>
              <w:pStyle w:val="MDPI42tablebody"/>
              <w:jc w:val="left"/>
            </w:pPr>
            <w:r>
              <w:rPr>
                <w:sz w:val="14"/>
              </w:rPr>
              <w:t>At least one prospective fall; horizon: 6 months; ascertainment: FARAO prospective fall follow-up</w:t>
            </w:r>
          </w:p>
        </w:tc>
        <w:tc>
          <w:tcPr>
            <w:tcW w:type="dxa" w:w="1935"/>
            <w:tcW w:w="1900" w:type="dxa"/>
          </w:tcPr>
          <w:p>
            <w:pPr>
              <w:pStyle w:val="MDPI42tablebody"/>
              <w:jc w:val="left"/>
            </w:pPr>
            <w:r>
              <w:rPr>
                <w:sz w:val="14"/>
              </w:rPr>
              <w:t>CNN, LSTM, and convolutional-LSTM deep networks; stage: development internal validation; validation: Subject-level train/validation/test splitting; sample-level split explored and recognized as invalid</w:t>
            </w:r>
          </w:p>
        </w:tc>
        <w:tc>
          <w:tcPr>
            <w:tcW w:type="dxa" w:w="1935"/>
            <w:tcW w:w="2500" w:type="dxa"/>
          </w:tcPr>
          <w:p>
            <w:pPr>
              <w:pStyle w:val="MDPI42tablebody"/>
              <w:jc w:val="left"/>
            </w:pPr>
            <w:r>
              <w:rPr>
                <w:sz w:val="14"/>
              </w:rPr>
              <w:t>Participant-level ConvLSTM AUC 0.65; cleaned multitask AUC 0.75 with sex and 0.74 with age; sample-level AUC 0.94 was excluded because of participant leakage;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Hyperparameter/model exploration in same cohort; no external validation or calibration; performance highly sensitive to participant leakage; source: full text.</w:t>
            </w:r>
          </w:p>
        </w:tc>
      </w:tr>
      <w:tr>
        <w:tc>
          <w:tcPr>
            <w:tcW w:type="dxa" w:w="1935"/>
            <w:tcW w:w="1400" w:type="dxa"/>
          </w:tcPr>
          <w:p>
            <w:pPr>
              <w:pStyle w:val="MDPI42tablebody"/>
              <w:jc w:val="left"/>
            </w:pPr>
            <w:r>
              <w:rPr>
                <w:sz w:val="14"/>
              </w:rPr>
              <w:t>Howcroft et al. (2018) [32]</w:t>
            </w:r>
          </w:p>
        </w:tc>
        <w:tc>
          <w:tcPr>
            <w:tcW w:type="dxa" w:w="1935"/>
            <w:tcW w:w="2200" w:type="dxa"/>
          </w:tcPr>
          <w:p>
            <w:pPr>
              <w:pStyle w:val="MDPI42tablebody"/>
              <w:jc w:val="left"/>
            </w:pPr>
            <w:r>
              <w:rPr>
                <w:sz w:val="14"/>
              </w:rPr>
              <w:t>Older adults; mean age 75.2±6.6 years; cohort: Howcroft-75; sample: 75; events: 28 fallers; 47 nonfallers</w:t>
            </w:r>
          </w:p>
        </w:tc>
        <w:tc>
          <w:tcPr>
            <w:tcW w:type="dxa" w:w="1935"/>
            <w:tcW w:w="2200" w:type="dxa"/>
          </w:tcPr>
          <w:p>
            <w:pPr>
              <w:pStyle w:val="MDPI42tablebody"/>
              <w:jc w:val="left"/>
            </w:pPr>
            <w:r>
              <w:rPr>
                <w:sz w:val="14"/>
              </w:rPr>
              <w:t>Pressure insoles and accelerometers on head, pelvis, and both shanks; Single- and dual-task 7.62-m walking; candidate predictors: Wearable gait features after ReliefF, CFS, or FCBF feature selection</w:t>
            </w:r>
          </w:p>
        </w:tc>
        <w:tc>
          <w:tcPr>
            <w:tcW w:type="dxa" w:w="1935"/>
            <w:tcW w:w="1700" w:type="dxa"/>
          </w:tcPr>
          <w:p>
            <w:pPr>
              <w:pStyle w:val="MDPI42tablebody"/>
              <w:jc w:val="left"/>
            </w:pPr>
            <w:r>
              <w:rPr>
                <w:sz w:val="14"/>
              </w:rPr>
              <w:t>Prospective faller status; horizon: 6 months; ascertainment: Prospective follow-up; method NR</w:t>
            </w:r>
          </w:p>
        </w:tc>
        <w:tc>
          <w:tcPr>
            <w:tcW w:type="dxa" w:w="1935"/>
            <w:tcW w:w="1900" w:type="dxa"/>
          </w:tcPr>
          <w:p>
            <w:pPr>
              <w:pStyle w:val="MDPI42tablebody"/>
              <w:jc w:val="left"/>
            </w:pPr>
            <w:r>
              <w:rPr>
                <w:sz w:val="14"/>
              </w:rPr>
              <w:t>Naïve Bayes, multilayer perceptron, and support-vector machine; stage: development internal validation; validation: Model selection using one 75:25 split, followed by 10,000 randomized 75:25 holdouts</w:t>
            </w:r>
          </w:p>
        </w:tc>
        <w:tc>
          <w:tcPr>
            <w:tcW w:type="dxa" w:w="1935"/>
            <w:tcW w:w="2500" w:type="dxa"/>
          </w:tcPr>
          <w:p>
            <w:pPr>
              <w:pStyle w:val="MDPI42tablebody"/>
              <w:jc w:val="left"/>
            </w:pPr>
            <w:r>
              <w:rPr>
                <w:sz w:val="14"/>
              </w:rPr>
              <w:t>Average best accuracy 65% and sensitivity 59%; no-selection accuracy 56% and sensitivity 42%;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Same Howcroft-75 cohort; only 28 events; extensive selection/model/split searching; no calibration or independent validation; source: full text.</w:t>
            </w:r>
          </w:p>
        </w:tc>
      </w:tr>
      <w:tr>
        <w:tc>
          <w:tcPr>
            <w:tcW w:type="dxa" w:w="1935"/>
            <w:tcW w:w="1400" w:type="dxa"/>
          </w:tcPr>
          <w:p>
            <w:pPr>
              <w:pStyle w:val="MDPI42tablebody"/>
              <w:jc w:val="left"/>
            </w:pPr>
            <w:r>
              <w:rPr>
                <w:sz w:val="14"/>
              </w:rPr>
              <w:t>Bizovska et al. (2018) [33]</w:t>
            </w:r>
          </w:p>
        </w:tc>
        <w:tc>
          <w:tcPr>
            <w:tcW w:type="dxa" w:w="1935"/>
            <w:tcW w:w="2200" w:type="dxa"/>
          </w:tcPr>
          <w:p>
            <w:pPr>
              <w:pStyle w:val="MDPI42tablebody"/>
              <w:jc w:val="left"/>
            </w:pPr>
            <w:r>
              <w:rPr>
                <w:sz w:val="14"/>
              </w:rPr>
              <w:t>Community-dwelling adults aged &gt;60 years; mean age 70.8 years; cohort: Bizovska-local-stability-131; sample: 131 overall; 96 in recurrent-fall ROC analysis; events: 15 recurrent fallers; 81 nonfallers; 35 single fallers excluded from ROC analysis</w:t>
            </w:r>
          </w:p>
        </w:tc>
        <w:tc>
          <w:tcPr>
            <w:tcW w:type="dxa" w:w="1935"/>
            <w:tcW w:w="2200" w:type="dxa"/>
          </w:tcPr>
          <w:p>
            <w:pPr>
              <w:pStyle w:val="MDPI42tablebody"/>
              <w:jc w:val="left"/>
            </w:pPr>
            <w:r>
              <w:rPr>
                <w:sz w:val="14"/>
              </w:rPr>
              <w:t>Trunk (L5) and shank inertial sensors; Structured gait-stability assessment plus Tinetti assessment; candidate predictors: Local dynamic stability and Tinetti scores</w:t>
            </w:r>
          </w:p>
        </w:tc>
        <w:tc>
          <w:tcPr>
            <w:tcW w:type="dxa" w:w="1935"/>
            <w:tcW w:w="1700" w:type="dxa"/>
          </w:tcPr>
          <w:p>
            <w:pPr>
              <w:pStyle w:val="MDPI42tablebody"/>
              <w:jc w:val="left"/>
            </w:pPr>
            <w:r>
              <w:rPr>
                <w:sz w:val="14"/>
              </w:rPr>
              <w:t>Recurrent falls; horizon: 12 months; ascertainment: Telephone contact every 14 days plus participant notebooks for 12 months</w:t>
            </w:r>
          </w:p>
        </w:tc>
        <w:tc>
          <w:tcPr>
            <w:tcW w:type="dxa" w:w="1935"/>
            <w:tcW w:w="1900" w:type="dxa"/>
          </w:tcPr>
          <w:p>
            <w:pPr>
              <w:pStyle w:val="MDPI42tablebody"/>
              <w:jc w:val="left"/>
            </w:pPr>
            <w:r>
              <w:rPr>
                <w:sz w:val="14"/>
              </w:rPr>
              <w:t>Logistic combinations assessed by ROC analysis; stage: development; validation: Apparent performance</w:t>
            </w:r>
          </w:p>
        </w:tc>
        <w:tc>
          <w:tcPr>
            <w:tcW w:type="dxa" w:w="1935"/>
            <w:tcW w:w="2500" w:type="dxa"/>
          </w:tcPr>
          <w:p>
            <w:pPr>
              <w:pStyle w:val="MDPI42tablebody"/>
              <w:jc w:val="left"/>
            </w:pPr>
            <w:r>
              <w:rPr>
                <w:sz w:val="14"/>
              </w:rPr>
              <w:t>Trunk mediolateral stability AUC 0.673; Tinetti plus stability AUC 0.755; three-variable apparent model AUC 0.760;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15 recurrent-faller events; combinations selected and assessed in same cohort; no internal validation, calibration, or external validation; source: full text.</w:t>
            </w:r>
          </w:p>
        </w:tc>
      </w:tr>
      <w:tr>
        <w:tc>
          <w:tcPr>
            <w:tcW w:type="dxa" w:w="1935"/>
            <w:tcW w:w="1400" w:type="dxa"/>
          </w:tcPr>
          <w:p>
            <w:pPr>
              <w:pStyle w:val="MDPI42tablebody"/>
              <w:jc w:val="left"/>
            </w:pPr>
            <w:r>
              <w:rPr>
                <w:sz w:val="14"/>
              </w:rPr>
              <w:t>Marques et al. (2018) [34] †</w:t>
            </w:r>
          </w:p>
        </w:tc>
        <w:tc>
          <w:tcPr>
            <w:tcW w:type="dxa" w:w="1935"/>
            <w:tcW w:w="2200" w:type="dxa"/>
          </w:tcPr>
          <w:p>
            <w:pPr>
              <w:pStyle w:val="MDPI42tablebody"/>
              <w:jc w:val="left"/>
            </w:pPr>
            <w:r>
              <w:rPr>
                <w:sz w:val="14"/>
              </w:rPr>
              <w:t>Community-dwelling adults aged 60–80 years; cohort: Marques-community-footswitch-102; sample: 102; events: 53 fallers; 49 nonfallers</w:t>
            </w:r>
          </w:p>
        </w:tc>
        <w:tc>
          <w:tcPr>
            <w:tcW w:type="dxa" w:w="1935"/>
            <w:tcW w:w="2200" w:type="dxa"/>
          </w:tcPr>
          <w:p>
            <w:pPr>
              <w:pStyle w:val="MDPI42tablebody"/>
              <w:jc w:val="left"/>
            </w:pPr>
            <w:r>
              <w:rPr>
                <w:sz w:val="14"/>
              </w:rPr>
              <w:t>Footswitches at the heel and first metatarsal; Preferred-speed walking on a 14-m walkway; 6–10 trials until 50 consecutive strides; candidate predictors: Stance, swing, and stride timing; stride length; gait speed; gait variability</w:t>
            </w:r>
          </w:p>
        </w:tc>
        <w:tc>
          <w:tcPr>
            <w:tcW w:type="dxa" w:w="1935"/>
            <w:tcW w:w="1700" w:type="dxa"/>
          </w:tcPr>
          <w:p>
            <w:pPr>
              <w:pStyle w:val="MDPI42tablebody"/>
              <w:jc w:val="left"/>
            </w:pPr>
            <w:r>
              <w:rPr>
                <w:sz w:val="14"/>
              </w:rPr>
              <w:t>Any fall; horizon: 12 months; ascertainment: Fall status recorded every 3 months</w:t>
            </w:r>
          </w:p>
        </w:tc>
        <w:tc>
          <w:tcPr>
            <w:tcW w:type="dxa" w:w="1935"/>
            <w:tcW w:w="1900" w:type="dxa"/>
          </w:tcPr>
          <w:p>
            <w:pPr>
              <w:pStyle w:val="MDPI42tablebody"/>
              <w:jc w:val="left"/>
            </w:pPr>
            <w:r>
              <w:rPr>
                <w:sz w:val="14"/>
              </w:rPr>
              <w:t>Single-predictor ROC and threshold analysis; stage: development apparent; validation: Same-sample apparent ROC/cut-point analysis</w:t>
            </w:r>
          </w:p>
        </w:tc>
        <w:tc>
          <w:tcPr>
            <w:tcW w:type="dxa" w:w="1935"/>
            <w:tcW w:w="2500" w:type="dxa"/>
          </w:tcPr>
          <w:p>
            <w:pPr>
              <w:pStyle w:val="MDPI42tablebody"/>
              <w:jc w:val="left"/>
            </w:pPr>
            <w:r>
              <w:rPr>
                <w:sz w:val="14"/>
              </w:rPr>
              <w:t>AUCs NR in accessible primary text; Stance-time variability, swing time, and stride length each had sensitivity &gt;70%; exact specificity NR</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Same-sample single-predictor cut points; exact AUCs, specificity, uncertainty, calibration, and external validation were unavailable in accessible primary text; source: abstract and accessible primary material.</w:t>
            </w:r>
          </w:p>
        </w:tc>
      </w:tr>
      <w:tr>
        <w:tc>
          <w:tcPr>
            <w:tcW w:type="dxa" w:w="1935"/>
            <w:tcW w:w="1400" w:type="dxa"/>
          </w:tcPr>
          <w:p>
            <w:pPr>
              <w:pStyle w:val="MDPI42tablebody"/>
              <w:jc w:val="left"/>
            </w:pPr>
            <w:r>
              <w:rPr>
                <w:sz w:val="14"/>
              </w:rPr>
              <w:t>Lo et al. (2019) [35]</w:t>
            </w:r>
          </w:p>
        </w:tc>
        <w:tc>
          <w:tcPr>
            <w:tcW w:type="dxa" w:w="1935"/>
            <w:tcW w:w="2200" w:type="dxa"/>
          </w:tcPr>
          <w:p>
            <w:pPr>
              <w:pStyle w:val="MDPI42tablebody"/>
              <w:jc w:val="left"/>
            </w:pPr>
            <w:r>
              <w:rPr>
                <w:sz w:val="14"/>
              </w:rPr>
              <w:t>Early Parkinson disease; mean disease duration 3.5±2.2 years; cohort: Oxford-Discovery-PD; sample: 179 in the fall model; events: 39 incident fallers; 140 nonfallers; 191 analytic windows</w:t>
            </w:r>
          </w:p>
        </w:tc>
        <w:tc>
          <w:tcPr>
            <w:tcW w:type="dxa" w:w="1935"/>
            <w:tcW w:w="2200" w:type="dxa"/>
          </w:tcPr>
          <w:p>
            <w:pPr>
              <w:pStyle w:val="MDPI42tablebody"/>
              <w:jc w:val="left"/>
            </w:pPr>
            <w:r>
              <w:rPr>
                <w:sz w:val="14"/>
              </w:rPr>
              <w:t>Smartphone sensors; 7-minute clinic and home test of voice, balance, gait, reaction time, dexterity, rest, and tremor; candidate predictors: 998 multimodal smartphone features; reduced 30-feature sets also tested</w:t>
            </w:r>
          </w:p>
        </w:tc>
        <w:tc>
          <w:tcPr>
            <w:tcW w:type="dxa" w:w="1935"/>
            <w:tcW w:w="1700" w:type="dxa"/>
          </w:tcPr>
          <w:p>
            <w:pPr>
              <w:pStyle w:val="MDPI42tablebody"/>
              <w:jc w:val="left"/>
            </w:pPr>
            <w:r>
              <w:rPr>
                <w:sz w:val="14"/>
              </w:rPr>
              <w:t>New onset of falls at follow-up (among several clinical outcomes); horizon: Assessment at 18 months using 6-month fall recall; ascertainment: Clinical follow-up visit</w:t>
            </w:r>
          </w:p>
        </w:tc>
        <w:tc>
          <w:tcPr>
            <w:tcW w:type="dxa" w:w="1935"/>
            <w:tcW w:w="1900" w:type="dxa"/>
          </w:tcPr>
          <w:p>
            <w:pPr>
              <w:pStyle w:val="MDPI42tablebody"/>
              <w:jc w:val="left"/>
            </w:pPr>
            <w:r>
              <w:rPr>
                <w:sz w:val="14"/>
              </w:rPr>
              <w:t>Machine-learning algorithms; stage: development internal validation; validation: Ordinary 10-fold CV and participant-level leave-one-subject-out CV</w:t>
            </w:r>
          </w:p>
        </w:tc>
        <w:tc>
          <w:tcPr>
            <w:tcW w:type="dxa" w:w="1935"/>
            <w:tcW w:w="2500" w:type="dxa"/>
          </w:tcPr>
          <w:p>
            <w:pPr>
              <w:pStyle w:val="MDPI42tablebody"/>
              <w:jc w:val="left"/>
            </w:pPr>
            <w:r>
              <w:rPr>
                <w:sz w:val="14"/>
              </w:rPr>
              <w:t>Falls AUC 0.94 with 998 features and 0.88 with 30 features in 10-fold CV; participant-level leave-one-subject-out AUC 0.79 with 30 features;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High-dimensional modelling across multiple outcomes; feature reduction and performance estimation used the same cohort; no calibration or independent external validation; source: full text.</w:t>
            </w:r>
          </w:p>
        </w:tc>
      </w:tr>
      <w:tr>
        <w:tc>
          <w:tcPr>
            <w:tcW w:type="dxa" w:w="1935"/>
            <w:tcW w:w="1400" w:type="dxa"/>
          </w:tcPr>
          <w:p>
            <w:pPr>
              <w:pStyle w:val="MDPI42tablebody"/>
              <w:jc w:val="left"/>
            </w:pPr>
            <w:r>
              <w:rPr>
                <w:sz w:val="14"/>
              </w:rPr>
              <w:t>Marques et al. (2019) [36] †</w:t>
            </w:r>
          </w:p>
        </w:tc>
        <w:tc>
          <w:tcPr>
            <w:tcW w:type="dxa" w:w="1935"/>
            <w:tcW w:w="2200" w:type="dxa"/>
          </w:tcPr>
          <w:p>
            <w:pPr>
              <w:pStyle w:val="MDPI42tablebody"/>
              <w:jc w:val="left"/>
            </w:pPr>
            <w:r>
              <w:rPr>
                <w:sz w:val="14"/>
              </w:rPr>
              <w:t>Long-term-care residents aged &gt;60 years with cognitive impairment; cohort: Marques-LTC-cognitive-23; sample: 23; events: 10 fallers; 13 nonfallers</w:t>
            </w:r>
          </w:p>
        </w:tc>
        <w:tc>
          <w:tcPr>
            <w:tcW w:type="dxa" w:w="1935"/>
            <w:tcW w:w="2200" w:type="dxa"/>
          </w:tcPr>
          <w:p>
            <w:pPr>
              <w:pStyle w:val="MDPI42tablebody"/>
              <w:jc w:val="left"/>
            </w:pPr>
            <w:r>
              <w:rPr>
                <w:sz w:val="14"/>
              </w:rPr>
              <w:t>Footswitch sensors during self-selected walking; Fifty gait cycles recorded at baseline; candidate predictors: Gait speed, stride length, stance/swing/stride timing, and variability</w:t>
            </w:r>
          </w:p>
        </w:tc>
        <w:tc>
          <w:tcPr>
            <w:tcW w:type="dxa" w:w="1935"/>
            <w:tcW w:w="1700" w:type="dxa"/>
          </w:tcPr>
          <w:p>
            <w:pPr>
              <w:pStyle w:val="MDPI42tablebody"/>
              <w:jc w:val="left"/>
            </w:pPr>
            <w:r>
              <w:rPr>
                <w:sz w:val="14"/>
              </w:rPr>
              <w:t>Any fall; horizon: 6 months; ascertainment: Prospective fall-status recording; frequency of contact NR</w:t>
            </w:r>
          </w:p>
        </w:tc>
        <w:tc>
          <w:tcPr>
            <w:tcW w:type="dxa" w:w="1935"/>
            <w:tcW w:w="1900" w:type="dxa"/>
          </w:tcPr>
          <w:p>
            <w:pPr>
              <w:pStyle w:val="MDPI42tablebody"/>
              <w:jc w:val="left"/>
            </w:pPr>
            <w:r>
              <w:rPr>
                <w:sz w:val="14"/>
              </w:rPr>
              <w:t>Single-predictor ROC and threshold analysis; stage: development apparent; validation: Same-sample apparent ROC/cut-point analysis</w:t>
            </w:r>
          </w:p>
        </w:tc>
        <w:tc>
          <w:tcPr>
            <w:tcW w:type="dxa" w:w="1935"/>
            <w:tcW w:w="2500" w:type="dxa"/>
          </w:tcPr>
          <w:p>
            <w:pPr>
              <w:pStyle w:val="MDPI42tablebody"/>
              <w:jc w:val="left"/>
            </w:pPr>
            <w:r>
              <w:rPr>
                <w:sz w:val="14"/>
              </w:rPr>
              <w:t>AUCs NR in accessible primary text; Stride-time variability cutoff 0.4 s: sensitivity 50%, specificity 100%; gait-speed cutoff 0.65 m/s: sensitivity 50%, specificity 50%</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23 participants and 10 fallers; same-sample cut-point selection; limited ascertainment and modelling details; no calibration or external validation; source: abstract and accessible primary material.</w:t>
            </w:r>
          </w:p>
        </w:tc>
      </w:tr>
      <w:tr>
        <w:tc>
          <w:tcPr>
            <w:tcW w:type="dxa" w:w="1935"/>
            <w:tcW w:w="1400" w:type="dxa"/>
          </w:tcPr>
          <w:p>
            <w:pPr>
              <w:pStyle w:val="MDPI42tablebody"/>
              <w:jc w:val="left"/>
            </w:pPr>
            <w:r>
              <w:rPr>
                <w:sz w:val="14"/>
              </w:rPr>
              <w:t>Gillain et al. (2019) [37] †</w:t>
            </w:r>
          </w:p>
        </w:tc>
        <w:tc>
          <w:tcPr>
            <w:tcW w:type="dxa" w:w="1935"/>
            <w:tcW w:w="2200" w:type="dxa"/>
          </w:tcPr>
          <w:p>
            <w:pPr>
              <w:pStyle w:val="MDPI42tablebody"/>
              <w:jc w:val="left"/>
            </w:pPr>
            <w:r>
              <w:rPr>
                <w:sz w:val="14"/>
              </w:rPr>
              <w:t>Independent community-dwelling adults aged &gt;65 years without a recent fall history; mean age 71.3 years; cohort: Gillain-fall-naive-96; sample: 105 enrolled; 96 followed; events: 35 fallers; 61 nonfallers</w:t>
            </w:r>
          </w:p>
        </w:tc>
        <w:tc>
          <w:tcPr>
            <w:tcW w:type="dxa" w:w="1935"/>
            <w:tcW w:w="2200" w:type="dxa"/>
          </w:tcPr>
          <w:p>
            <w:pPr>
              <w:pStyle w:val="MDPI42tablebody"/>
              <w:jc w:val="left"/>
            </w:pPr>
            <w:r>
              <w:rPr>
                <w:sz w:val="14"/>
              </w:rPr>
              <w:t>Waist-mounted triaxial accelerometer with optoelectronic foot-marker measurement; Comfortable, fast, and dual-task standardized walking; candidate predictors: Gait speed, stride length and frequency, symmetry, regularity, minimum toe clearance, sex, and stiffness</w:t>
            </w:r>
          </w:p>
        </w:tc>
        <w:tc>
          <w:tcPr>
            <w:tcW w:type="dxa" w:w="1935"/>
            <w:tcW w:w="1700" w:type="dxa"/>
          </w:tcPr>
          <w:p>
            <w:pPr>
              <w:pStyle w:val="MDPI42tablebody"/>
              <w:jc w:val="left"/>
            </w:pPr>
            <w:r>
              <w:rPr>
                <w:sz w:val="14"/>
              </w:rPr>
              <w:t>Any fall; horizon: 2 years; ascertainment: Personal fall diaries over 2 years; collection schedule and adjudication NR</w:t>
            </w:r>
          </w:p>
        </w:tc>
        <w:tc>
          <w:tcPr>
            <w:tcW w:type="dxa" w:w="1935"/>
            <w:tcW w:w="1900" w:type="dxa"/>
          </w:tcPr>
          <w:p>
            <w:pPr>
              <w:pStyle w:val="MDPI42tablebody"/>
              <w:jc w:val="left"/>
            </w:pPr>
            <w:r>
              <w:rPr>
                <w:sz w:val="14"/>
              </w:rPr>
              <w:t>J48 classification tree; stage: development apparent; validation: Apparent performance in the development cohort</w:t>
            </w:r>
          </w:p>
        </w:tc>
        <w:tc>
          <w:tcPr>
            <w:tcW w:type="dxa" w:w="1935"/>
            <w:tcW w:w="2500" w:type="dxa"/>
          </w:tcPr>
          <w:p>
            <w:pPr>
              <w:pStyle w:val="MDPI42tablebody"/>
              <w:jc w:val="left"/>
            </w:pPr>
            <w:r>
              <w:rPr>
                <w:sz w:val="14"/>
              </w:rPr>
              <w:t>Accuracy 84%; Sensitivity 80%; specificity 87%; PPV 78%; NPV 88%</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Nine participants were lost to follow-up without accessible reasons; outcome procedures were incompletely reported; only 35 events; data-driven tree assessed in the development cohort; no optimism correction, calibration, or independent validation; source: abstract and accessible primary material.</w:t>
            </w:r>
          </w:p>
        </w:tc>
      </w:tr>
      <w:tr>
        <w:tc>
          <w:tcPr>
            <w:tcW w:type="dxa" w:w="1935"/>
            <w:tcW w:w="1400" w:type="dxa"/>
          </w:tcPr>
          <w:p>
            <w:pPr>
              <w:pStyle w:val="MDPI42tablebody"/>
              <w:jc w:val="left"/>
            </w:pPr>
            <w:r>
              <w:rPr>
                <w:sz w:val="14"/>
              </w:rPr>
              <w:t>Buisseret et al. (2020) [38]</w:t>
            </w:r>
          </w:p>
        </w:tc>
        <w:tc>
          <w:tcPr>
            <w:tcW w:type="dxa" w:w="1935"/>
            <w:tcW w:w="2200" w:type="dxa"/>
          </w:tcPr>
          <w:p>
            <w:pPr>
              <w:pStyle w:val="MDPI42tablebody"/>
              <w:jc w:val="left"/>
            </w:pPr>
            <w:r>
              <w:rPr>
                <w:sz w:val="14"/>
              </w:rPr>
              <w:t>Nursing-home residents aged &gt;65 years; cohort: Nursing-home-IMU-73; sample: 73 complete participants; events: 23 fallers; 50 nonfallers</w:t>
            </w:r>
          </w:p>
        </w:tc>
        <w:tc>
          <w:tcPr>
            <w:tcW w:type="dxa" w:w="1935"/>
            <w:tcW w:w="2200" w:type="dxa"/>
          </w:tcPr>
          <w:p>
            <w:pPr>
              <w:pStyle w:val="MDPI42tablebody"/>
              <w:jc w:val="left"/>
            </w:pPr>
            <w:r>
              <w:rPr>
                <w:sz w:val="14"/>
              </w:rPr>
              <w:t>Home-designed wearable IMU; TUG and 6-minute walk at baseline; repeat assessment at 6 months; candidate predictors: TUG time, sensor-derived gait variability, and raw IMU sequences</w:t>
            </w:r>
          </w:p>
        </w:tc>
        <w:tc>
          <w:tcPr>
            <w:tcW w:type="dxa" w:w="1935"/>
            <w:tcW w:w="1700" w:type="dxa"/>
          </w:tcPr>
          <w:p>
            <w:pPr>
              <w:pStyle w:val="MDPI42tablebody"/>
              <w:jc w:val="left"/>
            </w:pPr>
            <w:r>
              <w:rPr>
                <w:sz w:val="14"/>
              </w:rPr>
              <w:t>Observed faller status; horizon: 6 months; ascertainment: Every fall recorded by nursing-home staff over 6 months</w:t>
            </w:r>
          </w:p>
        </w:tc>
        <w:tc>
          <w:tcPr>
            <w:tcW w:type="dxa" w:w="1935"/>
            <w:tcW w:w="1900" w:type="dxa"/>
          </w:tcPr>
          <w:p>
            <w:pPr>
              <w:pStyle w:val="MDPI42tablebody"/>
              <w:jc w:val="left"/>
            </w:pPr>
            <w:r>
              <w:rPr>
                <w:sz w:val="14"/>
              </w:rPr>
              <w:t>TUG+ rule and a deep-learning/raw-signal classifier; stage: development internal validation; validation: 57-person training set and repeatedly reused 16-person model-selection/test set</w:t>
            </w:r>
          </w:p>
        </w:tc>
        <w:tc>
          <w:tcPr>
            <w:tcW w:type="dxa" w:w="1935"/>
            <w:tcW w:w="2500" w:type="dxa"/>
          </w:tcPr>
          <w:p>
            <w:pPr>
              <w:pStyle w:val="MDPI42tablebody"/>
              <w:jc w:val="left"/>
            </w:pPr>
            <w:r>
              <w:rPr>
                <w:sz w:val="14"/>
              </w:rPr>
              <w:t>TUG plus gait variability improved accuracy from 68% to 76%; raw-signal AI test accuracy=75%;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Small cohort and repeatedly reused 16-person model-selection/test set; threshold/model development in the same cohort; calibration not reported; source: full text.</w:t>
            </w:r>
          </w:p>
        </w:tc>
      </w:tr>
      <w:tr>
        <w:tc>
          <w:tcPr>
            <w:tcW w:type="dxa" w:w="1935"/>
            <w:tcW w:w="1400" w:type="dxa"/>
          </w:tcPr>
          <w:p>
            <w:pPr>
              <w:pStyle w:val="MDPI42tablebody"/>
              <w:jc w:val="left"/>
            </w:pPr>
            <w:r>
              <w:rPr>
                <w:sz w:val="14"/>
              </w:rPr>
              <w:t>Silva et al. (2020) [39]</w:t>
            </w:r>
          </w:p>
        </w:tc>
        <w:tc>
          <w:tcPr>
            <w:tcW w:type="dxa" w:w="1935"/>
            <w:tcW w:w="2200" w:type="dxa"/>
          </w:tcPr>
          <w:p>
            <w:pPr>
              <w:pStyle w:val="MDPI42tablebody"/>
              <w:jc w:val="left"/>
            </w:pPr>
            <w:r>
              <w:rPr>
                <w:sz w:val="14"/>
              </w:rPr>
              <w:t>Community-dwelling adults aged &gt;65 years; mean age 75.1 years; cohort: FallSensing-multisensor-281; sample: 281; events: 74 fallers; 207 nonfallers</w:t>
            </w:r>
          </w:p>
        </w:tc>
        <w:tc>
          <w:tcPr>
            <w:tcW w:type="dxa" w:w="1935"/>
            <w:tcW w:w="2200" w:type="dxa"/>
          </w:tcPr>
          <w:p>
            <w:pPr>
              <w:pStyle w:val="MDPI42tablebody"/>
              <w:jc w:val="left"/>
            </w:pPr>
            <w:r>
              <w:rPr>
                <w:sz w:val="14"/>
              </w:rPr>
              <w:t>Inertial sensors at the lower back and support-leg ankle; pressure platform for static tests; Instrumented TUG, 10-m walk, sit-to-stand, step, and balance tests at baseline; candidate predictors: Clinical and self-reported variables plus 230 inertial-sensor and pressure-platform features</w:t>
            </w:r>
          </w:p>
        </w:tc>
        <w:tc>
          <w:tcPr>
            <w:tcW w:type="dxa" w:w="1935"/>
            <w:tcW w:w="1700" w:type="dxa"/>
          </w:tcPr>
          <w:p>
            <w:pPr>
              <w:pStyle w:val="MDPI42tablebody"/>
              <w:jc w:val="left"/>
            </w:pPr>
            <w:r>
              <w:rPr>
                <w:sz w:val="14"/>
              </w:rPr>
              <w:t>Any fall; horizon: 12 months; ascertainment: Monthly telephone follow-up</w:t>
            </w:r>
          </w:p>
        </w:tc>
        <w:tc>
          <w:tcPr>
            <w:tcW w:type="dxa" w:w="1935"/>
            <w:tcW w:w="1900" w:type="dxa"/>
          </w:tcPr>
          <w:p>
            <w:pPr>
              <w:pStyle w:val="MDPI42tablebody"/>
              <w:jc w:val="left"/>
            </w:pPr>
            <w:r>
              <w:rPr>
                <w:sz w:val="14"/>
              </w:rPr>
              <w:t>Early/late fusion decision-tree pipelines and slow-fusion multilayer perceptron; stage: development internal validation; validation: Fifty repeated stratified 67:33 train-test splits; grid-search cross-validation within training sets</w:t>
            </w:r>
          </w:p>
        </w:tc>
        <w:tc>
          <w:tcPr>
            <w:tcW w:type="dxa" w:w="1935"/>
            <w:tcW w:w="2500" w:type="dxa"/>
          </w:tcPr>
          <w:p>
            <w:pPr>
              <w:pStyle w:val="MDPI42tablebody"/>
              <w:jc w:val="left"/>
            </w:pPr>
            <w:r>
              <w:rPr>
                <w:sz w:val="14"/>
              </w:rPr>
              <w:t>Early/late/slow fusion mean AUC 0.495/0.505/0.503; Late fusion: accuracy 37.0%, recall 78.6%, specificity 22.5%, precision 26.2%</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Many candidate features relative to 74 events; a prospective-fall field appeared in the source feature inventory and its exclusion from modelling was not fully auditable; repeated internal splits, poor specificity, and no calibration or external validation; source: full text.</w:t>
            </w:r>
          </w:p>
        </w:tc>
      </w:tr>
      <w:tr>
        <w:tc>
          <w:tcPr>
            <w:tcW w:type="dxa" w:w="1935"/>
            <w:tcW w:w="1400" w:type="dxa"/>
          </w:tcPr>
          <w:p>
            <w:pPr>
              <w:pStyle w:val="MDPI42tablebody"/>
              <w:jc w:val="left"/>
            </w:pPr>
            <w:r>
              <w:rPr>
                <w:sz w:val="14"/>
              </w:rPr>
              <w:t>Sturchio et al. (2021) [40]</w:t>
            </w:r>
          </w:p>
        </w:tc>
        <w:tc>
          <w:tcPr>
            <w:tcW w:type="dxa" w:w="1935"/>
            <w:tcW w:w="2200" w:type="dxa"/>
          </w:tcPr>
          <w:p>
            <w:pPr>
              <w:pStyle w:val="MDPI42tablebody"/>
              <w:jc w:val="left"/>
            </w:pPr>
            <w:r>
              <w:rPr>
                <w:sz w:val="14"/>
              </w:rPr>
              <w:t>Consecutive patients with Parkinson disease and orthostatic hypotension; mean age 72.5 years; cohort: PD-orthostatic-hypotension-26; sample: 26; events: 14 fallers; 12 nonfallers</w:t>
            </w:r>
          </w:p>
        </w:tc>
        <w:tc>
          <w:tcPr>
            <w:tcW w:type="dxa" w:w="1935"/>
            <w:tcW w:w="2200" w:type="dxa"/>
          </w:tcPr>
          <w:p>
            <w:pPr>
              <w:pStyle w:val="MDPI42tablebody"/>
              <w:jc w:val="left"/>
            </w:pPr>
            <w:r>
              <w:rPr>
                <w:sz w:val="14"/>
              </w:rPr>
              <w:t>Multisite wearable kinematic sensors on the trunk and limbs; Baseline TUG, 2-min walk, postural sway, and home-like activity tasks; candidate predictors: Waist sway during TUG, postural-sway jerk and centroidal frequency, gait, activity, and blood-pressure measures</w:t>
            </w:r>
          </w:p>
        </w:tc>
        <w:tc>
          <w:tcPr>
            <w:tcW w:type="dxa" w:w="1935"/>
            <w:tcW w:w="1700" w:type="dxa"/>
          </w:tcPr>
          <w:p>
            <w:pPr>
              <w:pStyle w:val="MDPI42tablebody"/>
              <w:jc w:val="left"/>
            </w:pPr>
            <w:r>
              <w:rPr>
                <w:sz w:val="14"/>
              </w:rPr>
              <w:t>Any fall; horizon: 6 months; ascertainment: Prospective daily fall diary using a WHO fall definition</w:t>
            </w:r>
          </w:p>
        </w:tc>
        <w:tc>
          <w:tcPr>
            <w:tcW w:type="dxa" w:w="1935"/>
            <w:tcW w:w="1900" w:type="dxa"/>
          </w:tcPr>
          <w:p>
            <w:pPr>
              <w:pStyle w:val="MDPI42tablebody"/>
              <w:jc w:val="left"/>
            </w:pPr>
            <w:r>
              <w:rPr>
                <w:sz w:val="14"/>
              </w:rPr>
              <w:t>Kinematic clustering and ROC threshold analysis; stage: development apparent; validation: Same-sample apparent cluster and threshold performance</w:t>
            </w:r>
          </w:p>
        </w:tc>
        <w:tc>
          <w:tcPr>
            <w:tcW w:type="dxa" w:w="1935"/>
            <w:tcW w:w="2500" w:type="dxa"/>
          </w:tcPr>
          <w:p>
            <w:pPr>
              <w:pStyle w:val="MDPI42tablebody"/>
              <w:jc w:val="left"/>
            </w:pPr>
            <w:r>
              <w:rPr>
                <w:sz w:val="14"/>
              </w:rPr>
              <w:t>Three-feature kinematic cluster AUC 0.87; single centroidal-frequency sway AUC 0.81; Three-feature cluster sensitivity 77.8%, specificity 71.4%; single sway threshold sensitivity 84.6%, specificity 83.3%</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26 participants; extensive kinematic testing and same-sample threshold selection; mixed gait/postural predictors; no resampling, calibration, or external validation; source: full text.</w:t>
            </w:r>
          </w:p>
        </w:tc>
      </w:tr>
      <w:tr>
        <w:tc>
          <w:tcPr>
            <w:tcW w:type="dxa" w:w="1935"/>
            <w:tcW w:w="1400" w:type="dxa"/>
          </w:tcPr>
          <w:p>
            <w:pPr>
              <w:pStyle w:val="MDPI42tablebody"/>
              <w:jc w:val="left"/>
            </w:pPr>
            <w:r>
              <w:rPr>
                <w:sz w:val="14"/>
              </w:rPr>
              <w:t>Bet et al. (2021) [41]</w:t>
            </w:r>
          </w:p>
        </w:tc>
        <w:tc>
          <w:tcPr>
            <w:tcW w:type="dxa" w:w="1935"/>
            <w:tcW w:w="2200" w:type="dxa"/>
          </w:tcPr>
          <w:p>
            <w:pPr>
              <w:pStyle w:val="MDPI42tablebody"/>
              <w:jc w:val="left"/>
            </w:pPr>
            <w:r>
              <w:rPr>
                <w:sz w:val="14"/>
              </w:rPr>
              <w:t>Active, healthy community-dwelling older adults with no recent falls; mean age approximately 70 years; cohort: Active-community-nonfallers-74; sample: 74 enrolled; 73 with 12-month outcome/model data; events: 20/73 fallers (27.4%)</w:t>
            </w:r>
          </w:p>
        </w:tc>
        <w:tc>
          <w:tcPr>
            <w:tcW w:type="dxa" w:w="1935"/>
            <w:tcW w:w="2200" w:type="dxa"/>
          </w:tcPr>
          <w:p>
            <w:pPr>
              <w:pStyle w:val="MDPI42tablebody"/>
              <w:jc w:val="left"/>
            </w:pPr>
            <w:r>
              <w:rPr>
                <w:sz w:val="14"/>
              </w:rPr>
              <w:t>Single waist accelerometer; Standard, manual, and dual-task TUG variants; candidate predictors: Frequency-domain accelerometer features</w:t>
            </w:r>
          </w:p>
        </w:tc>
        <w:tc>
          <w:tcPr>
            <w:tcW w:type="dxa" w:w="1935"/>
            <w:tcW w:w="1700" w:type="dxa"/>
          </w:tcPr>
          <w:p>
            <w:pPr>
              <w:pStyle w:val="MDPI42tablebody"/>
              <w:jc w:val="left"/>
            </w:pPr>
            <w:r>
              <w:rPr>
                <w:sz w:val="14"/>
              </w:rPr>
              <w:t>At least one fall; horizon: 3 and 12 months; ascertainment: Participant fall journal with contact every 3 months</w:t>
            </w:r>
          </w:p>
        </w:tc>
        <w:tc>
          <w:tcPr>
            <w:tcW w:type="dxa" w:w="1935"/>
            <w:tcW w:w="1900" w:type="dxa"/>
          </w:tcPr>
          <w:p>
            <w:pPr>
              <w:pStyle w:val="MDPI42tablebody"/>
              <w:jc w:val="left"/>
            </w:pPr>
            <w:r>
              <w:rPr>
                <w:sz w:val="14"/>
              </w:rPr>
              <w:t>Single-feature thresholds and three-feature decision fusion; stage: development; validation: Apparent performance</w:t>
            </w:r>
          </w:p>
        </w:tc>
        <w:tc>
          <w:tcPr>
            <w:tcW w:type="dxa" w:w="1935"/>
            <w:tcW w:w="2500" w:type="dxa"/>
          </w:tcPr>
          <w:p>
            <w:pPr>
              <w:pStyle w:val="MDPI42tablebody"/>
              <w:jc w:val="left"/>
            </w:pPr>
            <w:r>
              <w:rPr>
                <w:sz w:val="14"/>
              </w:rPr>
              <w:t>At 3 months (70 participants; 7 fallers), best apparent single-feature accuracy/sensitivity/specificity 0.75/0.71/0.76 and fusion sensitivity 0.86; at 12 months (73 participants; 20 fallers), fusion accuracy/sensitivity/specificity 0.62/0.60/0.62;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seven 3-month and 20 twelve-month events; feature/threshold combinations selected and assessed in the same cohort; no probabilistic calibration or independent validation; source: full text.</w:t>
            </w:r>
          </w:p>
        </w:tc>
      </w:tr>
      <w:tr>
        <w:tc>
          <w:tcPr>
            <w:tcW w:type="dxa" w:w="1935"/>
            <w:tcW w:w="1400" w:type="dxa"/>
          </w:tcPr>
          <w:p>
            <w:pPr>
              <w:pStyle w:val="MDPI42tablebody"/>
              <w:jc w:val="left"/>
            </w:pPr>
            <w:r>
              <w:rPr>
                <w:sz w:val="14"/>
              </w:rPr>
              <w:t>Mehdizadeh et al. (2021) [42] †</w:t>
            </w:r>
          </w:p>
        </w:tc>
        <w:tc>
          <w:tcPr>
            <w:tcW w:type="dxa" w:w="1935"/>
            <w:tcW w:w="2200" w:type="dxa"/>
          </w:tcPr>
          <w:p>
            <w:pPr>
              <w:pStyle w:val="MDPI42tablebody"/>
              <w:jc w:val="left"/>
            </w:pPr>
            <w:r>
              <w:rPr>
                <w:sz w:val="14"/>
              </w:rPr>
              <w:t>High-risk inpatients/long-term-care residents with dementia; cohort: Toronto-dementia-ambient-gait; sample: 64 enrolled; 51 analysed; events: 26/51 fell during the full stay; 78 total falls; horizon-specific event counts NR</w:t>
            </w:r>
          </w:p>
        </w:tc>
        <w:tc>
          <w:tcPr>
            <w:tcW w:type="dxa" w:w="1935"/>
            <w:tcW w:w="2200" w:type="dxa"/>
          </w:tcPr>
          <w:p>
            <w:pPr>
              <w:pStyle w:val="MDPI42tablebody"/>
              <w:jc w:val="left"/>
            </w:pPr>
            <w:r>
              <w:rPr>
                <w:sz w:val="14"/>
              </w:rPr>
              <w:t>Ambient markerless computer-vision gait monitoring; Natural gait captured over approximately 2 weeks; candidate predictors: Fall history and computer-vision margin-of-stability gait measure</w:t>
            </w:r>
          </w:p>
        </w:tc>
        <w:tc>
          <w:tcPr>
            <w:tcW w:type="dxa" w:w="1935"/>
            <w:tcW w:w="1700" w:type="dxa"/>
          </w:tcPr>
          <w:p>
            <w:pPr>
              <w:pStyle w:val="MDPI42tablebody"/>
              <w:jc w:val="left"/>
            </w:pPr>
            <w:r>
              <w:rPr>
                <w:sz w:val="14"/>
              </w:rPr>
              <w:t>Short-term time to fall; horizon: 7 and 30 days; ascertainment: Facility-recorded falls</w:t>
            </w:r>
          </w:p>
        </w:tc>
        <w:tc>
          <w:tcPr>
            <w:tcW w:type="dxa" w:w="1935"/>
            <w:tcW w:w="1900" w:type="dxa"/>
          </w:tcPr>
          <w:p>
            <w:pPr>
              <w:pStyle w:val="MDPI42tablebody"/>
              <w:jc w:val="left"/>
            </w:pPr>
            <w:r>
              <w:rPr>
                <w:sz w:val="14"/>
              </w:rPr>
              <w:t>Cox proportional-hazards model; stage: development internal validation; validation: Internal validation</w:t>
            </w:r>
          </w:p>
        </w:tc>
        <w:tc>
          <w:tcPr>
            <w:tcW w:type="dxa" w:w="1935"/>
            <w:tcW w:w="2500" w:type="dxa"/>
          </w:tcPr>
          <w:p>
            <w:pPr>
              <w:pStyle w:val="MDPI42tablebody"/>
              <w:jc w:val="left"/>
            </w:pPr>
            <w:r>
              <w:rPr>
                <w:sz w:val="14"/>
              </w:rPr>
              <w:t>AUC=0.80 at 7 days and 0.67 at 30 days; C-index=0.71; Calibration: Qualitative comparison of predicted and observed survival; calibration intercept, slope, and plot NR</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Thirteen of 64 enrolled participants were excluded; horizon-specific event counts and complete validation details were not reported; single-facility development without independent validation; only qualitative calibration information was available; source: abstract and accessible primary material.</w:t>
            </w:r>
          </w:p>
        </w:tc>
      </w:tr>
      <w:tr>
        <w:tc>
          <w:tcPr>
            <w:tcW w:type="dxa" w:w="1935"/>
            <w:tcW w:w="1400" w:type="dxa"/>
          </w:tcPr>
          <w:p>
            <w:pPr>
              <w:pStyle w:val="MDPI42tablebody"/>
              <w:jc w:val="left"/>
            </w:pPr>
            <w:r>
              <w:rPr>
                <w:sz w:val="14"/>
              </w:rPr>
              <w:t>Lockhart et al. (2021) [43]</w:t>
            </w:r>
          </w:p>
        </w:tc>
        <w:tc>
          <w:tcPr>
            <w:tcW w:type="dxa" w:w="1935"/>
            <w:tcW w:w="2200" w:type="dxa"/>
          </w:tcPr>
          <w:p>
            <w:pPr>
              <w:pStyle w:val="MDPI42tablebody"/>
              <w:jc w:val="left"/>
            </w:pPr>
            <w:r>
              <w:rPr>
                <w:sz w:val="14"/>
              </w:rPr>
              <w:t>Community-dwelling older adults; cohort: Community-wearable-gait-171; sample: 127 in development; 44 in prospective blind test; events: 9/44 prospective-test participants fell</w:t>
            </w:r>
          </w:p>
        </w:tc>
        <w:tc>
          <w:tcPr>
            <w:tcW w:type="dxa" w:w="1935"/>
            <w:tcW w:w="2200" w:type="dxa"/>
          </w:tcPr>
          <w:p>
            <w:pPr>
              <w:pStyle w:val="MDPI42tablebody"/>
              <w:jc w:val="left"/>
            </w:pPr>
            <w:r>
              <w:rPr>
                <w:sz w:val="14"/>
              </w:rPr>
              <w:t>Single sternum IMU; 10-m walking test; candidate predictors: Linear and nonlinear gait variability, complexity, and smoothness features</w:t>
            </w:r>
          </w:p>
        </w:tc>
        <w:tc>
          <w:tcPr>
            <w:tcW w:type="dxa" w:w="1935"/>
            <w:tcW w:w="1700" w:type="dxa"/>
          </w:tcPr>
          <w:p>
            <w:pPr>
              <w:pStyle w:val="MDPI42tablebody"/>
              <w:jc w:val="left"/>
            </w:pPr>
            <w:r>
              <w:rPr>
                <w:sz w:val="14"/>
              </w:rPr>
              <w:t>Development: recurrent past falls; prospective test: any fall; horizon: 6 months; ascertainment: Prospective fall incidence; detailed method NR</w:t>
            </w:r>
          </w:p>
        </w:tc>
        <w:tc>
          <w:tcPr>
            <w:tcW w:type="dxa" w:w="1935"/>
            <w:tcW w:w="1900" w:type="dxa"/>
          </w:tcPr>
          <w:p>
            <w:pPr>
              <w:pStyle w:val="MDPI42tablebody"/>
              <w:jc w:val="left"/>
            </w:pPr>
            <w:r>
              <w:rPr>
                <w:sz w:val="14"/>
              </w:rPr>
              <w:t>Random forest; stage: retrospective label development and prospective fixed model evaluation; validation: Prospective fixed-model evaluation after development against a retrospective fall-history label</w:t>
            </w:r>
          </w:p>
        </w:tc>
        <w:tc>
          <w:tcPr>
            <w:tcW w:type="dxa" w:w="1935"/>
            <w:tcW w:w="2500" w:type="dxa"/>
          </w:tcPr>
          <w:p>
            <w:pPr>
              <w:pStyle w:val="MDPI42tablebody"/>
              <w:jc w:val="left"/>
            </w:pPr>
            <w:r>
              <w:rPr>
                <w:sz w:val="14"/>
              </w:rPr>
              <w:t>Blind-test accuracy=81.6±0.7%, sensitivity=86.7±0.5%, specificity=80.3±0.2%;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9 prospective events; development and test outcomes/horizons differed; small blind-test cohort; no calibration; source: full text.</w:t>
            </w:r>
          </w:p>
        </w:tc>
      </w:tr>
      <w:tr>
        <w:tc>
          <w:tcPr>
            <w:tcW w:type="dxa" w:w="1935"/>
            <w:tcW w:w="1400" w:type="dxa"/>
          </w:tcPr>
          <w:p>
            <w:pPr>
              <w:pStyle w:val="MDPI42tablebody"/>
              <w:jc w:val="left"/>
            </w:pPr>
            <w:r>
              <w:rPr>
                <w:sz w:val="14"/>
              </w:rPr>
              <w:t>Roshdibenam et al. (2021) [44]</w:t>
            </w:r>
          </w:p>
        </w:tc>
        <w:tc>
          <w:tcPr>
            <w:tcW w:type="dxa" w:w="1935"/>
            <w:tcW w:w="2200" w:type="dxa"/>
          </w:tcPr>
          <w:p>
            <w:pPr>
              <w:pStyle w:val="MDPI42tablebody"/>
              <w:jc w:val="left"/>
            </w:pPr>
            <w:r>
              <w:rPr>
                <w:sz w:val="14"/>
              </w:rPr>
              <w:t>Geriatrics-clinic patients aged ≥65 years with multiple comorbidities; cohort: Roshdibenam-geriatric-clinic-98; sample: 98 analysed; 87 followed; events: 25 fallers; 62 nonfallers at follow-up</w:t>
            </w:r>
          </w:p>
        </w:tc>
        <w:tc>
          <w:tcPr>
            <w:tcW w:type="dxa" w:w="1935"/>
            <w:tcW w:w="2200" w:type="dxa"/>
          </w:tcPr>
          <w:p>
            <w:pPr>
              <w:pStyle w:val="MDPI42tablebody"/>
              <w:jc w:val="left"/>
            </w:pPr>
            <w:r>
              <w:rPr>
                <w:sz w:val="14"/>
              </w:rPr>
              <w:t>Three RunScribe IMUs on both shoes and posterior neck; Instrumented TUG; candidate predictors: Raw acceleration/angular-velocity segments</w:t>
            </w:r>
          </w:p>
        </w:tc>
        <w:tc>
          <w:tcPr>
            <w:tcW w:type="dxa" w:w="1935"/>
            <w:tcW w:w="1700" w:type="dxa"/>
          </w:tcPr>
          <w:p>
            <w:pPr>
              <w:pStyle w:val="MDPI42tablebody"/>
              <w:jc w:val="left"/>
            </w:pPr>
            <w:r>
              <w:rPr>
                <w:sz w:val="14"/>
              </w:rPr>
              <w:t>Secondary evaluation against actual subsequent falls; horizon: 6–12 months; ascertainment: Follow-up survey at 6–12 months asking whether a fall had occurred; 87 of 98 participants responded</w:t>
            </w:r>
          </w:p>
        </w:tc>
        <w:tc>
          <w:tcPr>
            <w:tcW w:type="dxa" w:w="1935"/>
            <w:tcW w:w="1900" w:type="dxa"/>
          </w:tcPr>
          <w:p>
            <w:pPr>
              <w:pStyle w:val="MDPI42tablebody"/>
              <w:jc w:val="left"/>
            </w:pPr>
            <w:r>
              <w:rPr>
                <w:sz w:val="14"/>
              </w:rPr>
              <w:t>One-dimensional CNN; SVM comparator; stage: development internal validation; validation: Repeated 80:20 participant split with bootstrap/bagging; signal segmentation within participant</w:t>
            </w:r>
          </w:p>
        </w:tc>
        <w:tc>
          <w:tcPr>
            <w:tcW w:type="dxa" w:w="1935"/>
            <w:tcW w:w="2500" w:type="dxa"/>
          </w:tcPr>
          <w:p>
            <w:pPr>
              <w:pStyle w:val="MDPI42tablebody"/>
              <w:jc w:val="left"/>
            </w:pPr>
            <w:r>
              <w:rPr>
                <w:sz w:val="14"/>
              </w:rPr>
              <w:t>Best prospective neck CNN-gyro AUC 0.56 (95% range 0.33–0.74); Prospective neck CNN-gyro accuracy 60.46%, sensitivity 42.35%, specificity 67.42%;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Primary outcome is clinician risk classification, not prospective falls; prospective analysis incompletely reported; small sample, complex augmentation/segmentation, low specificity, no calibration or independent validation; source: full text.</w:t>
            </w:r>
          </w:p>
        </w:tc>
      </w:tr>
      <w:tr>
        <w:tc>
          <w:tcPr>
            <w:tcW w:type="dxa" w:w="1935"/>
            <w:tcW w:w="1400" w:type="dxa"/>
          </w:tcPr>
          <w:p>
            <w:pPr>
              <w:pStyle w:val="MDPI42tablebody"/>
              <w:jc w:val="left"/>
            </w:pPr>
            <w:r>
              <w:rPr>
                <w:sz w:val="14"/>
              </w:rPr>
              <w:t>Greene et al. (2022) [45]</w:t>
            </w:r>
          </w:p>
        </w:tc>
        <w:tc>
          <w:tcPr>
            <w:tcW w:type="dxa" w:w="1935"/>
            <w:tcW w:w="2200" w:type="dxa"/>
          </w:tcPr>
          <w:p>
            <w:pPr>
              <w:pStyle w:val="MDPI42tablebody"/>
              <w:jc w:val="left"/>
            </w:pPr>
            <w:r>
              <w:rPr>
                <w:sz w:val="14"/>
              </w:rPr>
              <w:t>People with Parkinson disease; mean age 67.3 years; cohort: QTUG-PD-15; sample: 15; events: 8 fallers; 7 nonfallers at 24 weeks; 181 total falls</w:t>
            </w:r>
          </w:p>
        </w:tc>
        <w:tc>
          <w:tcPr>
            <w:tcW w:type="dxa" w:w="1935"/>
            <w:tcW w:w="2200" w:type="dxa"/>
          </w:tcPr>
          <w:p>
            <w:pPr>
              <w:pStyle w:val="MDPI42tablebody"/>
              <w:jc w:val="left"/>
            </w:pPr>
            <w:r>
              <w:rPr>
                <w:sz w:val="14"/>
              </w:rPr>
              <w:t>Two inertial sensors, one on each shin; Baseline instrumented Timed Up and Go; candidate predictors: Pretrained sensor-derived fall-risk estimate and mobility estimate; TUG time</w:t>
            </w:r>
          </w:p>
        </w:tc>
        <w:tc>
          <w:tcPr>
            <w:tcW w:type="dxa" w:w="1935"/>
            <w:tcW w:w="1700" w:type="dxa"/>
          </w:tcPr>
          <w:p>
            <w:pPr>
              <w:pStyle w:val="MDPI42tablebody"/>
              <w:jc w:val="left"/>
            </w:pPr>
            <w:r>
              <w:rPr>
                <w:sz w:val="14"/>
              </w:rPr>
              <w:t>Fall count; horizon: 24 weeks; ascertainment: Daily fall diaries collected weekly</w:t>
            </w:r>
          </w:p>
        </w:tc>
        <w:tc>
          <w:tcPr>
            <w:tcW w:type="dxa" w:w="1935"/>
            <w:tcW w:w="1900" w:type="dxa"/>
          </w:tcPr>
          <w:p>
            <w:pPr>
              <w:pStyle w:val="MDPI42tablebody"/>
              <w:jc w:val="left"/>
            </w:pPr>
            <w:r>
              <w:rPr>
                <w:sz w:val="14"/>
              </w:rPr>
              <w:t>Negative-binomial count mapping fitted to the prospective Parkinson-disease target sample; stage: prospective target sample updating and evaluation; validation: Prospective target-sample fitting/evaluation of count mappings based on pretrained upstream sensor scores</w:t>
            </w:r>
          </w:p>
        </w:tc>
        <w:tc>
          <w:tcPr>
            <w:tcW w:type="dxa" w:w="1935"/>
            <w:tcW w:w="2500" w:type="dxa"/>
          </w:tcPr>
          <w:p>
            <w:pPr>
              <w:pStyle w:val="MDPI42tablebody"/>
              <w:jc w:val="left"/>
            </w:pPr>
            <w:r>
              <w:rPr>
                <w:sz w:val="14"/>
              </w:rPr>
              <w:t>PD1 all participants (n=15): R² 0.50, RMSE 1.27, Spearman ρ 0.64; after excluding participants with &gt;10 falls (n=12): R² 0.73, RMSE 0.41, ρ 0.44; outcome capped at 0–5+ falls (n=15): R² 0.70, RMSE 0.70, ρ 0.69</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15 participants; one participant reported 127 falls; the final count mapping was fitted in the target sample and results depended on post hoc outlier exclusion or outcome categorization; no independent evaluation or calibration; source: full text.</w:t>
            </w:r>
          </w:p>
        </w:tc>
      </w:tr>
      <w:tr>
        <w:tc>
          <w:tcPr>
            <w:tcW w:type="dxa" w:w="1935"/>
            <w:tcW w:w="1400" w:type="dxa"/>
          </w:tcPr>
          <w:p>
            <w:pPr>
              <w:pStyle w:val="MDPI42tablebody"/>
              <w:jc w:val="left"/>
            </w:pPr>
            <w:r>
              <w:rPr>
                <w:sz w:val="14"/>
              </w:rPr>
              <w:t>Kelly et al. (2022) [46]</w:t>
            </w:r>
          </w:p>
        </w:tc>
        <w:tc>
          <w:tcPr>
            <w:tcW w:type="dxa" w:w="1935"/>
            <w:tcW w:w="2200" w:type="dxa"/>
          </w:tcPr>
          <w:p>
            <w:pPr>
              <w:pStyle w:val="MDPI42tablebody"/>
              <w:jc w:val="left"/>
            </w:pPr>
            <w:r>
              <w:rPr>
                <w:sz w:val="14"/>
              </w:rPr>
              <w:t>Community-dwelling adults aged 70 years; cohort: Umea-free-living-1705; sample: 1,705; events: 255 fallers</w:t>
            </w:r>
          </w:p>
        </w:tc>
        <w:tc>
          <w:tcPr>
            <w:tcW w:type="dxa" w:w="1935"/>
            <w:tcW w:w="2200" w:type="dxa"/>
          </w:tcPr>
          <w:p>
            <w:pPr>
              <w:pStyle w:val="MDPI42tablebody"/>
              <w:jc w:val="left"/>
            </w:pPr>
            <w:r>
              <w:rPr>
                <w:sz w:val="14"/>
              </w:rPr>
              <w:t>Hip-worn accelerometer for 1 week; Free-living monitoring plus laboratory gait and three functional tests; candidate predictors: Free-living accelerometer features, functional-test metrics, and laboratory gait measures</w:t>
            </w:r>
          </w:p>
        </w:tc>
        <w:tc>
          <w:tcPr>
            <w:tcW w:type="dxa" w:w="1935"/>
            <w:tcW w:w="1700" w:type="dxa"/>
          </w:tcPr>
          <w:p>
            <w:pPr>
              <w:pStyle w:val="MDPI42tablebody"/>
              <w:jc w:val="left"/>
            </w:pPr>
            <w:r>
              <w:rPr>
                <w:sz w:val="14"/>
              </w:rPr>
              <w:t>At least one prospective fall; horizon: 12 months; ascertainment: Telephone follow-up at 6 and 12 months</w:t>
            </w:r>
          </w:p>
        </w:tc>
        <w:tc>
          <w:tcPr>
            <w:tcW w:type="dxa" w:w="1935"/>
            <w:tcW w:w="1900" w:type="dxa"/>
          </w:tcPr>
          <w:p>
            <w:pPr>
              <w:pStyle w:val="MDPI42tablebody"/>
              <w:jc w:val="left"/>
            </w:pPr>
            <w:r>
              <w:rPr>
                <w:sz w:val="14"/>
              </w:rPr>
              <w:t>Machine-learning classifiers; stage: development internal validation; validation: Prespecified held-out test set (n=428; 64 fallers) after cross-validated Bayesian optimization and early stopping in development data</w:t>
            </w:r>
          </w:p>
        </w:tc>
        <w:tc>
          <w:tcPr>
            <w:tcW w:type="dxa" w:w="1935"/>
            <w:tcW w:w="2500" w:type="dxa"/>
          </w:tcPr>
          <w:p>
            <w:pPr>
              <w:pStyle w:val="MDPI42tablebody"/>
              <w:jc w:val="left"/>
            </w:pPr>
            <w:r>
              <w:rPr>
                <w:sz w:val="14"/>
              </w:rPr>
              <w:t>Prospective-fall sensitivity=0.61 and specificity=0.66;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Single age-70 regional cohort; fall outcome based on 6- and 12-month telephone recall; class imbalance; source denominators are internally inconsistent (reported total n=1,705 versus partition counts summing to 1,707, and reported development subgroup counts summing to 1,278); no calibration or independent external validation; source: full text.</w:t>
            </w:r>
          </w:p>
        </w:tc>
      </w:tr>
      <w:tr>
        <w:tc>
          <w:tcPr>
            <w:tcW w:type="dxa" w:w="1935"/>
            <w:tcW w:w="1400" w:type="dxa"/>
          </w:tcPr>
          <w:p>
            <w:pPr>
              <w:pStyle w:val="MDPI42tablebody"/>
              <w:jc w:val="left"/>
            </w:pPr>
            <w:r>
              <w:rPr>
                <w:sz w:val="14"/>
              </w:rPr>
              <w:t>Dierick et al. (2022) [47]</w:t>
            </w:r>
          </w:p>
        </w:tc>
        <w:tc>
          <w:tcPr>
            <w:tcW w:type="dxa" w:w="1935"/>
            <w:tcW w:w="2200" w:type="dxa"/>
          </w:tcPr>
          <w:p>
            <w:pPr>
              <w:pStyle w:val="MDPI42tablebody"/>
              <w:jc w:val="left"/>
            </w:pPr>
            <w:r>
              <w:rPr>
                <w:sz w:val="14"/>
              </w:rPr>
              <w:t>Nursing-home residents; age &gt;65 years; cohort: Nursing-home-IMU-73; sample: 92 enrolled; 73 complete cases; events: 24 fallers; 49 nonfallers</w:t>
            </w:r>
          </w:p>
        </w:tc>
        <w:tc>
          <w:tcPr>
            <w:tcW w:type="dxa" w:w="1935"/>
            <w:tcW w:w="2200" w:type="dxa"/>
          </w:tcPr>
          <w:p>
            <w:pPr>
              <w:pStyle w:val="MDPI42tablebody"/>
              <w:jc w:val="left"/>
            </w:pPr>
            <w:r>
              <w:rPr>
                <w:sz w:val="14"/>
              </w:rPr>
              <w:t>Single lower-back IMU; Instrumented TUG with phase-specific acceleration/angular velocity; candidate predictors: TUG total time, maximum first-half-turn angular velocity, sex, and walking-aid use</w:t>
            </w:r>
          </w:p>
        </w:tc>
        <w:tc>
          <w:tcPr>
            <w:tcW w:type="dxa" w:w="1935"/>
            <w:tcW w:w="1700" w:type="dxa"/>
          </w:tcPr>
          <w:p>
            <w:pPr>
              <w:pStyle w:val="MDPI42tablebody"/>
              <w:jc w:val="left"/>
            </w:pPr>
            <w:r>
              <w:rPr>
                <w:sz w:val="14"/>
              </w:rPr>
              <w:t>Observed faller status in the companion longitudinal cohort; horizon: 6 months; ascertainment: Facility records over 6 months</w:t>
            </w:r>
          </w:p>
        </w:tc>
        <w:tc>
          <w:tcPr>
            <w:tcW w:type="dxa" w:w="1935"/>
            <w:tcW w:w="1900" w:type="dxa"/>
          </w:tcPr>
          <w:p>
            <w:pPr>
              <w:pStyle w:val="MDPI42tablebody"/>
              <w:jc w:val="left"/>
            </w:pPr>
            <w:r>
              <w:rPr>
                <w:sz w:val="14"/>
              </w:rPr>
              <w:t>Multiple logistic regression; i+TUG rule; stage: development; validation: Apparent performance</w:t>
            </w:r>
          </w:p>
        </w:tc>
        <w:tc>
          <w:tcPr>
            <w:tcW w:type="dxa" w:w="1935"/>
            <w:tcW w:w="2500" w:type="dxa"/>
          </w:tcPr>
          <w:p>
            <w:pPr>
              <w:pStyle w:val="MDPI42tablebody"/>
              <w:jc w:val="left"/>
            </w:pPr>
            <w:r>
              <w:rPr>
                <w:sz w:val="14"/>
              </w:rPr>
              <w:t>Accuracy=74.0%, specificity=95.9%, sensitivity=29.2%;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Companion analysis of the same 73-person cohort as Buisseret 2020; predictor selection and evaluation in the same sample; sensitivity 29.2%; no calibration; source: full text.</w:t>
            </w:r>
          </w:p>
        </w:tc>
      </w:tr>
      <w:tr>
        <w:tc>
          <w:tcPr>
            <w:tcW w:type="dxa" w:w="1935"/>
            <w:tcW w:w="1400" w:type="dxa"/>
          </w:tcPr>
          <w:p>
            <w:pPr>
              <w:pStyle w:val="MDPI42tablebody"/>
              <w:jc w:val="left"/>
            </w:pPr>
            <w:r>
              <w:rPr>
                <w:sz w:val="14"/>
              </w:rPr>
              <w:t>Ma et al. (2022) [48] †</w:t>
            </w:r>
          </w:p>
        </w:tc>
        <w:tc>
          <w:tcPr>
            <w:tcW w:type="dxa" w:w="1935"/>
            <w:tcW w:w="2200" w:type="dxa"/>
          </w:tcPr>
          <w:p>
            <w:pPr>
              <w:pStyle w:val="MDPI42tablebody"/>
              <w:jc w:val="left"/>
            </w:pPr>
            <w:r>
              <w:rPr>
                <w:sz w:val="14"/>
              </w:rPr>
              <w:t>People with Parkinson disease; cohort: PD-gait-variability-51; sample: 51; events: 14 fallers (27.5%)</w:t>
            </w:r>
          </w:p>
        </w:tc>
        <w:tc>
          <w:tcPr>
            <w:tcW w:type="dxa" w:w="1935"/>
            <w:tcW w:w="2200" w:type="dxa"/>
          </w:tcPr>
          <w:p>
            <w:pPr>
              <w:pStyle w:val="MDPI42tablebody"/>
              <w:jc w:val="left"/>
            </w:pPr>
            <w:r>
              <w:rPr>
                <w:sz w:val="14"/>
              </w:rPr>
              <w:t>Wearable gait-analysis system; 7-m instrumented Timed Up and Go; candidate predictors: Spatiotemporal parameters and gait variability</w:t>
            </w:r>
          </w:p>
        </w:tc>
        <w:tc>
          <w:tcPr>
            <w:tcW w:type="dxa" w:w="1935"/>
            <w:tcW w:w="1700" w:type="dxa"/>
          </w:tcPr>
          <w:p>
            <w:pPr>
              <w:pStyle w:val="MDPI42tablebody"/>
              <w:jc w:val="left"/>
            </w:pPr>
            <w:r>
              <w:rPr>
                <w:sz w:val="14"/>
              </w:rPr>
              <w:t>At least one fall; horizon: 6 months; ascertainment: Monthly telephone follow-up until a fall or 6 months</w:t>
            </w:r>
          </w:p>
        </w:tc>
        <w:tc>
          <w:tcPr>
            <w:tcW w:type="dxa" w:w="1935"/>
            <w:tcW w:w="1900" w:type="dxa"/>
          </w:tcPr>
          <w:p>
            <w:pPr>
              <w:pStyle w:val="MDPI42tablebody"/>
              <w:jc w:val="left"/>
            </w:pPr>
            <w:r>
              <w:rPr>
                <w:sz w:val="14"/>
              </w:rPr>
              <w:t>Binary logistic regression; stage: development; validation: Apparent performance</w:t>
            </w:r>
          </w:p>
        </w:tc>
        <w:tc>
          <w:tcPr>
            <w:tcW w:type="dxa" w:w="1935"/>
            <w:tcW w:w="2500" w:type="dxa"/>
          </w:tcPr>
          <w:p>
            <w:pPr>
              <w:pStyle w:val="MDPI42tablebody"/>
              <w:jc w:val="left"/>
            </w:pPr>
            <w:r>
              <w:rPr>
                <w:sz w:val="14"/>
              </w:rPr>
              <w:t>Trunk sagittal range-of-motion variability AUC=0.751; multivariable model AUC=0.838;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14 events; predictor screening and model evaluation in the same cohort; no internal validation, calibration, or external validation; source: abstract and accessible primary material.</w:t>
            </w:r>
          </w:p>
        </w:tc>
      </w:tr>
      <w:tr>
        <w:tc>
          <w:tcPr>
            <w:tcW w:type="dxa" w:w="1935"/>
            <w:tcW w:w="1400" w:type="dxa"/>
          </w:tcPr>
          <w:p>
            <w:pPr>
              <w:pStyle w:val="MDPI42tablebody"/>
              <w:jc w:val="left"/>
            </w:pPr>
            <w:r>
              <w:rPr>
                <w:sz w:val="14"/>
              </w:rPr>
              <w:t>Dasgupta et al. (2022) [49]</w:t>
            </w:r>
          </w:p>
        </w:tc>
        <w:tc>
          <w:tcPr>
            <w:tcW w:type="dxa" w:w="1935"/>
            <w:tcW w:w="2200" w:type="dxa"/>
          </w:tcPr>
          <w:p>
            <w:pPr>
              <w:pStyle w:val="MDPI42tablebody"/>
              <w:jc w:val="left"/>
            </w:pPr>
            <w:r>
              <w:rPr>
                <w:sz w:val="14"/>
              </w:rPr>
              <w:t>Community-dwelling emergency-department patients aged ≥60 years; cohort: ED-iTUG-134; sample: 134; events: 14 falls (10.4%)</w:t>
            </w:r>
          </w:p>
        </w:tc>
        <w:tc>
          <w:tcPr>
            <w:tcW w:type="dxa" w:w="1935"/>
            <w:tcW w:w="2200" w:type="dxa"/>
          </w:tcPr>
          <w:p>
            <w:pPr>
              <w:pStyle w:val="MDPI42tablebody"/>
              <w:jc w:val="left"/>
            </w:pPr>
            <w:r>
              <w:rPr>
                <w:sz w:val="14"/>
              </w:rPr>
              <w:t>Trunk/lower-back accelerometry during TUG; Brief instrumented functional assessment before ED discharge; candidate predictors: Self-report tools, TUG, and HCRNN-generated accelerometry features</w:t>
            </w:r>
          </w:p>
        </w:tc>
        <w:tc>
          <w:tcPr>
            <w:tcW w:type="dxa" w:w="1935"/>
            <w:tcW w:w="1700" w:type="dxa"/>
          </w:tcPr>
          <w:p>
            <w:pPr>
              <w:pStyle w:val="MDPI42tablebody"/>
              <w:jc w:val="left"/>
            </w:pPr>
            <w:r>
              <w:rPr>
                <w:sz w:val="14"/>
              </w:rPr>
              <w:t>Self-reported fall or fall-related encounter within the hospital network; horizon: 3 months; ascertainment: Telephone follow-up plus review across a 16-hospital network</w:t>
            </w:r>
          </w:p>
        </w:tc>
        <w:tc>
          <w:tcPr>
            <w:tcW w:type="dxa" w:w="1935"/>
            <w:tcW w:w="1900" w:type="dxa"/>
          </w:tcPr>
          <w:p>
            <w:pPr>
              <w:pStyle w:val="MDPI42tablebody"/>
              <w:jc w:val="left"/>
            </w:pPr>
            <w:r>
              <w:rPr>
                <w:sz w:val="14"/>
              </w:rPr>
              <w:t>Hierarchical convolutional recurrent neural network; stage: development internal validation; validation: Leave-one-out cross-validation; bootstrap comparisons for conventional tools</w:t>
            </w:r>
          </w:p>
        </w:tc>
        <w:tc>
          <w:tcPr>
            <w:tcW w:type="dxa" w:w="1935"/>
            <w:tcW w:w="2500" w:type="dxa"/>
          </w:tcPr>
          <w:p>
            <w:pPr>
              <w:pStyle w:val="MDPI42tablebody"/>
              <w:jc w:val="left"/>
            </w:pPr>
            <w:r>
              <w:rPr>
                <w:sz w:val="14"/>
              </w:rPr>
              <w:t>HCRNN AUC=0.99 (95% CI 0.98–1.00); TUG AUC=0.48; screening questionnaire AUC=0.64;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14 events; incomplete follow-up; generated-feature screening and LOOCV likely optimistic; no calibration or independent validation; source: full text.</w:t>
            </w:r>
          </w:p>
        </w:tc>
      </w:tr>
      <w:tr>
        <w:tc>
          <w:tcPr>
            <w:tcW w:type="dxa" w:w="1935"/>
            <w:tcW w:w="1400" w:type="dxa"/>
          </w:tcPr>
          <w:p>
            <w:pPr>
              <w:pStyle w:val="MDPI42tablebody"/>
              <w:jc w:val="left"/>
            </w:pPr>
            <w:r>
              <w:rPr>
                <w:sz w:val="14"/>
              </w:rPr>
              <w:t>Caronni et al. (2023) [50]</w:t>
            </w:r>
          </w:p>
        </w:tc>
        <w:tc>
          <w:tcPr>
            <w:tcW w:type="dxa" w:w="1935"/>
            <w:tcW w:w="2200" w:type="dxa"/>
          </w:tcPr>
          <w:p>
            <w:pPr>
              <w:pStyle w:val="MDPI42tablebody"/>
              <w:jc w:val="left"/>
            </w:pPr>
            <w:r>
              <w:rPr>
                <w:sz w:val="14"/>
              </w:rPr>
              <w:t>Neurological rehabilitation patients with stroke, peripheral neuropathy, or parkinsonism; cohort: Neurorehabilitation-iTUG-214; sample: 353 assessed; 214 analysed; events: 82 fallers; 166 falls; 42 recurrent fallers</w:t>
            </w:r>
          </w:p>
        </w:tc>
        <w:tc>
          <w:tcPr>
            <w:tcW w:type="dxa" w:w="1935"/>
            <w:tcW w:w="2200" w:type="dxa"/>
          </w:tcPr>
          <w:p>
            <w:pPr>
              <w:pStyle w:val="MDPI42tablebody"/>
              <w:jc w:val="left"/>
            </w:pPr>
            <w:r>
              <w:rPr>
                <w:sz w:val="14"/>
              </w:rPr>
              <w:t>Inertial-sensor instrumented TUG and walking test plus Mini-BESTest; Assessments before and after inpatient rehabilitation; candidate predictors: Medical-history factors, Mini-BESTest, TUG phases, and gait measures</w:t>
            </w:r>
          </w:p>
        </w:tc>
        <w:tc>
          <w:tcPr>
            <w:tcW w:type="dxa" w:w="1935"/>
            <w:tcW w:w="1700" w:type="dxa"/>
          </w:tcPr>
          <w:p>
            <w:pPr>
              <w:pStyle w:val="MDPI42tablebody"/>
              <w:jc w:val="left"/>
            </w:pPr>
            <w:r>
              <w:rPr>
                <w:sz w:val="14"/>
              </w:rPr>
              <w:t>At least one fall; horizon: 9 months; ascertainment: Monthly paper calendars with calls at months 1, 2, 3, 6, and 9</w:t>
            </w:r>
          </w:p>
        </w:tc>
        <w:tc>
          <w:tcPr>
            <w:tcW w:type="dxa" w:w="1935"/>
            <w:tcW w:w="1900" w:type="dxa"/>
          </w:tcPr>
          <w:p>
            <w:pPr>
              <w:pStyle w:val="MDPI42tablebody"/>
              <w:jc w:val="left"/>
            </w:pPr>
            <w:r>
              <w:rPr>
                <w:sz w:val="14"/>
              </w:rPr>
              <w:t>Multiple and LASSO logistic regression; stage: development; validation: Apparent performance</w:t>
            </w:r>
          </w:p>
        </w:tc>
        <w:tc>
          <w:tcPr>
            <w:tcW w:type="dxa" w:w="1935"/>
            <w:tcW w:w="2500" w:type="dxa"/>
          </w:tcPr>
          <w:p>
            <w:pPr>
              <w:pStyle w:val="MDPI42tablebody"/>
              <w:jc w:val="left"/>
            </w:pPr>
            <w:r>
              <w:rPr>
                <w:sz w:val="14"/>
              </w:rPr>
              <w:t>Fall-history AUC 0.66; history plus Mini-BESTest AUC 0.69; history plus TUG turning AUC 0.69; LASSO combined AUC 0.69;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Predictor selection and performance estimated in the same data; repeat pre/post-rehabilitation measures complicate index-time definition; no calibration or independent validation; source: full text.</w:t>
            </w:r>
          </w:p>
        </w:tc>
      </w:tr>
      <w:tr>
        <w:tc>
          <w:tcPr>
            <w:tcW w:type="dxa" w:w="1935"/>
            <w:tcW w:w="1400" w:type="dxa"/>
          </w:tcPr>
          <w:p>
            <w:pPr>
              <w:pStyle w:val="MDPI42tablebody"/>
              <w:jc w:val="left"/>
            </w:pPr>
            <w:r>
              <w:rPr>
                <w:sz w:val="14"/>
              </w:rPr>
              <w:t>Horak et al. (2023) [51]</w:t>
            </w:r>
          </w:p>
        </w:tc>
        <w:tc>
          <w:tcPr>
            <w:tcW w:type="dxa" w:w="1935"/>
            <w:tcW w:w="2200" w:type="dxa"/>
          </w:tcPr>
          <w:p>
            <w:pPr>
              <w:pStyle w:val="MDPI42tablebody"/>
              <w:jc w:val="left"/>
            </w:pPr>
            <w:r>
              <w:rPr>
                <w:sz w:val="14"/>
              </w:rPr>
              <w:t>High-functioning older men; mean age 82 years; cohort: ISAW-older-men-214; sample: 236 enrolled; 229 sensor-complete; 214 in final analysis; events: 91 fallers; 227 falls</w:t>
            </w:r>
          </w:p>
        </w:tc>
        <w:tc>
          <w:tcPr>
            <w:tcW w:type="dxa" w:w="1935"/>
            <w:tcW w:w="2200" w:type="dxa"/>
          </w:tcPr>
          <w:p>
            <w:pPr>
              <w:pStyle w:val="MDPI42tablebody"/>
              <w:jc w:val="left"/>
            </w:pPr>
            <w:r>
              <w:rPr>
                <w:sz w:val="14"/>
              </w:rPr>
              <w:t>Wearable IMUs during Instrumented Stand and Walk; 30-second stance followed by 7-m walk, turn, and return; candidate predictors: 17 balance/gait metrics, age, and fall history</w:t>
            </w:r>
          </w:p>
        </w:tc>
        <w:tc>
          <w:tcPr>
            <w:tcW w:type="dxa" w:w="1935"/>
            <w:tcW w:w="1700" w:type="dxa"/>
          </w:tcPr>
          <w:p>
            <w:pPr>
              <w:pStyle w:val="MDPI42tablebody"/>
              <w:jc w:val="left"/>
            </w:pPr>
            <w:r>
              <w:rPr>
                <w:sz w:val="14"/>
              </w:rPr>
              <w:t>At least one fall; horizon: 12 months; ascertainment: Fall reports every 4 months for 12 months</w:t>
            </w:r>
          </w:p>
        </w:tc>
        <w:tc>
          <w:tcPr>
            <w:tcW w:type="dxa" w:w="1935"/>
            <w:tcW w:w="1900" w:type="dxa"/>
          </w:tcPr>
          <w:p>
            <w:pPr>
              <w:pStyle w:val="MDPI42tablebody"/>
              <w:jc w:val="left"/>
            </w:pPr>
            <w:r>
              <w:rPr>
                <w:sz w:val="14"/>
              </w:rPr>
              <w:t>Logistic regression with BIC-weighted model averaging; stage: development; validation: Apparent performance</w:t>
            </w:r>
          </w:p>
        </w:tc>
        <w:tc>
          <w:tcPr>
            <w:tcW w:type="dxa" w:w="1935"/>
            <w:tcW w:w="2500" w:type="dxa"/>
          </w:tcPr>
          <w:p>
            <w:pPr>
              <w:pStyle w:val="MDPI42tablebody"/>
              <w:jc w:val="left"/>
            </w:pPr>
            <w:r>
              <w:rPr>
                <w:sz w:val="14"/>
              </w:rPr>
              <w:t>ISAW plus age/history AUC=0.751 (95% CI 0.680–0.821); age/history AUC=0.685; ISAW alone AUC=0.715;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Male-only cohort; many candidate combinations; performance assessed in derivation data; no calibration or external validation; source: full text.</w:t>
            </w:r>
          </w:p>
        </w:tc>
      </w:tr>
      <w:tr>
        <w:tc>
          <w:tcPr>
            <w:tcW w:type="dxa" w:w="1935"/>
            <w:tcW w:w="1400" w:type="dxa"/>
          </w:tcPr>
          <w:p>
            <w:pPr>
              <w:pStyle w:val="MDPI42tablebody"/>
              <w:jc w:val="left"/>
            </w:pPr>
            <w:r>
              <w:rPr>
                <w:sz w:val="14"/>
              </w:rPr>
              <w:t>Ullrich et al. (2023) [52]</w:t>
            </w:r>
          </w:p>
        </w:tc>
        <w:tc>
          <w:tcPr>
            <w:tcW w:type="dxa" w:w="1935"/>
            <w:tcW w:w="2200" w:type="dxa"/>
          </w:tcPr>
          <w:p>
            <w:pPr>
              <w:pStyle w:val="MDPI42tablebody"/>
              <w:jc w:val="left"/>
            </w:pPr>
            <w:r>
              <w:rPr>
                <w:sz w:val="14"/>
              </w:rPr>
              <w:t>People with Parkinson disease; analytic mean age approximately 63.9 years; cohort: PD-foot-IMU-40; sample: 40 recruited; 35 analysed; events: 10 fallers; 25 nonfallers</w:t>
            </w:r>
          </w:p>
        </w:tc>
        <w:tc>
          <w:tcPr>
            <w:tcW w:type="dxa" w:w="1935"/>
            <w:tcW w:w="2200" w:type="dxa"/>
          </w:tcPr>
          <w:p>
            <w:pPr>
              <w:pStyle w:val="MDPI42tablebody"/>
              <w:jc w:val="left"/>
            </w:pPr>
            <w:r>
              <w:rPr>
                <w:sz w:val="14"/>
              </w:rPr>
              <w:t>Foot-worn inertial sensors for 2 weeks; Continuous real-world gait and unsupervised repeated 4×10-m walking tests; candidate predictors: Aggregated real-world or unsupervised-test gait parameters</w:t>
            </w:r>
          </w:p>
        </w:tc>
        <w:tc>
          <w:tcPr>
            <w:tcW w:type="dxa" w:w="1935"/>
            <w:tcW w:w="1700" w:type="dxa"/>
          </w:tcPr>
          <w:p>
            <w:pPr>
              <w:pStyle w:val="MDPI42tablebody"/>
              <w:jc w:val="left"/>
            </w:pPr>
            <w:r>
              <w:rPr>
                <w:sz w:val="14"/>
              </w:rPr>
              <w:t>Self-reported prospective falls; horizon: 3 months; ascertainment: Daily paper fall diary during 3-month follow-up</w:t>
            </w:r>
          </w:p>
        </w:tc>
        <w:tc>
          <w:tcPr>
            <w:tcW w:type="dxa" w:w="1935"/>
            <w:tcW w:w="1900" w:type="dxa"/>
          </w:tcPr>
          <w:p>
            <w:pPr>
              <w:pStyle w:val="MDPI42tablebody"/>
              <w:jc w:val="left"/>
            </w:pPr>
            <w:r>
              <w:rPr>
                <w:sz w:val="14"/>
              </w:rPr>
              <w:t>Machine-learning classifiers; random forest among evaluated models; stage: development internal validation; validation: Internal cross-validation</w:t>
            </w:r>
          </w:p>
        </w:tc>
        <w:tc>
          <w:tcPr>
            <w:tcW w:type="dxa" w:w="1935"/>
            <w:tcW w:w="2500" w:type="dxa"/>
          </w:tcPr>
          <w:p>
            <w:pPr>
              <w:pStyle w:val="MDPI42tablebody"/>
              <w:jc w:val="left"/>
            </w:pPr>
            <w:r>
              <w:rPr>
                <w:sz w:val="14"/>
              </w:rPr>
              <w:t>Best real-world balanced accuracy=74%, sensitivity=60%, specificity=88%; test-protocol balanced accuracy=68%;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35 analysed participants and 10 events; numerous aggregation/model choices; self-reported outcome; no external validation or calibration; source: full text.</w:t>
            </w:r>
          </w:p>
        </w:tc>
      </w:tr>
      <w:tr>
        <w:tc>
          <w:tcPr>
            <w:tcW w:type="dxa" w:w="1935"/>
            <w:tcW w:w="1400" w:type="dxa"/>
          </w:tcPr>
          <w:p>
            <w:pPr>
              <w:pStyle w:val="MDPI42tablebody"/>
              <w:jc w:val="left"/>
            </w:pPr>
            <w:r>
              <w:rPr>
                <w:sz w:val="14"/>
              </w:rPr>
              <w:t>Al Abiad et al. (2023) [53]</w:t>
            </w:r>
          </w:p>
        </w:tc>
        <w:tc>
          <w:tcPr>
            <w:tcW w:type="dxa" w:w="1935"/>
            <w:tcW w:w="2200" w:type="dxa"/>
          </w:tcPr>
          <w:p>
            <w:pPr>
              <w:pStyle w:val="MDPI42tablebody"/>
              <w:jc w:val="left"/>
            </w:pPr>
            <w:r>
              <w:rPr>
                <w:sz w:val="14"/>
              </w:rPr>
              <w:t>Community-dwelling older adults in the StandingTall study; cohort: StandingTall; sample: 301 enrolled; 283 analysed; events: 116/301 source-cohort fallers; events among 283 analysed NR</w:t>
            </w:r>
          </w:p>
        </w:tc>
        <w:tc>
          <w:tcPr>
            <w:tcW w:type="dxa" w:w="1935"/>
            <w:tcW w:w="2200" w:type="dxa"/>
          </w:tcPr>
          <w:p>
            <w:pPr>
              <w:pStyle w:val="MDPI42tablebody"/>
              <w:jc w:val="left"/>
            </w:pPr>
            <w:r>
              <w:rPr>
                <w:sz w:val="14"/>
              </w:rPr>
              <w:t>One week of ambulatory inertial signals; Smartstep placement-agnostic step detection; Daily-life walking bouts of 200 steps; candidate predictors: Step-based variability, complexity, intensity, and quantity parameters</w:t>
            </w:r>
          </w:p>
        </w:tc>
        <w:tc>
          <w:tcPr>
            <w:tcW w:type="dxa" w:w="1935"/>
            <w:tcW w:w="1700" w:type="dxa"/>
          </w:tcPr>
          <w:p>
            <w:pPr>
              <w:pStyle w:val="MDPI42tablebody"/>
              <w:jc w:val="left"/>
            </w:pPr>
            <w:r>
              <w:rPr>
                <w:sz w:val="14"/>
              </w:rPr>
              <w:t>Prospective fall occurrence/count; horizon: 12 months; ascertainment: Weekly tablet fall diary for 12 months</w:t>
            </w:r>
          </w:p>
        </w:tc>
        <w:tc>
          <w:tcPr>
            <w:tcW w:type="dxa" w:w="1935"/>
            <w:tcW w:w="1900" w:type="dxa"/>
          </w:tcPr>
          <w:p>
            <w:pPr>
              <w:pStyle w:val="MDPI42tablebody"/>
              <w:jc w:val="left"/>
            </w:pPr>
            <w:r>
              <w:rPr>
                <w:sz w:val="14"/>
              </w:rPr>
              <w:t>Backward-elimination negative-binomial regression; stage: development internal validation; validation: Apparent AUC plus 10 repeated 80:20 ShuffleSplit evaluations</w:t>
            </w:r>
          </w:p>
        </w:tc>
        <w:tc>
          <w:tcPr>
            <w:tcW w:type="dxa" w:w="1935"/>
            <w:tcW w:w="2500" w:type="dxa"/>
          </w:tcPr>
          <w:p>
            <w:pPr>
              <w:pStyle w:val="MDPI42tablebody"/>
              <w:jc w:val="left"/>
            </w:pPr>
            <w:r>
              <w:rPr>
                <w:sz w:val="14"/>
              </w:rPr>
              <w:t>Apparent AUC 0.69; repeated holdout mean AUC 0.67 (SD 0.05);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Secondary analysis with backward selection; fall-event count among the 283 analysed participants and comprehensive calibration were not reported; no independent validation; source: full text.</w:t>
            </w:r>
          </w:p>
        </w:tc>
      </w:tr>
      <w:tr>
        <w:tc>
          <w:tcPr>
            <w:tcW w:type="dxa" w:w="1935"/>
            <w:tcW w:w="1400" w:type="dxa"/>
          </w:tcPr>
          <w:p>
            <w:pPr>
              <w:pStyle w:val="MDPI42tablebody"/>
              <w:jc w:val="left"/>
            </w:pPr>
            <w:r>
              <w:rPr>
                <w:sz w:val="14"/>
              </w:rPr>
              <w:t>Adeli et al. (2023) [54]</w:t>
            </w:r>
          </w:p>
        </w:tc>
        <w:tc>
          <w:tcPr>
            <w:tcW w:type="dxa" w:w="1935"/>
            <w:tcW w:w="2200" w:type="dxa"/>
          </w:tcPr>
          <w:p>
            <w:pPr>
              <w:pStyle w:val="MDPI42tablebody"/>
              <w:jc w:val="left"/>
            </w:pPr>
            <w:r>
              <w:rPr>
                <w:sz w:val="14"/>
              </w:rPr>
              <w:t>Older long-term-care residents with dementia; cohort: Toronto-dementia-ambient-gait; sample: 54; events: 20/54 participants; 81 total falls; 55 falls contributed to prediction windows</w:t>
            </w:r>
          </w:p>
        </w:tc>
        <w:tc>
          <w:tcPr>
            <w:tcW w:type="dxa" w:w="1935"/>
            <w:tcW w:w="2200" w:type="dxa"/>
          </w:tcPr>
          <w:p>
            <w:pPr>
              <w:pStyle w:val="MDPI42tablebody"/>
              <w:jc w:val="left"/>
            </w:pPr>
            <w:r>
              <w:rPr>
                <w:sz w:val="14"/>
              </w:rPr>
              <w:t>Ambient computer-vision gait monitoring plus baseline clinical and daily medication data; Mean 56.8 observation days; 4,851 gait bouts; rolling 4-week prediction windows; candidate predictors: Ambient gait, baseline mobility/fall-risk assessments, and three medication categories</w:t>
            </w:r>
          </w:p>
        </w:tc>
        <w:tc>
          <w:tcPr>
            <w:tcW w:type="dxa" w:w="1935"/>
            <w:tcW w:w="1700" w:type="dxa"/>
          </w:tcPr>
          <w:p>
            <w:pPr>
              <w:pStyle w:val="MDPI42tablebody"/>
              <w:jc w:val="left"/>
            </w:pPr>
            <w:r>
              <w:rPr>
                <w:sz w:val="14"/>
              </w:rPr>
              <w:t>At least one fall in the next 4 weeks; horizon: Rolling 4-week horizon; ascertainment: Longitudinal facility fall records; detailed definition NR</w:t>
            </w:r>
          </w:p>
        </w:tc>
        <w:tc>
          <w:tcPr>
            <w:tcW w:type="dxa" w:w="1935"/>
            <w:tcW w:w="1900" w:type="dxa"/>
          </w:tcPr>
          <w:p>
            <w:pPr>
              <w:pStyle w:val="MDPI42tablebody"/>
              <w:jc w:val="left"/>
            </w:pPr>
            <w:r>
              <w:rPr>
                <w:sz w:val="14"/>
              </w:rPr>
              <w:t>Machine-learning models with systematic feature-set and hyperparameter ablations; stage: development internal validation; validation: Leave-one-subject-out cross-validation</w:t>
            </w:r>
          </w:p>
        </w:tc>
        <w:tc>
          <w:tcPr>
            <w:tcW w:type="dxa" w:w="1935"/>
            <w:tcW w:w="2500" w:type="dxa"/>
          </w:tcPr>
          <w:p>
            <w:pPr>
              <w:pStyle w:val="MDPI42tablebody"/>
              <w:jc w:val="left"/>
            </w:pPr>
            <w:r>
              <w:rPr>
                <w:sz w:val="14"/>
              </w:rPr>
              <w:t>Best AUC=0.762, sensitivity=72.8%, specificity=73.2%; without ambient gait AUC=0.562;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54 residents with repeated windows; potential within-person dependence and tuning optimism; no external validation or calibration; source: full text.</w:t>
            </w:r>
          </w:p>
        </w:tc>
      </w:tr>
      <w:tr>
        <w:tc>
          <w:tcPr>
            <w:tcW w:type="dxa" w:w="1935"/>
            <w:tcW w:w="1400" w:type="dxa"/>
          </w:tcPr>
          <w:p>
            <w:pPr>
              <w:pStyle w:val="MDPI42tablebody"/>
              <w:jc w:val="left"/>
            </w:pPr>
            <w:r>
              <w:rPr>
                <w:sz w:val="14"/>
              </w:rPr>
              <w:t>Shah et al. (2023) [55]</w:t>
            </w:r>
          </w:p>
        </w:tc>
        <w:tc>
          <w:tcPr>
            <w:tcW w:type="dxa" w:w="1935"/>
            <w:tcW w:w="2200" w:type="dxa"/>
          </w:tcPr>
          <w:p>
            <w:pPr>
              <w:pStyle w:val="MDPI42tablebody"/>
              <w:jc w:val="left"/>
            </w:pPr>
            <w:r>
              <w:rPr>
                <w:sz w:val="14"/>
              </w:rPr>
              <w:t>People with Parkinson disease; mean age 68±6 years; cohort: PD-daily-life-gait-34; sample: 34; events: 25 prospective fallers</w:t>
            </w:r>
          </w:p>
        </w:tc>
        <w:tc>
          <w:tcPr>
            <w:tcW w:type="dxa" w:w="1935"/>
            <w:tcW w:w="2200" w:type="dxa"/>
          </w:tcPr>
          <w:p>
            <w:pPr>
              <w:pStyle w:val="MDPI42tablebody"/>
              <w:jc w:val="left"/>
            </w:pPr>
            <w:r>
              <w:rPr>
                <w:sz w:val="14"/>
              </w:rPr>
              <w:t>Three IMUs on both feet and lower back worn for 1 week; Passive daily-life gait and turning monitoring; candidate predictors: 80 digital gait and turning measures plus fall history</w:t>
            </w:r>
          </w:p>
        </w:tc>
        <w:tc>
          <w:tcPr>
            <w:tcW w:type="dxa" w:w="1935"/>
            <w:tcW w:w="1700" w:type="dxa"/>
          </w:tcPr>
          <w:p>
            <w:pPr>
              <w:pStyle w:val="MDPI42tablebody"/>
              <w:jc w:val="left"/>
            </w:pPr>
            <w:r>
              <w:rPr>
                <w:sz w:val="14"/>
              </w:rPr>
              <w:t>At least one self-reported fall; horizon: 12 months; ascertainment: Email contact every 2 weeks</w:t>
            </w:r>
          </w:p>
        </w:tc>
        <w:tc>
          <w:tcPr>
            <w:tcW w:type="dxa" w:w="1935"/>
            <w:tcW w:w="1900" w:type="dxa"/>
          </w:tcPr>
          <w:p>
            <w:pPr>
              <w:pStyle w:val="MDPI42tablebody"/>
              <w:jc w:val="left"/>
            </w:pPr>
            <w:r>
              <w:rPr>
                <w:sz w:val="14"/>
              </w:rPr>
              <w:t>Best-subsets logistic regression; stage: development; validation: Apparent performance</w:t>
            </w:r>
          </w:p>
        </w:tc>
        <w:tc>
          <w:tcPr>
            <w:tcW w:type="dxa" w:w="1935"/>
            <w:tcW w:w="2500" w:type="dxa"/>
          </w:tcPr>
          <w:p>
            <w:pPr>
              <w:pStyle w:val="MDPI42tablebody"/>
              <w:jc w:val="left"/>
            </w:pPr>
            <w:r>
              <w:rPr>
                <w:sz w:val="14"/>
              </w:rPr>
              <w:t>Best four-gait-measure model AUC=0.94 (95% CI 0.84–1.00); fall history AUC=0.77;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34 participants, 80 candidate measures, data-driven best-subsets selection, no internal validation, calibration, or external validation; source: full text.</w:t>
            </w:r>
          </w:p>
        </w:tc>
      </w:tr>
      <w:tr>
        <w:tc>
          <w:tcPr>
            <w:tcW w:type="dxa" w:w="1935"/>
            <w:tcW w:w="1400" w:type="dxa"/>
          </w:tcPr>
          <w:p>
            <w:pPr>
              <w:pStyle w:val="MDPI42tablebody"/>
              <w:jc w:val="left"/>
            </w:pPr>
            <w:r>
              <w:rPr>
                <w:sz w:val="14"/>
              </w:rPr>
              <w:t>Sotirakis et al. (2024) [56]</w:t>
            </w:r>
          </w:p>
        </w:tc>
        <w:tc>
          <w:tcPr>
            <w:tcW w:type="dxa" w:w="1935"/>
            <w:tcW w:w="2200" w:type="dxa"/>
          </w:tcPr>
          <w:p>
            <w:pPr>
              <w:pStyle w:val="MDPI42tablebody"/>
              <w:jc w:val="left"/>
            </w:pPr>
            <w:r>
              <w:rPr>
                <w:sz w:val="14"/>
              </w:rPr>
              <w:t>People with Parkinson disease and no prior falls; mean age approximately 65–71 years by outcome group; cohort: PD-kinematic-104; sample: 104 enrolled; 98 analysed at 24 months and 97 at 60 months; events: 13 fallers at 24 months; 23 at 60 months</w:t>
            </w:r>
          </w:p>
        </w:tc>
        <w:tc>
          <w:tcPr>
            <w:tcW w:type="dxa" w:w="1935"/>
            <w:tcW w:w="2200" w:type="dxa"/>
          </w:tcPr>
          <w:p>
            <w:pPr>
              <w:pStyle w:val="MDPI42tablebody"/>
              <w:jc w:val="left"/>
            </w:pPr>
            <w:r>
              <w:rPr>
                <w:sz w:val="14"/>
              </w:rPr>
              <w:t>Six IMUs on wrists, feet, sternum, and lumbar region; 2-minute walk and 30-second postural-sway task; candidate predictors: Walking and postural-variability measures with clinicodemographic variables</w:t>
            </w:r>
          </w:p>
        </w:tc>
        <w:tc>
          <w:tcPr>
            <w:tcW w:type="dxa" w:w="1935"/>
            <w:tcW w:w="1700" w:type="dxa"/>
          </w:tcPr>
          <w:p>
            <w:pPr>
              <w:pStyle w:val="MDPI42tablebody"/>
              <w:jc w:val="left"/>
            </w:pPr>
            <w:r>
              <w:rPr>
                <w:sz w:val="14"/>
              </w:rPr>
              <w:t>Incident faller status; horizon: 24 and 60 months; ascertainment: Research visits and telephone follow-up; heterogeneous ascertainment at 60 months</w:t>
            </w:r>
          </w:p>
        </w:tc>
        <w:tc>
          <w:tcPr>
            <w:tcW w:type="dxa" w:w="1935"/>
            <w:tcW w:w="1900" w:type="dxa"/>
          </w:tcPr>
          <w:p>
            <w:pPr>
              <w:pStyle w:val="MDPI42tablebody"/>
              <w:jc w:val="left"/>
            </w:pPr>
            <w:r>
              <w:rPr>
                <w:sz w:val="14"/>
              </w:rPr>
              <w:t>Five machine-learning classifiers; random forest best at 60 months; stage: development internal validation; validation: Five-fold cross-validation after whole-dataset, horizon-specific feature selection; majority-class undersampling</w:t>
            </w:r>
          </w:p>
        </w:tc>
        <w:tc>
          <w:tcPr>
            <w:tcW w:type="dxa" w:w="1935"/>
            <w:tcW w:w="2500" w:type="dxa"/>
          </w:tcPr>
          <w:p>
            <w:pPr>
              <w:pStyle w:val="MDPI42tablebody"/>
              <w:jc w:val="left"/>
            </w:pPr>
            <w:r>
              <w:rPr>
                <w:sz w:val="14"/>
              </w:rPr>
              <w:t>At 24 months AUC &gt;0.90 and accuracy 84–92%; at 60 months random-forest AUC=0.85 and accuracy=78%;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13 and 23 events; multiple feature/classifier/horizon comparisons; no external validation or calibration; source: full text.</w:t>
            </w:r>
          </w:p>
        </w:tc>
      </w:tr>
      <w:tr>
        <w:tc>
          <w:tcPr>
            <w:tcW w:type="dxa" w:w="1935"/>
            <w:tcW w:w="1400" w:type="dxa"/>
          </w:tcPr>
          <w:p>
            <w:pPr>
              <w:pStyle w:val="MDPI42tablebody"/>
              <w:jc w:val="left"/>
            </w:pPr>
            <w:r>
              <w:rPr>
                <w:sz w:val="14"/>
              </w:rPr>
              <w:t>Zhang et al. (2024) [57]</w:t>
            </w:r>
          </w:p>
        </w:tc>
        <w:tc>
          <w:tcPr>
            <w:tcW w:type="dxa" w:w="1935"/>
            <w:tcW w:w="2200" w:type="dxa"/>
          </w:tcPr>
          <w:p>
            <w:pPr>
              <w:pStyle w:val="MDPI42tablebody"/>
              <w:jc w:val="left"/>
            </w:pPr>
            <w:r>
              <w:rPr>
                <w:sz w:val="14"/>
              </w:rPr>
              <w:t>Institutionalized older adults; cohort: InstrumentedFootwear-95; sample: 95; events: 15 prospective fallers</w:t>
            </w:r>
          </w:p>
        </w:tc>
        <w:tc>
          <w:tcPr>
            <w:tcW w:type="dxa" w:w="1935"/>
            <w:tcW w:w="2200" w:type="dxa"/>
          </w:tcPr>
          <w:p>
            <w:pPr>
              <w:pStyle w:val="MDPI42tablebody"/>
              <w:jc w:val="left"/>
            </w:pPr>
            <w:r>
              <w:rPr>
                <w:sz w:val="14"/>
              </w:rPr>
              <w:t>Instrumented footwear plus instrumented walkway; 6-minute walk plus timed mobility/clinical tests; candidate predictors: Instrumented-footwear, walkway, and timed-test gait/mobility features</w:t>
            </w:r>
          </w:p>
        </w:tc>
        <w:tc>
          <w:tcPr>
            <w:tcW w:type="dxa" w:w="1935"/>
            <w:tcW w:w="1700" w:type="dxa"/>
          </w:tcPr>
          <w:p>
            <w:pPr>
              <w:pStyle w:val="MDPI42tablebody"/>
              <w:jc w:val="left"/>
            </w:pPr>
            <w:r>
              <w:rPr>
                <w:sz w:val="14"/>
              </w:rPr>
              <w:t>At least one prospective fall; horizon: 6 months; ascertainment: Prospective follow-up; method NR</w:t>
            </w:r>
          </w:p>
        </w:tc>
        <w:tc>
          <w:tcPr>
            <w:tcW w:type="dxa" w:w="1935"/>
            <w:tcW w:w="1900" w:type="dxa"/>
          </w:tcPr>
          <w:p>
            <w:pPr>
              <w:pStyle w:val="MDPI42tablebody"/>
              <w:jc w:val="left"/>
            </w:pPr>
            <w:r>
              <w:rPr>
                <w:sz w:val="14"/>
              </w:rPr>
              <w:t>AdaBoost after brute-force feature selection; stage: development internal validation; validation: Whole-dataset brute-force feature search followed by nonnested 10-fold CV and LOOCV</w:t>
            </w:r>
          </w:p>
        </w:tc>
        <w:tc>
          <w:tcPr>
            <w:tcW w:type="dxa" w:w="1935"/>
            <w:tcW w:w="2500" w:type="dxa"/>
          </w:tcPr>
          <w:p>
            <w:pPr>
              <w:pStyle w:val="MDPI42tablebody"/>
              <w:jc w:val="left"/>
            </w:pPr>
            <w:r>
              <w:rPr>
                <w:sz w:val="14"/>
              </w:rPr>
              <w:t>Feature-search AUCs 0.47/0.66/0.80; 10-fold CV AUCs 0.56/0.57/0.70 for timed tests/walkway/footwear;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15 prospective events; brute-force selection and validation nesting unclear; no calibration or external validation; source: full text.</w:t>
            </w:r>
          </w:p>
        </w:tc>
      </w:tr>
      <w:tr>
        <w:tc>
          <w:tcPr>
            <w:tcW w:type="dxa" w:w="1935"/>
            <w:tcW w:w="1400" w:type="dxa"/>
          </w:tcPr>
          <w:p>
            <w:pPr>
              <w:pStyle w:val="MDPI42tablebody"/>
              <w:jc w:val="left"/>
            </w:pPr>
            <w:r>
              <w:rPr>
                <w:sz w:val="14"/>
              </w:rPr>
              <w:t>Maiora et al. (2024) [58]</w:t>
            </w:r>
          </w:p>
        </w:tc>
        <w:tc>
          <w:tcPr>
            <w:tcW w:type="dxa" w:w="1935"/>
            <w:tcW w:w="2200" w:type="dxa"/>
          </w:tcPr>
          <w:p>
            <w:pPr>
              <w:pStyle w:val="MDPI42tablebody"/>
              <w:jc w:val="left"/>
            </w:pPr>
            <w:r>
              <w:rPr>
                <w:sz w:val="14"/>
              </w:rPr>
              <w:t>Adults aged 70–104 years from nine nursing homes; cohort: TUG-deep-learning-106; sample: 106; events: 21 fallers</w:t>
            </w:r>
          </w:p>
        </w:tc>
        <w:tc>
          <w:tcPr>
            <w:tcW w:type="dxa" w:w="1935"/>
            <w:tcW w:w="2200" w:type="dxa"/>
          </w:tcPr>
          <w:p>
            <w:pPr>
              <w:pStyle w:val="MDPI42tablebody"/>
              <w:jc w:val="left"/>
            </w:pPr>
            <w:r>
              <w:rPr>
                <w:sz w:val="14"/>
              </w:rPr>
              <w:t>Lumbar G-Walk IMU; Instrumented TUG; candidate predictors: Raw/derived TUG sensor sequences and features</w:t>
            </w:r>
          </w:p>
        </w:tc>
        <w:tc>
          <w:tcPr>
            <w:tcW w:type="dxa" w:w="1935"/>
            <w:tcW w:w="1700" w:type="dxa"/>
          </w:tcPr>
          <w:p>
            <w:pPr>
              <w:pStyle w:val="MDPI42tablebody"/>
              <w:jc w:val="left"/>
            </w:pPr>
            <w:r>
              <w:rPr>
                <w:sz w:val="14"/>
              </w:rPr>
              <w:t>At least one fall; horizon: 6 months; ascertainment: Nursing-home medical records</w:t>
            </w:r>
          </w:p>
        </w:tc>
        <w:tc>
          <w:tcPr>
            <w:tcW w:type="dxa" w:w="1935"/>
            <w:tcW w:w="1900" w:type="dxa"/>
          </w:tcPr>
          <w:p>
            <w:pPr>
              <w:pStyle w:val="MDPI42tablebody"/>
              <w:jc w:val="left"/>
            </w:pPr>
            <w:r>
              <w:rPr>
                <w:sz w:val="14"/>
              </w:rPr>
              <w:t>Bidirectional LSTM and comparator machine-learning models; stage: development internal validation; validation: 100 repeated 75/31 holdouts with five-fold model selection in each training partition</w:t>
            </w:r>
          </w:p>
        </w:tc>
        <w:tc>
          <w:tcPr>
            <w:tcW w:type="dxa" w:w="1935"/>
            <w:tcW w:w="2500" w:type="dxa"/>
          </w:tcPr>
          <w:p>
            <w:pPr>
              <w:pStyle w:val="MDPI42tablebody"/>
              <w:jc w:val="left"/>
            </w:pPr>
            <w:r>
              <w:rPr>
                <w:sz w:val="14"/>
              </w:rPr>
              <w:t>Maximum-AUC Adam BLSTM: AUC 0.78, accuracy 0.87, sensitivity 0.33, specificity 1.00; SGDM BLSTM: AUC 0.73, accuracy 0.83, sensitivity 0.50, specificity 0.92; Best BLSTM AUC=0.73, accuracy=0.83, sensitivity=0.50;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21 events; repeated reuse of a small cohort and many model choices; modest sensitivity; no external validation or calibration; source: full text.</w:t>
            </w:r>
          </w:p>
        </w:tc>
      </w:tr>
      <w:tr>
        <w:tc>
          <w:tcPr>
            <w:tcW w:type="dxa" w:w="1935"/>
            <w:tcW w:w="1400" w:type="dxa"/>
          </w:tcPr>
          <w:p>
            <w:pPr>
              <w:pStyle w:val="MDPI42tablebody"/>
              <w:jc w:val="left"/>
            </w:pPr>
            <w:r>
              <w:rPr>
                <w:sz w:val="14"/>
              </w:rPr>
              <w:t>Zhang et al. (2024) [59]</w:t>
            </w:r>
          </w:p>
        </w:tc>
        <w:tc>
          <w:tcPr>
            <w:tcW w:type="dxa" w:w="1935"/>
            <w:tcW w:w="2200" w:type="dxa"/>
          </w:tcPr>
          <w:p>
            <w:pPr>
              <w:pStyle w:val="MDPI42tablebody"/>
              <w:jc w:val="left"/>
            </w:pPr>
            <w:r>
              <w:rPr>
                <w:sz w:val="14"/>
              </w:rPr>
              <w:t>Community-dwelling adults; mean age 71.8 years; 68.1% women; cohort: Trunk-model-external-validation-263; sample: 263 complete cases; events: 105 fallers; 50 walking fallers</w:t>
            </w:r>
          </w:p>
        </w:tc>
        <w:tc>
          <w:tcPr>
            <w:tcW w:type="dxa" w:w="1935"/>
            <w:tcW w:w="2200" w:type="dxa"/>
          </w:tcPr>
          <w:p>
            <w:pPr>
              <w:pStyle w:val="MDPI42tablebody"/>
              <w:jc w:val="left"/>
            </w:pPr>
            <w:r>
              <w:rPr>
                <w:sz w:val="14"/>
              </w:rPr>
              <w:t>Trunk accelerometer worn for 1 week; Daily-life monitoring plus questionnaires; candidate predictors: Predictors in three previously published questionnaire/trunk-accelerometry models</w:t>
            </w:r>
          </w:p>
        </w:tc>
        <w:tc>
          <w:tcPr>
            <w:tcW w:type="dxa" w:w="1935"/>
            <w:tcW w:w="1700" w:type="dxa"/>
          </w:tcPr>
          <w:p>
            <w:pPr>
              <w:pStyle w:val="MDPI42tablebody"/>
              <w:jc w:val="left"/>
            </w:pPr>
            <w:r>
              <w:rPr>
                <w:sz w:val="14"/>
              </w:rPr>
              <w:t>At least one fall; horizon: 6 months; ascertainment: Fall diary with monthly telephone contact</w:t>
            </w:r>
          </w:p>
        </w:tc>
        <w:tc>
          <w:tcPr>
            <w:tcW w:type="dxa" w:w="1935"/>
            <w:tcW w:w="1900" w:type="dxa"/>
          </w:tcPr>
          <w:p>
            <w:pPr>
              <w:pStyle w:val="MDPI42tablebody"/>
              <w:jc w:val="left"/>
            </w:pPr>
            <w:r>
              <w:rPr>
                <w:sz w:val="14"/>
              </w:rPr>
              <w:t>External validation of original coefficients/cutoffs, followed by recalibration and cohort-specific updating; stage: independent cohort fixed model evaluation and updating; validation: Independent-cohort evaluation of three published models, followed by recalibration/updating; predictor reconstruction differed from development</w:t>
            </w:r>
          </w:p>
        </w:tc>
        <w:tc>
          <w:tcPr>
            <w:tcW w:type="dxa" w:w="1935"/>
            <w:tcW w:w="2500" w:type="dxa"/>
          </w:tcPr>
          <w:p>
            <w:pPr>
              <w:pStyle w:val="MDPI42tablebody"/>
              <w:jc w:val="left"/>
            </w:pPr>
            <w:r>
              <w:rPr>
                <w:sz w:val="14"/>
              </w:rPr>
              <w:t>Fixed-model AUCs for questionnaire-only comparator/gait-only/combined gait–questionnaire models: all falls 0.62/0.50/0.53 and walking falls 0.68/0.49/0.59; recalibrated AUCs 0.62/0.52/0.58 and 0.68/0.51/0.62, respectively; Across eligible gait-only and combined models, precision 0.20–0.49, sensitivity 0.32–0.55, and specificity 0.45–0.89; the questionnaire-only comparator produced the overall maximum sensitivity 0.58; Calibration: Original-model calibration intercepts included −1.06 and −0.83 for questionnaire-only and combined models for all falls and −2.17, −1.14, and −1.82 for questionnaire-only, gait-only, and combined models for walking falls; corresponding reported slopes for questionnaire-only and combined models were 2.22 and 1.40 for all falls and 3.24 and 2.08 for walking falls; no calibration plot was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Independent-cohort fixed-model evaluation, but predictor reconstruction/processing differed from development specifications; case mix and predictor effects differed, and updated models were evaluated in the same cohort; source: full text.</w:t>
            </w:r>
          </w:p>
        </w:tc>
      </w:tr>
      <w:tr>
        <w:tc>
          <w:tcPr>
            <w:tcW w:type="dxa" w:w="1935"/>
            <w:tcW w:w="1400" w:type="dxa"/>
          </w:tcPr>
          <w:p>
            <w:pPr>
              <w:pStyle w:val="MDPI42tablebody"/>
              <w:jc w:val="left"/>
            </w:pPr>
            <w:r>
              <w:rPr>
                <w:sz w:val="14"/>
              </w:rPr>
              <w:t>Lai et al. (2025) [60]</w:t>
            </w:r>
          </w:p>
        </w:tc>
        <w:tc>
          <w:tcPr>
            <w:tcW w:type="dxa" w:w="1935"/>
            <w:tcW w:w="2200" w:type="dxa"/>
          </w:tcPr>
          <w:p>
            <w:pPr>
              <w:pStyle w:val="MDPI42tablebody"/>
              <w:jc w:val="left"/>
            </w:pPr>
            <w:r>
              <w:rPr>
                <w:sz w:val="14"/>
              </w:rPr>
              <w:t>Community-dwelling older people in Hong Kong; cohort: Booguu-Aspire-37; sample: 37; events: 5 fallers; 32 nonfallers</w:t>
            </w:r>
          </w:p>
        </w:tc>
        <w:tc>
          <w:tcPr>
            <w:tcW w:type="dxa" w:w="1935"/>
            <w:tcW w:w="2200" w:type="dxa"/>
          </w:tcPr>
          <w:p>
            <w:pPr>
              <w:pStyle w:val="MDPI42tablebody"/>
              <w:jc w:val="left"/>
            </w:pPr>
            <w:r>
              <w:rPr>
                <w:sz w:val="14"/>
              </w:rPr>
              <w:t>Commercial Booguu Aspire waist-mounted sensor; Baseline proprietary gait/balance assessment; candidate predictors: Proprietary sensor-derived risk parameters</w:t>
            </w:r>
          </w:p>
        </w:tc>
        <w:tc>
          <w:tcPr>
            <w:tcW w:type="dxa" w:w="1935"/>
            <w:tcW w:w="1700" w:type="dxa"/>
          </w:tcPr>
          <w:p>
            <w:pPr>
              <w:pStyle w:val="MDPI42tablebody"/>
              <w:jc w:val="left"/>
            </w:pPr>
            <w:r>
              <w:rPr>
                <w:sz w:val="14"/>
              </w:rPr>
              <w:t>At least one prospective fall; horizon: 12 months; ascertainment: Quarterly telephone follow-up</w:t>
            </w:r>
          </w:p>
        </w:tc>
        <w:tc>
          <w:tcPr>
            <w:tcW w:type="dxa" w:w="1935"/>
            <w:tcW w:w="1900" w:type="dxa"/>
          </w:tcPr>
          <w:p>
            <w:pPr>
              <w:pStyle w:val="MDPI42tablebody"/>
              <w:jc w:val="left"/>
            </w:pPr>
            <w:r>
              <w:rPr>
                <w:sz w:val="14"/>
              </w:rPr>
              <w:t>Fixed commercial high/moderate/low risk algorithm; stage: prospective fixed score evaluation; validation: Prospective evaluation of a fixed proprietary score/rule in 37 participants</w:t>
            </w:r>
          </w:p>
        </w:tc>
        <w:tc>
          <w:tcPr>
            <w:tcW w:type="dxa" w:w="1935"/>
            <w:tcW w:w="2500" w:type="dxa"/>
          </w:tcPr>
          <w:p>
            <w:pPr>
              <w:pStyle w:val="MDPI42tablebody"/>
              <w:jc w:val="left"/>
            </w:pPr>
            <w:r>
              <w:rPr>
                <w:sz w:val="14"/>
              </w:rPr>
              <w:t>Reported AUC 0.688; At the reported high-risk threshold, recalculated from confusion counts: sensitivity 100%, specificity 37.5%, PPV 20%, NPV 100%, accuracy 45.9%; Calibration: Not reported</w:t>
            </w:r>
          </w:p>
        </w:tc>
        <w:tc>
          <w:tcPr>
            <w:tcW w:type="dxa" w:w="1935"/>
            <w:tcW w:w="1000" w:type="dxa"/>
          </w:tcPr>
          <w:p>
            <w:pPr>
              <w:pStyle w:val="MDPI42tablebody"/>
              <w:jc w:val="left"/>
            </w:pPr>
            <w:r>
              <w:rPr>
                <w:sz w:val="14"/>
              </w:rPr>
              <w:t>Development: Not applicable; Evaluation: High</w:t>
            </w:r>
          </w:p>
        </w:tc>
        <w:tc>
          <w:tcPr>
            <w:tcW w:type="dxa" w:w="1935"/>
            <w:tcW w:w="2200" w:type="dxa"/>
          </w:tcPr>
          <w:p>
            <w:pPr>
              <w:pStyle w:val="MDPI42tablebody"/>
              <w:jc w:val="left"/>
            </w:pPr>
            <w:r>
              <w:rPr>
                <w:sz w:val="14"/>
              </w:rPr>
              <w:t>Only 37 participants and five fallers; proprietary/opaque score; low specificity and positive predictive value; no calibration; source: full text.</w:t>
            </w:r>
          </w:p>
        </w:tc>
      </w:tr>
      <w:tr>
        <w:tc>
          <w:tcPr>
            <w:tcW w:type="dxa" w:w="1935"/>
            <w:tcW w:w="1400" w:type="dxa"/>
          </w:tcPr>
          <w:p>
            <w:pPr>
              <w:pStyle w:val="MDPI42tablebody"/>
              <w:jc w:val="left"/>
            </w:pPr>
            <w:r>
              <w:rPr>
                <w:sz w:val="14"/>
              </w:rPr>
              <w:t>Giardini et al. (2025) [61] †</w:t>
            </w:r>
          </w:p>
        </w:tc>
        <w:tc>
          <w:tcPr>
            <w:tcW w:type="dxa" w:w="1935"/>
            <w:tcW w:w="2200" w:type="dxa"/>
          </w:tcPr>
          <w:p>
            <w:pPr>
              <w:pStyle w:val="MDPI42tablebody"/>
              <w:jc w:val="left"/>
            </w:pPr>
            <w:r>
              <w:rPr>
                <w:sz w:val="14"/>
              </w:rPr>
              <w:t>Older inpatients with femur fracture before discharge; age summary NR; cohort: Femur-fracture-iTUG-201; sample: 201 enrolled; approximately 185 completed follow-up; events: 5.5% of completers (approximately 10; exact n NR)</w:t>
            </w:r>
          </w:p>
        </w:tc>
        <w:tc>
          <w:tcPr>
            <w:tcW w:type="dxa" w:w="1935"/>
            <w:tcW w:w="2200" w:type="dxa"/>
          </w:tcPr>
          <w:p>
            <w:pPr>
              <w:pStyle w:val="MDPI42tablebody"/>
              <w:jc w:val="left"/>
            </w:pPr>
            <w:r>
              <w:rPr>
                <w:sz w:val="14"/>
              </w:rPr>
              <w:t>Inertial-sensor instrumented TUG; sensor specification/placement NR; Instrumented Timed Up and Go before discharge; candidate predictors: Three iTUG variables selected after reliability assessment and exploratory factor analysis</w:t>
            </w:r>
          </w:p>
        </w:tc>
        <w:tc>
          <w:tcPr>
            <w:tcW w:type="dxa" w:w="1935"/>
            <w:tcW w:w="1700" w:type="dxa"/>
          </w:tcPr>
          <w:p>
            <w:pPr>
              <w:pStyle w:val="MDPI42tablebody"/>
              <w:jc w:val="left"/>
            </w:pPr>
            <w:r>
              <w:rPr>
                <w:sz w:val="14"/>
              </w:rPr>
              <w:t>At least one post-discharge fall; horizon: 1 month; ascertainment: Telephone follow-up at 1 month</w:t>
            </w:r>
          </w:p>
        </w:tc>
        <w:tc>
          <w:tcPr>
            <w:tcW w:type="dxa" w:w="1935"/>
            <w:tcW w:w="1900" w:type="dxa"/>
          </w:tcPr>
          <w:p>
            <w:pPr>
              <w:pStyle w:val="MDPI42tablebody"/>
              <w:jc w:val="left"/>
            </w:pPr>
            <w:r>
              <w:rPr>
                <w:sz w:val="14"/>
              </w:rPr>
              <w:t>Multivariable logistic regression; stage: development; validation: Apparent performance; no independent or resampling validation reported in abstract</w:t>
            </w:r>
          </w:p>
        </w:tc>
        <w:tc>
          <w:tcPr>
            <w:tcW w:type="dxa" w:w="1935"/>
            <w:tcW w:w="2500" w:type="dxa"/>
          </w:tcPr>
          <w:p>
            <w:pPr>
              <w:pStyle w:val="MDPI42tablebody"/>
              <w:jc w:val="left"/>
            </w:pPr>
            <w:r>
              <w:rPr>
                <w:sz w:val="14"/>
              </w:rPr>
              <w:t>R²=0.31; AUC=0.91;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Approximately 10 outcome events; 100 candidate iTUG variables filtered in the same data; no internal validation or calibration; very short horizon; source: abstract and accessible primary material.</w:t>
            </w:r>
          </w:p>
        </w:tc>
      </w:tr>
      <w:tr>
        <w:tc>
          <w:tcPr>
            <w:tcW w:type="dxa" w:w="1935"/>
            <w:tcW w:w="1400" w:type="dxa"/>
          </w:tcPr>
          <w:p>
            <w:pPr>
              <w:pStyle w:val="MDPI42tablebody"/>
              <w:jc w:val="left"/>
            </w:pPr>
            <w:r>
              <w:rPr>
                <w:sz w:val="14"/>
              </w:rPr>
              <w:t>Guan et al. (2025) [62]</w:t>
            </w:r>
          </w:p>
        </w:tc>
        <w:tc>
          <w:tcPr>
            <w:tcW w:type="dxa" w:w="1935"/>
            <w:tcW w:w="2200" w:type="dxa"/>
          </w:tcPr>
          <w:p>
            <w:pPr>
              <w:pStyle w:val="MDPI42tablebody"/>
              <w:jc w:val="left"/>
            </w:pPr>
            <w:r>
              <w:rPr>
                <w:sz w:val="14"/>
              </w:rPr>
              <w:t>Residents aged ≥65 years from five New York City senior-living facilities; mean age 84.7 years; cohort: InstrumentedFootwear-95; sample: 95; events: 15 fallers; 80 nonfallers</w:t>
            </w:r>
          </w:p>
        </w:tc>
        <w:tc>
          <w:tcPr>
            <w:tcW w:type="dxa" w:w="1935"/>
            <w:tcW w:w="2200" w:type="dxa"/>
          </w:tcPr>
          <w:p>
            <w:pPr>
              <w:pStyle w:val="MDPI42tablebody"/>
              <w:jc w:val="left"/>
            </w:pPr>
            <w:r>
              <w:rPr>
                <w:sz w:val="14"/>
              </w:rPr>
              <w:t>Instrumented footwear plus instrumented walkway; 6-minute walk test; candidate predictors: Spatiotemporal gait parameters and variability estimated by conventional and two SVR algorithms</w:t>
            </w:r>
          </w:p>
        </w:tc>
        <w:tc>
          <w:tcPr>
            <w:tcW w:type="dxa" w:w="1935"/>
            <w:tcW w:w="1700" w:type="dxa"/>
          </w:tcPr>
          <w:p>
            <w:pPr>
              <w:pStyle w:val="MDPI42tablebody"/>
              <w:jc w:val="left"/>
            </w:pPr>
            <w:r>
              <w:rPr>
                <w:sz w:val="14"/>
              </w:rPr>
              <w:t>At least one prospectively observed fall; horizon: 6 months; ascertainment: Nursing-station records reviewed through 6 months after gait testing</w:t>
            </w:r>
          </w:p>
        </w:tc>
        <w:tc>
          <w:tcPr>
            <w:tcW w:type="dxa" w:w="1935"/>
            <w:tcW w:w="1900" w:type="dxa"/>
          </w:tcPr>
          <w:p>
            <w:pPr>
              <w:pStyle w:val="MDPI42tablebody"/>
              <w:jc w:val="left"/>
            </w:pPr>
            <w:r>
              <w:rPr>
                <w:sz w:val="14"/>
              </w:rPr>
              <w:t>Logistic regression, decision tree, support-vector classifier, and artificial neural network; stage: development internal validation; validation: Leave-one-out cross-validation after whole-dataset gait-algorithm, feature-combination, and classifier tuning</w:t>
            </w:r>
          </w:p>
        </w:tc>
        <w:tc>
          <w:tcPr>
            <w:tcW w:type="dxa" w:w="1935"/>
            <w:tcW w:w="2500" w:type="dxa"/>
          </w:tcPr>
          <w:p>
            <w:pPr>
              <w:pStyle w:val="MDPI42tablebody"/>
              <w:jc w:val="left"/>
            </w:pPr>
            <w:r>
              <w:rPr>
                <w:sz w:val="14"/>
              </w:rPr>
              <w:t>Best prospective-fall AUC improved from 0.84 (conventional gait estimation) to 0.89 (SVR-derived features); Calibration: Not reported</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Only 15 prospective fallers; gait-algorithm, feature-combination, and classifier searches were not nested within leave-one-out validation; no independent validation or calibration; source: full text.</w:t>
            </w:r>
          </w:p>
        </w:tc>
      </w:tr>
      <w:tr>
        <w:tc>
          <w:tcPr>
            <w:tcW w:type="dxa" w:w="1935"/>
            <w:tcW w:w="1400" w:type="dxa"/>
          </w:tcPr>
          <w:p>
            <w:pPr>
              <w:pStyle w:val="MDPI42tablebody"/>
              <w:jc w:val="left"/>
            </w:pPr>
            <w:r>
              <w:rPr>
                <w:sz w:val="14"/>
              </w:rPr>
              <w:t>Suffoletto et al. (2026) [15] †</w:t>
            </w:r>
          </w:p>
        </w:tc>
        <w:tc>
          <w:tcPr>
            <w:tcW w:type="dxa" w:w="1935"/>
            <w:tcW w:w="2200" w:type="dxa"/>
          </w:tcPr>
          <w:p>
            <w:pPr>
              <w:pStyle w:val="MDPI42tablebody"/>
              <w:jc w:val="left"/>
            </w:pPr>
            <w:r>
              <w:rPr>
                <w:sz w:val="14"/>
              </w:rPr>
              <w:t>Community-dwelling adults aged ≥60 years discharged from an emergency department; cohort: ED-miTUG-360; sample: 360; events: 94 fallers during 180-day follow-up</w:t>
            </w:r>
          </w:p>
        </w:tc>
        <w:tc>
          <w:tcPr>
            <w:tcW w:type="dxa" w:w="1935"/>
            <w:tcW w:w="2200" w:type="dxa"/>
          </w:tcPr>
          <w:p>
            <w:pPr>
              <w:pStyle w:val="MDPI42tablebody"/>
              <w:jc w:val="left"/>
            </w:pPr>
            <w:r>
              <w:rPr>
                <w:sz w:val="14"/>
              </w:rPr>
              <w:t>IMU during a brief modified Timed Up and Go; placement NR in the accessible abstract; Baseline modified Timed Up and Go instrumented mobility test; candidate predictors: Nine clinical predictors and four IMU-derived modified-TUG features</w:t>
            </w:r>
          </w:p>
        </w:tc>
        <w:tc>
          <w:tcPr>
            <w:tcW w:type="dxa" w:w="1935"/>
            <w:tcW w:w="1700" w:type="dxa"/>
          </w:tcPr>
          <w:p>
            <w:pPr>
              <w:pStyle w:val="MDPI42tablebody"/>
              <w:jc w:val="left"/>
            </w:pPr>
            <w:r>
              <w:rPr>
                <w:sz w:val="14"/>
              </w:rPr>
              <w:t>Any fall; horizon: 180 days; ascertainment: Prospective follow-up; ascertainment details NR in the accessible abstract</w:t>
            </w:r>
          </w:p>
        </w:tc>
        <w:tc>
          <w:tcPr>
            <w:tcW w:type="dxa" w:w="1935"/>
            <w:tcW w:w="1900" w:type="dxa"/>
          </w:tcPr>
          <w:p>
            <w:pPr>
              <w:pStyle w:val="MDPI42tablebody"/>
              <w:jc w:val="left"/>
            </w:pPr>
            <w:r>
              <w:rPr>
                <w:sz w:val="14"/>
              </w:rPr>
              <w:t>Multivariable clinical model with and without four IMU features; full specification NR in the accessible abstract; stage: development apparent; validation: Same-cohort apparent performance; no independent validation reported</w:t>
            </w:r>
          </w:p>
        </w:tc>
        <w:tc>
          <w:tcPr>
            <w:tcW w:type="dxa" w:w="1935"/>
            <w:tcW w:w="2500" w:type="dxa"/>
          </w:tcPr>
          <w:p>
            <w:pPr>
              <w:pStyle w:val="MDPI42tablebody"/>
              <w:jc w:val="left"/>
            </w:pPr>
            <w:r>
              <w:rPr>
                <w:sz w:val="14"/>
              </w:rPr>
              <w:t>AUC 0.72 for clinical plus IMU features versus 0.67 for clinical predictors alone (p = 0.19); C-index 0.73 versus 0.69; At a prespecified 30% threshold: sensitivity 0.57 versus 0.45, specificity 0.80 versus 0.76, and PPV 0.50 versus 0.39 for combined versus clinical models</w:t>
            </w:r>
          </w:p>
        </w:tc>
        <w:tc>
          <w:tcPr>
            <w:tcW w:type="dxa" w:w="1935"/>
            <w:tcW w:w="1000" w:type="dxa"/>
          </w:tcPr>
          <w:p>
            <w:pPr>
              <w:pStyle w:val="MDPI42tablebody"/>
              <w:jc w:val="left"/>
            </w:pPr>
            <w:r>
              <w:rPr>
                <w:sz w:val="14"/>
              </w:rPr>
              <w:t>Development: High; Evaluation: High</w:t>
            </w:r>
          </w:p>
        </w:tc>
        <w:tc>
          <w:tcPr>
            <w:tcW w:type="dxa" w:w="1935"/>
            <w:tcW w:w="2200" w:type="dxa"/>
          </w:tcPr>
          <w:p>
            <w:pPr>
              <w:pStyle w:val="MDPI42tablebody"/>
              <w:jc w:val="left"/>
            </w:pPr>
            <w:r>
              <w:rPr>
                <w:sz w:val="14"/>
              </w:rPr>
              <w:t>Indexed structured abstract only; same-cohort performance; modelling details, optimism correction, calibration, and independent validation NR; source: abstract and accessible primary material.</w:t>
            </w:r>
          </w:p>
        </w:tc>
      </w:tr>
    </w:tbl>
    <w:p>
      <w:pPr>
        <w:pStyle w:val="MDPI32textnoindent"/>
      </w:pPr>
      <w:r>
        <w:rPr>
          <w:sz w:val="17"/>
        </w:rPr>
        <w:t>† Full text not accessible; data were extracted from the published abstract and accessible primary material, and unreported items were recorded as NR. Abbreviations are defined in the footnote to Table 2 of the main article. The PROBAST+AI column gives the overall development and evaluation judgments for the principal gait-containing model of each report (Tables S5 and S6).</w:t>
      </w:r>
    </w:p>
    <w:p>
      <w:pPr>
        <w:pStyle w:val="MDPI22heading2"/>
      </w:pPr>
      <w:r>
        <w:rPr/>
        <w:t>Table S3. Excluded reports that might appear eligible, with reasons</w:t>
      </w:r>
    </w:p>
    <w:p>
      <w:pPr>
        <w:pStyle w:val="MDPI32textnoindent"/>
      </w:pPr>
      <w:r>
        <w:rPr>
          <w:sz w:val="18"/>
        </w:rPr>
        <w:t>Principal reasons for the 294 reports excluded after full-text assessment: no prospective fall outcome or no valid temporal separation, 99; fall detection or event recognition, 53; no individualized prediction-model performance, 44; no sensor-derived gait predictor, 35; age criterion not met, 27; ineligible publication type, 20; simulated or synthetic fall data, 10; duplicate report, 6. The reports below are those that might reasonably appear to meet the eligibility criteria.</w:t>
      </w:r>
    </w:p>
    <w:tbl>
      <w:tblPr>
        <w:tblStyle w:val="MDPI41threelinetable"/>
        <w:tblW w:type="auto" w:w="0"/>
        <w:tblLook w:firstColumn="1" w:firstRow="1" w:lastColumn="0" w:lastRow="0" w:noHBand="0" w:noVBand="1" w:val="04A0"/>
        <w:tblLayout w:type="fixed"/>
      </w:tblPr>
      <w:tblGrid>
        <w:gridCol w:w="6800"/>
        <w:gridCol w:w="2300"/>
        <w:gridCol w:w="5800"/>
      </w:tblGrid>
      <w:tr>
        <w:trPr>
          <w:tblHeader/>
        </w:trPr>
        <w:tc>
          <w:tcPr>
            <w:tcW w:type="dxa" w:w="5159"/>
            <w:tcW w:w="6800" w:type="dxa"/>
          </w:tcPr>
          <w:p>
            <w:pPr>
              <w:pStyle w:val="MDPI42tablebody"/>
              <w:jc w:val="left"/>
            </w:pPr>
            <w:r>
              <w:rPr>
                <w:b/>
                <w:sz w:val="15"/>
              </w:rPr>
              <w:t>Report</w:t>
            </w:r>
          </w:p>
        </w:tc>
        <w:tc>
          <w:tcPr>
            <w:tcW w:type="dxa" w:w="5159"/>
            <w:tcW w:w="2300" w:type="dxa"/>
          </w:tcPr>
          <w:p>
            <w:pPr>
              <w:pStyle w:val="MDPI42tablebody"/>
              <w:jc w:val="left"/>
            </w:pPr>
            <w:r>
              <w:rPr>
                <w:b/>
                <w:sz w:val="15"/>
              </w:rPr>
              <w:t>DOI</w:t>
            </w:r>
          </w:p>
        </w:tc>
        <w:tc>
          <w:tcPr>
            <w:tcW w:type="dxa" w:w="5159"/>
            <w:tcW w:w="5800" w:type="dxa"/>
          </w:tcPr>
          <w:p>
            <w:pPr>
              <w:pStyle w:val="MDPI42tablebody"/>
              <w:jc w:val="left"/>
            </w:pPr>
            <w:r>
              <w:rPr>
                <w:b/>
                <w:sz w:val="15"/>
              </w:rPr>
              <w:t>Principal exclusion reason</w:t>
            </w:r>
          </w:p>
        </w:tc>
      </w:tr>
      <w:tr>
        <w:tc>
          <w:tcPr>
            <w:tcW w:type="dxa" w:w="5159"/>
            <w:tcW w:w="6800" w:type="dxa"/>
          </w:tcPr>
          <w:p>
            <w:pPr>
              <w:pStyle w:val="MDPI42tablebody"/>
              <w:jc w:val="left"/>
            </w:pPr>
            <w:r>
              <w:rPr>
                <w:sz w:val="15"/>
              </w:rPr>
              <w:t>Davey, N.; Harte, G.; Boran, A.; Pierpoint, R.; Gallagher, C.; Mc Elwaine, P.; Kennelly, S.P. Gait speed as a predictor of fall risk: An AI-based, risk-stratified study in specialist falls-clinic and community-dwelling older adults. Age Ageing 2025, 54 (Suppl. 4), afaf318.032.</w:t>
            </w:r>
          </w:p>
        </w:tc>
        <w:tc>
          <w:tcPr>
            <w:tcW w:type="dxa" w:w="5159"/>
            <w:tcW w:w="2300" w:type="dxa"/>
          </w:tcPr>
          <w:p>
            <w:pPr>
              <w:pStyle w:val="MDPI42tablebody"/>
              <w:jc w:val="left"/>
            </w:pPr>
            <w:r>
              <w:rPr>
                <w:sz w:val="15"/>
              </w:rPr>
              <w:t>10.1093/ageing/afaf318.032</w:t>
            </w:r>
          </w:p>
        </w:tc>
        <w:tc>
          <w:tcPr>
            <w:tcW w:type="dxa" w:w="5159"/>
            <w:tcW w:w="5800" w:type="dxa"/>
          </w:tcPr>
          <w:p>
            <w:pPr>
              <w:pStyle w:val="MDPI42tablebody"/>
              <w:jc w:val="left"/>
            </w:pPr>
            <w:r>
              <w:rPr>
                <w:sz w:val="15"/>
              </w:rPr>
              <w:t>Conference abstract without a sufficiently detailed, appraisable peer-reviewed full journal report.</w:t>
            </w:r>
          </w:p>
        </w:tc>
      </w:tr>
      <w:tr>
        <w:tc>
          <w:tcPr>
            <w:tcW w:type="dxa" w:w="5159"/>
            <w:tcW w:w="6800" w:type="dxa"/>
          </w:tcPr>
          <w:p>
            <w:pPr>
              <w:pStyle w:val="MDPI42tablebody"/>
              <w:jc w:val="left"/>
            </w:pPr>
            <w:r>
              <w:rPr>
                <w:sz w:val="15"/>
              </w:rPr>
              <w:t>Hewage, K.; Lee, S.; Fosker, S.; Hardcastle, T.; Ali, K. 736 Real-time mobility data from wearable devices predicting falls risk in older adults. Age Ageing 2022, 51 (Suppl. 1), afac035.736.</w:t>
            </w:r>
          </w:p>
        </w:tc>
        <w:tc>
          <w:tcPr>
            <w:tcW w:type="dxa" w:w="5159"/>
            <w:tcW w:w="2300" w:type="dxa"/>
          </w:tcPr>
          <w:p>
            <w:pPr>
              <w:pStyle w:val="MDPI42tablebody"/>
              <w:jc w:val="left"/>
            </w:pPr>
            <w:r>
              <w:rPr>
                <w:sz w:val="15"/>
              </w:rPr>
              <w:t>10.1093/ageing/afac035.736</w:t>
            </w:r>
          </w:p>
        </w:tc>
        <w:tc>
          <w:tcPr>
            <w:tcW w:type="dxa" w:w="5159"/>
            <w:tcW w:w="5800" w:type="dxa"/>
          </w:tcPr>
          <w:p>
            <w:pPr>
              <w:pStyle w:val="MDPI42tablebody"/>
              <w:jc w:val="left"/>
            </w:pPr>
            <w:r>
              <w:rPr>
                <w:sz w:val="15"/>
              </w:rPr>
              <w:t>Conference abstract without a sufficiently detailed, appraisable peer-reviewed full journal report.</w:t>
            </w:r>
          </w:p>
        </w:tc>
      </w:tr>
      <w:tr>
        <w:tc>
          <w:tcPr>
            <w:tcW w:type="dxa" w:w="5159"/>
            <w:tcW w:w="6800" w:type="dxa"/>
          </w:tcPr>
          <w:p>
            <w:pPr>
              <w:pStyle w:val="MDPI42tablebody"/>
              <w:jc w:val="left"/>
            </w:pPr>
            <w:r>
              <w:rPr>
                <w:sz w:val="15"/>
              </w:rPr>
              <w:t>Osaka, H.; Fujita, D.; Kobara, K.; Yoshimura, Y.; Matsumoto, H.; Suehiro, T. 01 Prediction of falls in community-dwelling older people using an accelerometer: The results of a 1-year prospective study. Age Ageing 2019, 48 (Suppl. 4), iv1–iv2.</w:t>
            </w:r>
          </w:p>
        </w:tc>
        <w:tc>
          <w:tcPr>
            <w:tcW w:type="dxa" w:w="5159"/>
            <w:tcW w:w="2300" w:type="dxa"/>
          </w:tcPr>
          <w:p>
            <w:pPr>
              <w:pStyle w:val="MDPI42tablebody"/>
              <w:jc w:val="left"/>
            </w:pPr>
            <w:r>
              <w:rPr>
                <w:sz w:val="15"/>
              </w:rPr>
              <w:t>10.1093/ageing/afz164.01</w:t>
            </w:r>
          </w:p>
        </w:tc>
        <w:tc>
          <w:tcPr>
            <w:tcW w:type="dxa" w:w="5159"/>
            <w:tcW w:w="5800" w:type="dxa"/>
          </w:tcPr>
          <w:p>
            <w:pPr>
              <w:pStyle w:val="MDPI42tablebody"/>
              <w:jc w:val="left"/>
            </w:pPr>
            <w:r>
              <w:rPr>
                <w:sz w:val="15"/>
              </w:rPr>
              <w:t>Conference abstract without a sufficiently detailed, appraisable peer-reviewed full journal report.</w:t>
            </w:r>
          </w:p>
        </w:tc>
      </w:tr>
      <w:tr>
        <w:tc>
          <w:tcPr>
            <w:tcW w:type="dxa" w:w="5159"/>
            <w:tcW w:w="6800" w:type="dxa"/>
          </w:tcPr>
          <w:p>
            <w:pPr>
              <w:pStyle w:val="MDPI42tablebody"/>
              <w:jc w:val="left"/>
            </w:pPr>
            <w:r>
              <w:rPr>
                <w:sz w:val="15"/>
              </w:rPr>
              <w:t>Mohan, D.; Chong, P.H.J.; Gutierrez, J.; Baig, M.M.; Li, H. Deep belief network-based activity of daily living monitoring for fall risk prediction in elderly. IEEE Trans. Emerg. Top. Comput. 2026, 14, 543–556.</w:t>
            </w:r>
          </w:p>
        </w:tc>
        <w:tc>
          <w:tcPr>
            <w:tcW w:type="dxa" w:w="5159"/>
            <w:tcW w:w="2300" w:type="dxa"/>
          </w:tcPr>
          <w:p>
            <w:pPr>
              <w:pStyle w:val="MDPI42tablebody"/>
              <w:jc w:val="left"/>
            </w:pPr>
            <w:r>
              <w:rPr>
                <w:sz w:val="15"/>
              </w:rPr>
              <w:t>10.1109/TETC.2026.3686005</w:t>
            </w:r>
          </w:p>
        </w:tc>
        <w:tc>
          <w:tcPr>
            <w:tcW w:type="dxa" w:w="5159"/>
            <w:tcW w:w="5800" w:type="dxa"/>
          </w:tcPr>
          <w:p>
            <w:pPr>
              <w:pStyle w:val="MDPI42tablebody"/>
              <w:jc w:val="left"/>
            </w:pPr>
            <w:r>
              <w:rPr>
                <w:sz w:val="15"/>
              </w:rPr>
              <w:t>No prospectively ascertained subsequent-fall outcome with a completed index period; performance used contemporaneous ground-truth risk labels.</w:t>
            </w:r>
          </w:p>
        </w:tc>
      </w:tr>
      <w:tr>
        <w:tc>
          <w:tcPr>
            <w:tcW w:type="dxa" w:w="5159"/>
            <w:tcW w:w="6800" w:type="dxa"/>
          </w:tcPr>
          <w:p>
            <w:pPr>
              <w:pStyle w:val="MDPI42tablebody"/>
              <w:jc w:val="left"/>
            </w:pPr>
            <w:r>
              <w:rPr>
                <w:sz w:val="15"/>
              </w:rPr>
              <w:t>Choi, Y.; Jeong, J.; Lee, H.; Lee, H.J.; Han, J.W.; Kim, K.W. Neural control of anticipatory braking and lateral balance predicts fall risk in older adults: BMI-dependent mechanisms. Front. Aging Neurosci. 2026, 17, 1699584.</w:t>
            </w:r>
          </w:p>
        </w:tc>
        <w:tc>
          <w:tcPr>
            <w:tcW w:type="dxa" w:w="5159"/>
            <w:tcW w:w="2300" w:type="dxa"/>
          </w:tcPr>
          <w:p>
            <w:pPr>
              <w:pStyle w:val="MDPI42tablebody"/>
              <w:jc w:val="left"/>
            </w:pPr>
            <w:r>
              <w:rPr>
                <w:sz w:val="15"/>
              </w:rPr>
              <w:t>10.3389/fnagi.2025.1699584</w:t>
            </w:r>
          </w:p>
        </w:tc>
        <w:tc>
          <w:tcPr>
            <w:tcW w:type="dxa" w:w="5159"/>
            <w:tcW w:w="5800" w:type="dxa"/>
          </w:tcPr>
          <w:p>
            <w:pPr>
              <w:pStyle w:val="MDPI42tablebody"/>
              <w:jc w:val="left"/>
            </w:pPr>
            <w:r>
              <w:rPr>
                <w:sz w:val="15"/>
              </w:rPr>
              <w:t>Reported adjusted associations and odds ratios but no eligible individualized discrimination, calibration, or threshold-performance estimate.</w:t>
            </w:r>
          </w:p>
        </w:tc>
      </w:tr>
      <w:tr>
        <w:tc>
          <w:tcPr>
            <w:tcW w:type="dxa" w:w="5159"/>
            <w:tcW w:w="6800" w:type="dxa"/>
          </w:tcPr>
          <w:p>
            <w:pPr>
              <w:pStyle w:val="MDPI42tablebody"/>
              <w:jc w:val="left"/>
            </w:pPr>
            <w:r>
              <w:rPr>
                <w:sz w:val="15"/>
              </w:rPr>
              <w:t>Lam, W.W.T.; Ang, W.T.; Fong, K.N.K. Prediction for prospective falls via gait evaluation using mobile devices for stroke survivors: A markerless motion analysis study. Clin. Rehabil. 2026, 40, 959–971.</w:t>
            </w:r>
          </w:p>
        </w:tc>
        <w:tc>
          <w:tcPr>
            <w:tcW w:type="dxa" w:w="5159"/>
            <w:tcW w:w="2300" w:type="dxa"/>
          </w:tcPr>
          <w:p>
            <w:pPr>
              <w:pStyle w:val="MDPI42tablebody"/>
              <w:jc w:val="left"/>
            </w:pPr>
            <w:r>
              <w:rPr>
                <w:sz w:val="15"/>
              </w:rPr>
              <w:t>10.1177/02692155251414356</w:t>
            </w:r>
          </w:p>
        </w:tc>
        <w:tc>
          <w:tcPr>
            <w:tcW w:type="dxa" w:w="5159"/>
            <w:tcW w:w="5800" w:type="dxa"/>
          </w:tcPr>
          <w:p>
            <w:pPr>
              <w:pStyle w:val="MDPI42tablebody"/>
              <w:jc w:val="left"/>
            </w:pPr>
            <w:r>
              <w:rPr>
                <w:sz w:val="15"/>
              </w:rPr>
              <w:t>The stroke cohort did not satisfy the review's defined older-adult age criterion, and eligible older-adult model results were not separately extractable.</w:t>
            </w:r>
          </w:p>
        </w:tc>
      </w:tr>
      <w:tr>
        <w:tc>
          <w:tcPr>
            <w:tcW w:type="dxa" w:w="5159"/>
            <w:tcW w:w="6800" w:type="dxa"/>
          </w:tcPr>
          <w:p>
            <w:pPr>
              <w:pStyle w:val="MDPI42tablebody"/>
              <w:jc w:val="left"/>
            </w:pPr>
            <w:r>
              <w:rPr>
                <w:sz w:val="15"/>
              </w:rPr>
              <w:t>Feld, L.; Hackbarth, M.; Himmelmann, L.; Speckmann, E.-M.; Koschate-Storm, J.; Stuckenschneider, T.; Zieschang, T. Quantifying reactive dynamic balance in older adults: An exploratory lag-plot-based approach towards fall risk estimation. Gerontology 2026, advance online publication.</w:t>
            </w:r>
          </w:p>
        </w:tc>
        <w:tc>
          <w:tcPr>
            <w:tcW w:type="dxa" w:w="5159"/>
            <w:tcW w:w="2300" w:type="dxa"/>
          </w:tcPr>
          <w:p>
            <w:pPr>
              <w:pStyle w:val="MDPI42tablebody"/>
              <w:jc w:val="left"/>
            </w:pPr>
            <w:r>
              <w:rPr>
                <w:sz w:val="15"/>
              </w:rPr>
              <w:t>10.1159/000551583</w:t>
            </w:r>
          </w:p>
        </w:tc>
        <w:tc>
          <w:tcPr>
            <w:tcW w:type="dxa" w:w="5159"/>
            <w:tcW w:w="5800" w:type="dxa"/>
          </w:tcPr>
          <w:p>
            <w:pPr>
              <w:pStyle w:val="MDPI42tablebody"/>
              <w:jc w:val="left"/>
            </w:pPr>
            <w:r>
              <w:rPr>
                <w:sz w:val="15"/>
              </w:rPr>
              <w:t>Reported exploratory regression associations, odds ratios, and pseudo-R², but no eligible individualized discrimination, calibration, or threshold-performance estimate.</w:t>
            </w:r>
          </w:p>
        </w:tc>
      </w:tr>
      <w:tr>
        <w:tc>
          <w:tcPr>
            <w:tcW w:type="dxa" w:w="5159"/>
            <w:tcW w:w="6800" w:type="dxa"/>
          </w:tcPr>
          <w:p>
            <w:pPr>
              <w:pStyle w:val="MDPI42tablebody"/>
              <w:jc w:val="left"/>
            </w:pPr>
            <w:r>
              <w:rPr>
                <w:sz w:val="15"/>
              </w:rPr>
              <w:t>Suffoletto, B.; Kim, D.; Toth, C.; Mayer, W.; Ashenburg, N.; Lin, M.; Losak, M. Development of a model predicting falls in older emergency department patients using smartphone-based mobility measures. J. Am. Geriatr. Soc. 2025, 73, 791–801.</w:t>
            </w:r>
          </w:p>
        </w:tc>
        <w:tc>
          <w:tcPr>
            <w:tcW w:type="dxa" w:w="5159"/>
            <w:tcW w:w="2300" w:type="dxa"/>
          </w:tcPr>
          <w:p>
            <w:pPr>
              <w:pStyle w:val="MDPI42tablebody"/>
              <w:jc w:val="left"/>
            </w:pPr>
            <w:r>
              <w:rPr>
                <w:sz w:val="15"/>
              </w:rPr>
              <w:t>10.1111/jgs.19303</w:t>
            </w:r>
          </w:p>
        </w:tc>
        <w:tc>
          <w:tcPr>
            <w:tcW w:type="dxa" w:w="5159"/>
            <w:tcW w:w="5800" w:type="dxa"/>
          </w:tcPr>
          <w:p>
            <w:pPr>
              <w:pStyle w:val="MDPI42tablebody"/>
              <w:jc w:val="left"/>
            </w:pPr>
            <w:r>
              <w:rPr>
                <w:sz w:val="15"/>
              </w:rPr>
              <w:t>Smartphone predictors, including longitudinal change measures, were collected during the same 90-day interval in which falls were ascertained; the index window was not completed before outcome follow-up.</w:t>
            </w:r>
          </w:p>
        </w:tc>
      </w:tr>
      <w:tr>
        <w:tc>
          <w:tcPr>
            <w:tcW w:type="dxa" w:w="5159"/>
            <w:tcW w:w="6800" w:type="dxa"/>
          </w:tcPr>
          <w:p>
            <w:pPr>
              <w:pStyle w:val="MDPI42tablebody"/>
              <w:jc w:val="left"/>
            </w:pPr>
            <w:r>
              <w:rPr>
                <w:sz w:val="15"/>
              </w:rPr>
              <w:t>Sun, C.-Y.; Hsu, L.-C.; Su, C.-C.; Li, C.-Y.; Chao, C.-T.; Chang, Y.-T.; Chang, C.-M.; Wang, W.-F.; Lien, W.-C. Gait abnormalities and longitudinal fall risk in older patients with end-stage kidney disease and sarcopenia. BMC Geriatr. 2024, 24, 937.</w:t>
            </w:r>
          </w:p>
        </w:tc>
        <w:tc>
          <w:tcPr>
            <w:tcW w:type="dxa" w:w="5159"/>
            <w:tcW w:w="2300" w:type="dxa"/>
          </w:tcPr>
          <w:p>
            <w:pPr>
              <w:pStyle w:val="MDPI42tablebody"/>
              <w:jc w:val="left"/>
            </w:pPr>
            <w:r>
              <w:rPr>
                <w:sz w:val="15"/>
              </w:rPr>
              <w:t>10.1186/s12877-024-05506-z</w:t>
            </w:r>
          </w:p>
        </w:tc>
        <w:tc>
          <w:tcPr>
            <w:tcW w:type="dxa" w:w="5159"/>
            <w:tcW w:w="5800" w:type="dxa"/>
          </w:tcPr>
          <w:p>
            <w:pPr>
              <w:pStyle w:val="MDPI42tablebody"/>
              <w:jc w:val="left"/>
            </w:pPr>
            <w:r>
              <w:rPr>
                <w:sz w:val="15"/>
              </w:rPr>
              <w:t>Examined associations between baseline gait markers and injurious falls but did not report an eligible individualized prediction-model performance measure.</w:t>
            </w:r>
          </w:p>
        </w:tc>
      </w:tr>
      <w:tr>
        <w:tc>
          <w:tcPr>
            <w:tcW w:type="dxa" w:w="5159"/>
            <w:tcW w:w="6800" w:type="dxa"/>
          </w:tcPr>
          <w:p>
            <w:pPr>
              <w:pStyle w:val="MDPI42tablebody"/>
              <w:jc w:val="left"/>
            </w:pPr>
            <w:r>
              <w:rPr>
                <w:sz w:val="15"/>
              </w:rPr>
              <w:t>Zhang, K.; Liu, W.; Zhang, J.; Li, Z.; Liu, J. A fall risk assessment model for community-dwelling elderly individuals based on gait parameters. IEEE Access 2023, 11, 120857–120867.</w:t>
            </w:r>
          </w:p>
        </w:tc>
        <w:tc>
          <w:tcPr>
            <w:tcW w:type="dxa" w:w="5159"/>
            <w:tcW w:w="2300" w:type="dxa"/>
          </w:tcPr>
          <w:p>
            <w:pPr>
              <w:pStyle w:val="MDPI42tablebody"/>
              <w:jc w:val="left"/>
            </w:pPr>
            <w:r>
              <w:rPr>
                <w:sz w:val="15"/>
              </w:rPr>
              <w:t>10.1109/ACCESS.2023.3327091</w:t>
            </w:r>
          </w:p>
        </w:tc>
        <w:tc>
          <w:tcPr>
            <w:tcW w:type="dxa" w:w="5159"/>
            <w:tcW w:w="5800" w:type="dxa"/>
          </w:tcPr>
          <w:p>
            <w:pPr>
              <w:pStyle w:val="MDPI42tablebody"/>
              <w:jc w:val="left"/>
            </w:pPr>
            <w:r>
              <w:rPr>
                <w:sz w:val="15"/>
              </w:rPr>
              <w:t>The classification target was fall-risk status based principally on previous fall history rather than falls occurring after completion of the gait assessment.</w:t>
            </w:r>
          </w:p>
        </w:tc>
      </w:tr>
      <w:tr>
        <w:tc>
          <w:tcPr>
            <w:tcW w:type="dxa" w:w="5159"/>
            <w:tcW w:w="6800" w:type="dxa"/>
          </w:tcPr>
          <w:p>
            <w:pPr>
              <w:pStyle w:val="MDPI42tablebody"/>
              <w:jc w:val="left"/>
            </w:pPr>
            <w:r>
              <w:rPr>
                <w:sz w:val="15"/>
              </w:rPr>
              <w:t>Nouriani, A.; Jonason, A.; Sabal, L.T.; Hanson, J.T.; Jean, J.N.; Lisko, T.; Reid, E.; Moua, Y.; Rozeboom, S.; Neverman, K.; et al. Real world validation of activity recognition algorithm and development of novel behavioral biomarkers of falls in aged control and movement disorder patients. Front. Aging Neurosci. 2023, 15, 1117802.</w:t>
            </w:r>
          </w:p>
        </w:tc>
        <w:tc>
          <w:tcPr>
            <w:tcW w:type="dxa" w:w="5159"/>
            <w:tcW w:w="2300" w:type="dxa"/>
          </w:tcPr>
          <w:p>
            <w:pPr>
              <w:pStyle w:val="MDPI42tablebody"/>
              <w:jc w:val="left"/>
            </w:pPr>
            <w:r>
              <w:rPr>
                <w:sz w:val="15"/>
              </w:rPr>
              <w:t>10.3389/fnagi.2023.1117802</w:t>
            </w:r>
          </w:p>
        </w:tc>
        <w:tc>
          <w:tcPr>
            <w:tcW w:type="dxa" w:w="5159"/>
            <w:tcW w:w="5800" w:type="dxa"/>
          </w:tcPr>
          <w:p>
            <w:pPr>
              <w:pStyle w:val="MDPI42tablebody"/>
              <w:jc w:val="left"/>
            </w:pPr>
            <w:r>
              <w:rPr>
                <w:sz w:val="15"/>
              </w:rPr>
              <w:t>The prospective model used activity/behavioral measures but did not include an eligible gait-derived predictor.</w:t>
            </w:r>
          </w:p>
        </w:tc>
      </w:tr>
      <w:tr>
        <w:tc>
          <w:tcPr>
            <w:tcW w:type="dxa" w:w="5159"/>
            <w:tcW w:w="6800" w:type="dxa"/>
          </w:tcPr>
          <w:p>
            <w:pPr>
              <w:pStyle w:val="MDPI42tablebody"/>
              <w:jc w:val="left"/>
            </w:pPr>
            <w:r>
              <w:rPr>
                <w:sz w:val="15"/>
              </w:rPr>
              <w:t>Shimada, H.; Lee, S.; Doi, T.; Takayanagi, N.; Sudo, M.; Yamashiro, Y.; Niki, Y.; Arai, H. Community walking speed as a new predictor of disability incidence in older adults: A prospective cohort study. Gerontology 2026, 72, 279–288.</w:t>
            </w:r>
          </w:p>
        </w:tc>
        <w:tc>
          <w:tcPr>
            <w:tcW w:type="dxa" w:w="5159"/>
            <w:tcW w:w="2300" w:type="dxa"/>
          </w:tcPr>
          <w:p>
            <w:pPr>
              <w:pStyle w:val="MDPI42tablebody"/>
              <w:jc w:val="left"/>
            </w:pPr>
            <w:r>
              <w:rPr>
                <w:sz w:val="15"/>
              </w:rPr>
              <w:t>10.1159/000550778</w:t>
            </w:r>
          </w:p>
        </w:tc>
        <w:tc>
          <w:tcPr>
            <w:tcW w:type="dxa" w:w="5159"/>
            <w:tcW w:w="5800" w:type="dxa"/>
          </w:tcPr>
          <w:p>
            <w:pPr>
              <w:pStyle w:val="MDPI42tablebody"/>
              <w:jc w:val="left"/>
            </w:pPr>
            <w:r>
              <w:rPr>
                <w:sz w:val="15"/>
              </w:rPr>
              <w:t>The modeled outcome was incident disability, not a subsequent fall.</w:t>
            </w:r>
          </w:p>
        </w:tc>
      </w:tr>
      <w:tr>
        <w:tc>
          <w:tcPr>
            <w:tcW w:type="dxa" w:w="5159"/>
            <w:tcW w:w="6800" w:type="dxa"/>
          </w:tcPr>
          <w:p>
            <w:pPr>
              <w:pStyle w:val="MDPI42tablebody"/>
              <w:jc w:val="left"/>
            </w:pPr>
            <w:r>
              <w:rPr>
                <w:sz w:val="15"/>
              </w:rPr>
              <w:t>Takayanagi, N.; Sudo, M.; Yamashiro, Y.; Chiba, I.; Lee, S.; Niki, Y.; Shimada, H. Predictivity of daily gait speed using tri-axial accelerometers for two-year incident disability among Japanese older adults. Sci. Rep. 2022, 12, 10067.</w:t>
            </w:r>
          </w:p>
        </w:tc>
        <w:tc>
          <w:tcPr>
            <w:tcW w:type="dxa" w:w="5159"/>
            <w:tcW w:w="2300" w:type="dxa"/>
          </w:tcPr>
          <w:p>
            <w:pPr>
              <w:pStyle w:val="MDPI42tablebody"/>
              <w:jc w:val="left"/>
            </w:pPr>
            <w:r>
              <w:rPr>
                <w:sz w:val="15"/>
              </w:rPr>
              <w:t>10.1038/s41598-022-14304-9</w:t>
            </w:r>
          </w:p>
        </w:tc>
        <w:tc>
          <w:tcPr>
            <w:tcW w:type="dxa" w:w="5159"/>
            <w:tcW w:w="5800" w:type="dxa"/>
          </w:tcPr>
          <w:p>
            <w:pPr>
              <w:pStyle w:val="MDPI42tablebody"/>
              <w:jc w:val="left"/>
            </w:pPr>
            <w:r>
              <w:rPr>
                <w:sz w:val="15"/>
              </w:rPr>
              <w:t>The modeled outcome was incident disability, not a subsequent fall.</w:t>
            </w:r>
          </w:p>
        </w:tc>
      </w:tr>
      <w:tr>
        <w:tc>
          <w:tcPr>
            <w:tcW w:type="dxa" w:w="5159"/>
            <w:tcW w:w="6800" w:type="dxa"/>
          </w:tcPr>
          <w:p>
            <w:pPr>
              <w:pStyle w:val="MDPI42tablebody"/>
              <w:jc w:val="left"/>
            </w:pPr>
            <w:r>
              <w:rPr>
                <w:sz w:val="15"/>
              </w:rPr>
              <w:t>Buchman, A.S.; Dawe, R.J.; Leurgans, S.E.; Curran, T.A.; Truty, T.; Yu, L.; Barnes, L.L.; Hausdorff, J.M.; Bennett, D.A. Different combinations of mobility metrics derived from a wearable sensor are associated with distinct health outcomes in older adults. J. Gerontol. A Biol. Sci. Med. Sci. 2020, 75, 1176–1183.</w:t>
            </w:r>
          </w:p>
        </w:tc>
        <w:tc>
          <w:tcPr>
            <w:tcW w:type="dxa" w:w="5159"/>
            <w:tcW w:w="2300" w:type="dxa"/>
          </w:tcPr>
          <w:p>
            <w:pPr>
              <w:pStyle w:val="MDPI42tablebody"/>
              <w:jc w:val="left"/>
            </w:pPr>
            <w:r>
              <w:rPr>
                <w:sz w:val="15"/>
              </w:rPr>
              <w:t>10.1093/gerona/glz160</w:t>
            </w:r>
          </w:p>
        </w:tc>
        <w:tc>
          <w:tcPr>
            <w:tcW w:type="dxa" w:w="5159"/>
            <w:tcW w:w="5800" w:type="dxa"/>
          </w:tcPr>
          <w:p>
            <w:pPr>
              <w:pStyle w:val="MDPI42tablebody"/>
              <w:jc w:val="left"/>
            </w:pPr>
            <w:r>
              <w:rPr>
                <w:sz w:val="15"/>
              </w:rPr>
              <w:t>Outcomes were disability, cognitive decline, hospitalization, and mortality; subsequent falls were not modeled.</w:t>
            </w:r>
          </w:p>
        </w:tc>
      </w:tr>
      <w:tr>
        <w:tc>
          <w:tcPr>
            <w:tcW w:type="dxa" w:w="5159"/>
            <w:tcW w:w="6800" w:type="dxa"/>
          </w:tcPr>
          <w:p>
            <w:pPr>
              <w:pStyle w:val="MDPI42tablebody"/>
              <w:jc w:val="left"/>
            </w:pPr>
            <w:r>
              <w:rPr>
                <w:sz w:val="15"/>
              </w:rPr>
              <w:t>Bower, K.; Thilarajah, S.; Pua, Y.-H.; Williams, G.; Tan, D.; Mentiplay, B.; Denehy, L.; Clark, R. Dynamic balance and instrumented gait variables are independent predictors of falls following stroke. J. Neuroeng. Rehabil. 2019, 16, 3.</w:t>
            </w:r>
          </w:p>
        </w:tc>
        <w:tc>
          <w:tcPr>
            <w:tcW w:type="dxa" w:w="5159"/>
            <w:tcW w:w="2300" w:type="dxa"/>
          </w:tcPr>
          <w:p>
            <w:pPr>
              <w:pStyle w:val="MDPI42tablebody"/>
              <w:jc w:val="left"/>
            </w:pPr>
            <w:r>
              <w:rPr>
                <w:sz w:val="15"/>
              </w:rPr>
              <w:t>10.1186/s12984-018-0478-4</w:t>
            </w:r>
          </w:p>
        </w:tc>
        <w:tc>
          <w:tcPr>
            <w:tcW w:type="dxa" w:w="5159"/>
            <w:tcW w:w="5800" w:type="dxa"/>
          </w:tcPr>
          <w:p>
            <w:pPr>
              <w:pStyle w:val="MDPI42tablebody"/>
              <w:jc w:val="left"/>
            </w:pPr>
            <w:r>
              <w:rPr>
                <w:sz w:val="15"/>
              </w:rPr>
              <w:t>Reported adjusted prognostic-factor associations and odds ratios but no eligible individualized discrimination, calibration, or threshold-performance estimate.</w:t>
            </w:r>
          </w:p>
        </w:tc>
      </w:tr>
      <w:tr>
        <w:tc>
          <w:tcPr>
            <w:tcW w:type="dxa" w:w="5159"/>
            <w:tcW w:w="6800" w:type="dxa"/>
          </w:tcPr>
          <w:p>
            <w:pPr>
              <w:pStyle w:val="MDPI42tablebody"/>
              <w:jc w:val="left"/>
            </w:pPr>
            <w:r>
              <w:rPr>
                <w:sz w:val="15"/>
              </w:rPr>
              <w:t>Quicksall, Z.S. Accelerometer-based analysis of gait and prediction of fall risk in older adults. M.S. Thesis, University of Illinois at Urbana–Champaign, Urbana, IL, USA, 2018. Available online: https://hdl.handle.net/2142/102899.</w:t>
            </w:r>
          </w:p>
        </w:tc>
        <w:tc>
          <w:tcPr>
            <w:tcW w:type="dxa" w:w="5159"/>
            <w:tcW w:w="2300" w:type="dxa"/>
          </w:tcPr>
          <w:p>
            <w:pPr>
              <w:pStyle w:val="MDPI42tablebody"/>
              <w:jc w:val="left"/>
            </w:pPr>
            <w:r>
              <w:rPr>
                <w:sz w:val="15"/>
              </w:rPr>
              <w:t>No DOI</w:t>
            </w:r>
          </w:p>
        </w:tc>
        <w:tc>
          <w:tcPr>
            <w:tcW w:type="dxa" w:w="5159"/>
            <w:tcW w:w="5800" w:type="dxa"/>
          </w:tcPr>
          <w:p>
            <w:pPr>
              <w:pStyle w:val="MDPI42tablebody"/>
              <w:jc w:val="left"/>
            </w:pPr>
            <w:r>
              <w:rPr>
                <w:sz w:val="15"/>
              </w:rPr>
              <w:t>Master’s thesis; did not meet the review's defined peer-reviewed journal-report criterion.</w:t>
            </w:r>
          </w:p>
        </w:tc>
      </w:tr>
      <w:tr>
        <w:tc>
          <w:tcPr>
            <w:tcW w:type="dxa" w:w="5159"/>
            <w:tcW w:w="6800" w:type="dxa"/>
          </w:tcPr>
          <w:p>
            <w:pPr>
              <w:pStyle w:val="MDPI42tablebody"/>
              <w:jc w:val="left"/>
            </w:pPr>
            <w:r>
              <w:rPr>
                <w:sz w:val="15"/>
              </w:rPr>
              <w:t>Similä, H.; Immonen, M.; Ermes, M. Accelerometry-based assessment and detection of early signs of balance deficits. Comput. Biol. Med. 2017, 85, 25–32.</w:t>
            </w:r>
          </w:p>
        </w:tc>
        <w:tc>
          <w:tcPr>
            <w:tcW w:type="dxa" w:w="5159"/>
            <w:tcW w:w="2300" w:type="dxa"/>
          </w:tcPr>
          <w:p>
            <w:pPr>
              <w:pStyle w:val="MDPI42tablebody"/>
              <w:jc w:val="left"/>
            </w:pPr>
            <w:r>
              <w:rPr>
                <w:sz w:val="15"/>
              </w:rPr>
              <w:t>10.1016/j.compbiomed.2017.04.009</w:t>
            </w:r>
          </w:p>
        </w:tc>
        <w:tc>
          <w:tcPr>
            <w:tcW w:type="dxa" w:w="5159"/>
            <w:tcW w:w="5800" w:type="dxa"/>
          </w:tcPr>
          <w:p>
            <w:pPr>
              <w:pStyle w:val="MDPI42tablebody"/>
              <w:jc w:val="left"/>
            </w:pPr>
            <w:r>
              <w:rPr>
                <w:sz w:val="15"/>
              </w:rPr>
              <w:t>The target was deterioration in a balance assessment score rather than an actual subsequent fall.</w:t>
            </w:r>
          </w:p>
        </w:tc>
      </w:tr>
      <w:tr>
        <w:tc>
          <w:tcPr>
            <w:tcW w:type="dxa" w:w="5159"/>
            <w:tcW w:w="6800" w:type="dxa"/>
          </w:tcPr>
          <w:p>
            <w:pPr>
              <w:pStyle w:val="MDPI42tablebody"/>
              <w:jc w:val="left"/>
            </w:pPr>
            <w:r>
              <w:rPr>
                <w:sz w:val="15"/>
              </w:rPr>
              <w:t>Mohler, M.J.; Wendel, C.S.; Taylor-Piliae, R.E.; Toosizadeh, N.; Najafi, B. Motor performance and physical activity as predictors of prospective falls in community-dwelling older adults by frailty level: Application of wearable technology. Gerontology 2016, 62, 654–664.</w:t>
            </w:r>
          </w:p>
        </w:tc>
        <w:tc>
          <w:tcPr>
            <w:tcW w:type="dxa" w:w="5159"/>
            <w:tcW w:w="2300" w:type="dxa"/>
          </w:tcPr>
          <w:p>
            <w:pPr>
              <w:pStyle w:val="MDPI42tablebody"/>
              <w:jc w:val="left"/>
            </w:pPr>
            <w:r>
              <w:rPr>
                <w:sz w:val="15"/>
              </w:rPr>
              <w:t>10.1159/000445889</w:t>
            </w:r>
          </w:p>
        </w:tc>
        <w:tc>
          <w:tcPr>
            <w:tcW w:type="dxa" w:w="5159"/>
            <w:tcW w:w="5800" w:type="dxa"/>
          </w:tcPr>
          <w:p>
            <w:pPr>
              <w:pStyle w:val="MDPI42tablebody"/>
              <w:jc w:val="left"/>
            </w:pPr>
            <w:r>
              <w:rPr>
                <w:sz w:val="15"/>
              </w:rPr>
              <w:t>Although gait was measured, the reported final prognostic models contained balance and physical-activity measures but no gait-derived predictor.</w:t>
            </w:r>
          </w:p>
        </w:tc>
      </w:tr>
      <w:tr>
        <w:tc>
          <w:tcPr>
            <w:tcW w:type="dxa" w:w="5159"/>
            <w:tcW w:w="6800" w:type="dxa"/>
          </w:tcPr>
          <w:p>
            <w:pPr>
              <w:pStyle w:val="MDPI42tablebody"/>
              <w:jc w:val="left"/>
            </w:pPr>
            <w:r>
              <w:rPr>
                <w:sz w:val="15"/>
              </w:rPr>
              <w:t>Matsumoto, H.; Makabe, T.; Morita, T.; Ikuhara, K.; Kajigase, A.; Okamoto, Y.; Ashikawa, E.; Kobayashi, E.; Hagino, H. Accelerometry-based gait analysis predicts falls among patients with a recent fracture who are ambulatory: A 1-year prospective study. Int. J. Rehabil. Res. 2015, 38, 131–136.</w:t>
            </w:r>
          </w:p>
        </w:tc>
        <w:tc>
          <w:tcPr>
            <w:tcW w:type="dxa" w:w="5159"/>
            <w:tcW w:w="2300" w:type="dxa"/>
          </w:tcPr>
          <w:p>
            <w:pPr>
              <w:pStyle w:val="MDPI42tablebody"/>
              <w:jc w:val="left"/>
            </w:pPr>
            <w:r>
              <w:rPr>
                <w:sz w:val="15"/>
              </w:rPr>
              <w:t>10.1097/MRR.0000000000000099</w:t>
            </w:r>
          </w:p>
        </w:tc>
        <w:tc>
          <w:tcPr>
            <w:tcW w:type="dxa" w:w="5159"/>
            <w:tcW w:w="5800" w:type="dxa"/>
          </w:tcPr>
          <w:p>
            <w:pPr>
              <w:pStyle w:val="MDPI42tablebody"/>
              <w:jc w:val="left"/>
            </w:pPr>
            <w:r>
              <w:rPr>
                <w:sz w:val="15"/>
              </w:rPr>
              <w:t>Reported gait-factor group differences and an adjusted association but no eligible individualized discrimination, calibration, or threshold-performance estimate.</w:t>
            </w:r>
          </w:p>
        </w:tc>
      </w:tr>
      <w:tr>
        <w:tc>
          <w:tcPr>
            <w:tcW w:type="dxa" w:w="5159"/>
            <w:tcW w:w="6800" w:type="dxa"/>
          </w:tcPr>
          <w:p>
            <w:pPr>
              <w:pStyle w:val="MDPI42tablebody"/>
              <w:jc w:val="left"/>
            </w:pPr>
            <w:r>
              <w:rPr>
                <w:sz w:val="15"/>
              </w:rPr>
              <w:t>Buckinx, F.; Beaudart, C.; Slomian, J.; Maquet, D.; Demonceau, M.; Gillain, S.; Petermans, J.; Reginster, J.-Y.; Bruyère, O. Added value of a triaxial accelerometer assessing gait parameters to predict falls and mortality among nursing home residents: A two-year prospective study. Technol. Health Care 2015, 23, 195–203.</w:t>
            </w:r>
          </w:p>
        </w:tc>
        <w:tc>
          <w:tcPr>
            <w:tcW w:type="dxa" w:w="5159"/>
            <w:tcW w:w="2300" w:type="dxa"/>
          </w:tcPr>
          <w:p>
            <w:pPr>
              <w:pStyle w:val="MDPI42tablebody"/>
              <w:jc w:val="left"/>
            </w:pPr>
            <w:r>
              <w:rPr>
                <w:sz w:val="15"/>
              </w:rPr>
              <w:t>10.3233/THC-140883</w:t>
            </w:r>
          </w:p>
        </w:tc>
        <w:tc>
          <w:tcPr>
            <w:tcW w:type="dxa" w:w="5159"/>
            <w:tcW w:w="5800" w:type="dxa"/>
          </w:tcPr>
          <w:p>
            <w:pPr>
              <w:pStyle w:val="MDPI42tablebody"/>
              <w:jc w:val="left"/>
            </w:pPr>
            <w:r>
              <w:rPr>
                <w:sz w:val="15"/>
              </w:rPr>
              <w:t>Evaluated gait parameters as prognostic factors but did not report eligible individualized model discrimination, calibration, or threshold performance.</w:t>
            </w:r>
          </w:p>
        </w:tc>
      </w:tr>
      <w:tr>
        <w:tc>
          <w:tcPr>
            <w:tcW w:type="dxa" w:w="5159"/>
            <w:tcW w:w="6800" w:type="dxa"/>
          </w:tcPr>
          <w:p>
            <w:pPr>
              <w:pStyle w:val="MDPI42tablebody"/>
              <w:jc w:val="left"/>
            </w:pPr>
            <w:r>
              <w:rPr>
                <w:sz w:val="15"/>
              </w:rPr>
              <w:t>Weiss, A.; Herman, T.; Giladi, N.; Hausdorff, J.M. Objective assessment of fall risk in Parkinson’s disease using a body-fixed sensor worn for 3 days. PLoS ONE 2014, 9, e96675.</w:t>
            </w:r>
          </w:p>
        </w:tc>
        <w:tc>
          <w:tcPr>
            <w:tcW w:type="dxa" w:w="5159"/>
            <w:tcW w:w="2300" w:type="dxa"/>
          </w:tcPr>
          <w:p>
            <w:pPr>
              <w:pStyle w:val="MDPI42tablebody"/>
              <w:jc w:val="left"/>
            </w:pPr>
            <w:r>
              <w:rPr>
                <w:sz w:val="15"/>
              </w:rPr>
              <w:t>10.1371/journal.pone.0096675</w:t>
            </w:r>
          </w:p>
        </w:tc>
        <w:tc>
          <w:tcPr>
            <w:tcW w:type="dxa" w:w="5159"/>
            <w:tcW w:w="5800" w:type="dxa"/>
          </w:tcPr>
          <w:p>
            <w:pPr>
              <w:pStyle w:val="MDPI42tablebody"/>
              <w:jc w:val="left"/>
            </w:pPr>
            <w:r>
              <w:rPr>
                <w:sz w:val="15"/>
              </w:rPr>
              <w:t>Primarily assessed associations between sensor-derived measures and fall-risk characteristics; no eligible individualized prospective model-performance estimate was reported.</w:t>
            </w:r>
          </w:p>
        </w:tc>
      </w:tr>
      <w:tr>
        <w:tc>
          <w:tcPr>
            <w:tcW w:type="dxa" w:w="5159"/>
            <w:tcW w:w="6800" w:type="dxa"/>
          </w:tcPr>
          <w:p>
            <w:pPr>
              <w:pStyle w:val="MDPI42tablebody"/>
              <w:jc w:val="left"/>
            </w:pPr>
            <w:r>
              <w:rPr>
                <w:sz w:val="15"/>
              </w:rPr>
              <w:t>Saadeh, W.; Butt, S.A.; Altaf, M.A.B. A patient-specific single sensor IoT-based wearable fall prediction and detection system. IEEE Trans. Neural Syst. Rehabil. Eng. 2019, 27, 995–1003.</w:t>
            </w:r>
          </w:p>
        </w:tc>
        <w:tc>
          <w:tcPr>
            <w:tcW w:type="dxa" w:w="5159"/>
            <w:tcW w:w="2300" w:type="dxa"/>
          </w:tcPr>
          <w:p>
            <w:pPr>
              <w:pStyle w:val="MDPI42tablebody"/>
              <w:jc w:val="left"/>
            </w:pPr>
            <w:r>
              <w:rPr>
                <w:sz w:val="15"/>
              </w:rPr>
              <w:t>10.1109/TNSRE.2019.2911602</w:t>
            </w:r>
          </w:p>
        </w:tc>
        <w:tc>
          <w:tcPr>
            <w:tcW w:type="dxa" w:w="5159"/>
            <w:tcW w:w="5800" w:type="dxa"/>
          </w:tcPr>
          <w:p>
            <w:pPr>
              <w:pStyle w:val="MDPI42tablebody"/>
              <w:jc w:val="left"/>
            </w:pPr>
            <w:r>
              <w:rPr>
                <w:sz w:val="15"/>
              </w:rPr>
              <w:t>Addressed imminent pre-impact fall prediction/detection from the ongoing movement episode, not estimation of future-fall risk over a clinical prediction horizon.</w:t>
            </w:r>
          </w:p>
        </w:tc>
      </w:tr>
      <w:tr>
        <w:tc>
          <w:tcPr>
            <w:tcW w:type="dxa" w:w="5159"/>
            <w:tcW w:w="6800" w:type="dxa"/>
          </w:tcPr>
          <w:p>
            <w:pPr>
              <w:pStyle w:val="MDPI42tablebody"/>
              <w:jc w:val="left"/>
            </w:pPr>
            <w:r>
              <w:rPr>
                <w:sz w:val="15"/>
              </w:rPr>
              <w:t>Chan, L.L.Y.; Arbona, C.H.; Brodie, M.A.; Lord, S.R. Prediction of injurious falls in older adults using digital gait biomarkers extracted from large-scale wrist sensor data. Age Ageing 2023, 52, afad179.</w:t>
            </w:r>
          </w:p>
        </w:tc>
        <w:tc>
          <w:tcPr>
            <w:tcW w:type="dxa" w:w="5159"/>
            <w:tcW w:w="2300" w:type="dxa"/>
          </w:tcPr>
          <w:p>
            <w:pPr>
              <w:pStyle w:val="MDPI42tablebody"/>
              <w:jc w:val="left"/>
            </w:pPr>
            <w:r>
              <w:rPr>
                <w:sz w:val="15"/>
              </w:rPr>
              <w:t>10.1093/ageing/afad179</w:t>
            </w:r>
          </w:p>
        </w:tc>
        <w:tc>
          <w:tcPr>
            <w:tcW w:type="dxa" w:w="5159"/>
            <w:tcW w:w="5800" w:type="dxa"/>
          </w:tcPr>
          <w:p>
            <w:pPr>
              <w:pStyle w:val="MDPI42tablebody"/>
              <w:jc w:val="left"/>
            </w:pPr>
            <w:r>
              <w:rPr>
                <w:sz w:val="15"/>
              </w:rPr>
              <w:t>Reported associations and risk stratification but no eligible individualized discrimination, calibration, or threshold-performance measure.</w:t>
            </w:r>
          </w:p>
        </w:tc>
      </w:tr>
      <w:tr>
        <w:tc>
          <w:tcPr>
            <w:tcW w:type="dxa" w:w="5159"/>
            <w:tcW w:w="6800" w:type="dxa"/>
          </w:tcPr>
          <w:p>
            <w:pPr>
              <w:pStyle w:val="MDPI42tablebody"/>
              <w:jc w:val="left"/>
            </w:pPr>
            <w:r>
              <w:rPr>
                <w:sz w:val="15"/>
              </w:rPr>
              <w:t>Unger, E.W.; Pohlemann, T.; Orth, M.; Rollmann, M.F.R.; Menger, M.M.; Herath, S.C.; Histing, T.; Braun, B.J. “Fall risk scoring” in outpatient gait analysis: Validation of a new fall risk assessment for nursing home residents. Z. Orthop. Unfall. 2024, 162, 474–478.</w:t>
            </w:r>
          </w:p>
        </w:tc>
        <w:tc>
          <w:tcPr>
            <w:tcW w:type="dxa" w:w="5159"/>
            <w:tcW w:w="2300" w:type="dxa"/>
          </w:tcPr>
          <w:p>
            <w:pPr>
              <w:pStyle w:val="MDPI42tablebody"/>
              <w:jc w:val="left"/>
            </w:pPr>
            <w:r>
              <w:rPr>
                <w:sz w:val="15"/>
              </w:rPr>
              <w:t>10.1055/a-2151-4709</w:t>
            </w:r>
          </w:p>
        </w:tc>
        <w:tc>
          <w:tcPr>
            <w:tcW w:type="dxa" w:w="5159"/>
            <w:tcW w:w="5800" w:type="dxa"/>
          </w:tcPr>
          <w:p>
            <w:pPr>
              <w:pStyle w:val="MDPI42tablebody"/>
              <w:jc w:val="left"/>
            </w:pPr>
            <w:r>
              <w:rPr>
                <w:sz w:val="15"/>
              </w:rPr>
              <w:t>The 12-month fall classification combined falls occurring before and after the gait assessment; valid temporal separation was not established.</w:t>
            </w:r>
          </w:p>
        </w:tc>
      </w:tr>
      <w:tr>
        <w:tc>
          <w:tcPr>
            <w:tcW w:type="dxa" w:w="5159"/>
            <w:tcW w:w="6800" w:type="dxa"/>
          </w:tcPr>
          <w:p>
            <w:pPr>
              <w:pStyle w:val="MDPI42tablebody"/>
              <w:jc w:val="left"/>
            </w:pPr>
            <w:r>
              <w:rPr>
                <w:sz w:val="15"/>
              </w:rPr>
              <w:t>Kikkert, L.H.J.; de Groot, M.H.; van Campen, J.P.; Beijnen, J.H.; Hortobágyi, T.; Vuillerme, N.; Lamoth, C.C.J. Gait dynamics to optimize fall risk assessment in geriatric patients admitted to an outpatient diagnostic clinic. PLoS ONE 2017, 12, e0178615.</w:t>
            </w:r>
          </w:p>
        </w:tc>
        <w:tc>
          <w:tcPr>
            <w:tcW w:type="dxa" w:w="5159"/>
            <w:tcW w:w="2300" w:type="dxa"/>
          </w:tcPr>
          <w:p>
            <w:pPr>
              <w:pStyle w:val="MDPI42tablebody"/>
              <w:jc w:val="left"/>
            </w:pPr>
            <w:r>
              <w:rPr>
                <w:sz w:val="15"/>
              </w:rPr>
              <w:t>10.1371/journal.pone.0178615</w:t>
            </w:r>
          </w:p>
        </w:tc>
        <w:tc>
          <w:tcPr>
            <w:tcW w:type="dxa" w:w="5159"/>
            <w:tcW w:w="5800" w:type="dxa"/>
          </w:tcPr>
          <w:p>
            <w:pPr>
              <w:pStyle w:val="MDPI42tablebody"/>
              <w:jc w:val="left"/>
            </w:pPr>
            <w:r>
              <w:rPr>
                <w:sz w:val="15"/>
              </w:rPr>
              <w:t>Faller status combined retrospective and prospective falls, and the authors characterized the analysis as essentially cross-sectional.</w:t>
            </w:r>
          </w:p>
        </w:tc>
      </w:tr>
      <w:tr>
        <w:tc>
          <w:tcPr>
            <w:tcW w:type="dxa" w:w="5159"/>
            <w:tcW w:w="6800" w:type="dxa"/>
          </w:tcPr>
          <w:p>
            <w:pPr>
              <w:pStyle w:val="MDPI42tablebody"/>
              <w:jc w:val="left"/>
            </w:pPr>
            <w:r>
              <w:rPr>
                <w:sz w:val="15"/>
              </w:rPr>
              <w:t>Gietzelt, M.; Feldwieser, F.; Gövercin, M.; Steinhagen-Thiessen, E.; Marschollek, M. A prospective field study for sensor-based identification of fall risk in older people with dementia. Inform. Health Soc. Care 2014, 39, 249–261.</w:t>
            </w:r>
          </w:p>
        </w:tc>
        <w:tc>
          <w:tcPr>
            <w:tcW w:type="dxa" w:w="5159"/>
            <w:tcW w:w="2300" w:type="dxa"/>
          </w:tcPr>
          <w:p>
            <w:pPr>
              <w:pStyle w:val="MDPI42tablebody"/>
              <w:jc w:val="left"/>
            </w:pPr>
            <w:r>
              <w:rPr>
                <w:sz w:val="15"/>
              </w:rPr>
              <w:t>10.3109/17538157.2014.931851</w:t>
            </w:r>
          </w:p>
        </w:tc>
        <w:tc>
          <w:tcPr>
            <w:tcW w:type="dxa" w:w="5159"/>
            <w:tcW w:w="5800" w:type="dxa"/>
          </w:tcPr>
          <w:p>
            <w:pPr>
              <w:pStyle w:val="MDPI42tablebody"/>
              <w:jc w:val="left"/>
            </w:pPr>
            <w:r>
              <w:rPr>
                <w:sz w:val="15"/>
              </w:rPr>
              <w:t>Classification performance was calculated for gait episodes rather than individualized participant-level predictions of subsequent falls.</w:t>
            </w:r>
          </w:p>
        </w:tc>
      </w:tr>
      <w:tr>
        <w:tc>
          <w:tcPr>
            <w:tcW w:type="dxa" w:w="5159"/>
            <w:tcW w:w="6800" w:type="dxa"/>
          </w:tcPr>
          <w:p>
            <w:pPr>
              <w:pStyle w:val="MDPI42tablebody"/>
              <w:jc w:val="left"/>
            </w:pPr>
            <w:r>
              <w:rPr>
                <w:sz w:val="15"/>
              </w:rPr>
              <w:t>Schniepp, R.; Huppert, A.; Decker, J.; Schenkel, F.; Schlick, C.; Rasoul, A.; Dieterich, M.; Brandt, T.; Jahn, K.; Wuehr, M. Fall prediction in neurological gait disorders: Differential contributions from clinical assessment, gait analysis, and daily-life mobility monitoring. J. Neurol. 2021, 268, 3421–3434.</w:t>
            </w:r>
          </w:p>
        </w:tc>
        <w:tc>
          <w:tcPr>
            <w:tcW w:type="dxa" w:w="5159"/>
            <w:tcW w:w="2300" w:type="dxa"/>
          </w:tcPr>
          <w:p>
            <w:pPr>
              <w:pStyle w:val="MDPI42tablebody"/>
              <w:jc w:val="left"/>
            </w:pPr>
            <w:r>
              <w:rPr>
                <w:sz w:val="15"/>
              </w:rPr>
              <w:t>10.1007/s00415-021-10504-x</w:t>
            </w:r>
          </w:p>
        </w:tc>
        <w:tc>
          <w:tcPr>
            <w:tcW w:type="dxa" w:w="5159"/>
            <w:tcW w:w="5800" w:type="dxa"/>
          </w:tcPr>
          <w:p>
            <w:pPr>
              <w:pStyle w:val="MDPI42tablebody"/>
              <w:jc w:val="left"/>
            </w:pPr>
            <w:r>
              <w:rPr>
                <w:sz w:val="15"/>
              </w:rPr>
              <w:t>The pooled neurological cohort was predominantly working-age, and model performance was not separately extractable for a subgroup meeting the review's defined older-adult age criterion.</w:t>
            </w:r>
          </w:p>
        </w:tc>
      </w:tr>
    </w:tbl>
    <w:p>
      <w:pPr>
        <w:pStyle w:val="MDPI22heading2"/>
      </w:pPr>
      <w:r>
        <w:rPr/>
        <w:t>Table S4. Cohort-overlap map</w:t>
      </w:r>
    </w:p>
    <w:tbl>
      <w:tblPr>
        <w:tblStyle w:val="MDPI41threelinetable"/>
        <w:tblW w:type="auto" w:w="0"/>
        <w:tblLook w:firstColumn="1" w:firstRow="1" w:lastColumn="0" w:lastRow="0" w:noHBand="0" w:noVBand="1" w:val="04A0"/>
        <w:tblLayout w:type="fixed"/>
      </w:tblPr>
      <w:tblGrid>
        <w:gridCol w:w="2600"/>
        <w:gridCol w:w="4200"/>
        <w:gridCol w:w="5000"/>
        <w:gridCol w:w="3100"/>
      </w:tblGrid>
      <w:tr>
        <w:trPr>
          <w:tblHeader/>
        </w:trPr>
        <w:tc>
          <w:tcPr>
            <w:tcW w:type="dxa" w:w="3869"/>
            <w:tcW w:w="2600" w:type="dxa"/>
          </w:tcPr>
          <w:p>
            <w:pPr>
              <w:pStyle w:val="MDPI42tablebody"/>
              <w:jc w:val="left"/>
            </w:pPr>
            <w:r>
              <w:rPr>
                <w:b/>
                <w:sz w:val="16"/>
              </w:rPr>
              <w:t>Cohort family</w:t>
            </w:r>
          </w:p>
        </w:tc>
        <w:tc>
          <w:tcPr>
            <w:tcW w:type="dxa" w:w="3869"/>
            <w:tcW w:w="4200" w:type="dxa"/>
          </w:tcPr>
          <w:p>
            <w:pPr>
              <w:pStyle w:val="MDPI42tablebody"/>
              <w:jc w:val="left"/>
            </w:pPr>
            <w:r>
              <w:rPr>
                <w:b/>
                <w:sz w:val="16"/>
              </w:rPr>
              <w:t>Linked reports</w:t>
            </w:r>
          </w:p>
        </w:tc>
        <w:tc>
          <w:tcPr>
            <w:tcW w:type="dxa" w:w="3869"/>
            <w:tcW w:w="5000" w:type="dxa"/>
          </w:tcPr>
          <w:p>
            <w:pPr>
              <w:pStyle w:val="MDPI42tablebody"/>
              <w:jc w:val="left"/>
            </w:pPr>
            <w:r>
              <w:rPr>
                <w:b/>
                <w:sz w:val="16"/>
              </w:rPr>
              <w:t>Basis for linkage</w:t>
            </w:r>
          </w:p>
        </w:tc>
        <w:tc>
          <w:tcPr>
            <w:tcW w:type="dxa" w:w="3869"/>
            <w:tcW w:w="3100" w:type="dxa"/>
          </w:tcPr>
          <w:p>
            <w:pPr>
              <w:pStyle w:val="MDPI42tablebody"/>
              <w:jc w:val="left"/>
            </w:pPr>
            <w:r>
              <w:rPr>
                <w:b/>
                <w:sz w:val="16"/>
              </w:rPr>
              <w:t>Synthesis handling</w:t>
            </w:r>
          </w:p>
        </w:tc>
      </w:tr>
      <w:tr>
        <w:tc>
          <w:tcPr>
            <w:tcW w:type="dxa" w:w="3869"/>
            <w:tcW w:w="2600" w:type="dxa"/>
          </w:tcPr>
          <w:p>
            <w:pPr>
              <w:pStyle w:val="MDPI42tablebody"/>
              <w:jc w:val="left"/>
            </w:pPr>
            <w:r>
              <w:rPr>
                <w:sz w:val="16"/>
              </w:rPr>
              <w:t>FARAO</w:t>
            </w:r>
          </w:p>
        </w:tc>
        <w:tc>
          <w:tcPr>
            <w:tcW w:type="dxa" w:w="3869"/>
            <w:tcW w:w="4200" w:type="dxa"/>
          </w:tcPr>
          <w:p>
            <w:pPr>
              <w:pStyle w:val="MDPI42tablebody"/>
              <w:jc w:val="left"/>
            </w:pPr>
            <w:r>
              <w:rPr>
                <w:sz w:val="16"/>
              </w:rPr>
              <w:t>van Schooten 2015 [25]; van Schooten 2016 [26]; Nait Aicha 2018 [31]; Ihlen 2018 [30]</w:t>
            </w:r>
          </w:p>
        </w:tc>
        <w:tc>
          <w:tcPr>
            <w:tcW w:type="dxa" w:w="3869"/>
            <w:tcW w:w="5000" w:type="dxa"/>
          </w:tcPr>
          <w:p>
            <w:pPr>
              <w:pStyle w:val="MDPI42tablebody"/>
              <w:jc w:val="left"/>
            </w:pPr>
            <w:r>
              <w:rPr>
                <w:sz w:val="16"/>
              </w:rPr>
              <w:t>Daily-life trunk accelerometry; related/overlapping older-adult samples</w:t>
            </w:r>
          </w:p>
        </w:tc>
        <w:tc>
          <w:tcPr>
            <w:tcW w:type="dxa" w:w="3869"/>
            <w:tcW w:w="3100" w:type="dxa"/>
          </w:tcPr>
          <w:p>
            <w:pPr>
              <w:pStyle w:val="MDPI42tablebody"/>
              <w:jc w:val="left"/>
            </w:pPr>
            <w:r>
              <w:rPr>
                <w:sz w:val="16"/>
              </w:rPr>
              <w:t>One cohort family</w:t>
            </w:r>
          </w:p>
        </w:tc>
      </w:tr>
      <w:tr>
        <w:tc>
          <w:tcPr>
            <w:tcW w:type="dxa" w:w="3869"/>
            <w:tcW w:w="2600" w:type="dxa"/>
          </w:tcPr>
          <w:p>
            <w:pPr>
              <w:pStyle w:val="MDPI42tablebody"/>
              <w:jc w:val="left"/>
            </w:pPr>
            <w:r>
              <w:rPr>
                <w:sz w:val="16"/>
              </w:rPr>
              <w:t>Howcroft programme</w:t>
            </w:r>
          </w:p>
        </w:tc>
        <w:tc>
          <w:tcPr>
            <w:tcW w:type="dxa" w:w="3869"/>
            <w:tcW w:w="4200" w:type="dxa"/>
          </w:tcPr>
          <w:p>
            <w:pPr>
              <w:pStyle w:val="MDPI42tablebody"/>
              <w:jc w:val="left"/>
            </w:pPr>
            <w:r>
              <w:rPr>
                <w:sz w:val="16"/>
              </w:rPr>
              <w:t>Howcroft 2017 [27]; Drover 2017 [28]; Howcroft 2018 [32]</w:t>
            </w:r>
          </w:p>
        </w:tc>
        <w:tc>
          <w:tcPr>
            <w:tcW w:type="dxa" w:w="3869"/>
            <w:tcW w:w="5000" w:type="dxa"/>
          </w:tcPr>
          <w:p>
            <w:pPr>
              <w:pStyle w:val="MDPI42tablebody"/>
              <w:jc w:val="left"/>
            </w:pPr>
            <w:r>
              <w:rPr>
                <w:sz w:val="16"/>
              </w:rPr>
              <w:t>Same research programme, closely aligned recruitment characteristics and six-month follow-up; exact participant overlap with Drover could not be resolved</w:t>
            </w:r>
          </w:p>
        </w:tc>
        <w:tc>
          <w:tcPr>
            <w:tcW w:type="dxa" w:w="3869"/>
            <w:tcW w:w="3100" w:type="dxa"/>
          </w:tcPr>
          <w:p>
            <w:pPr>
              <w:pStyle w:val="MDPI42tablebody"/>
              <w:jc w:val="left"/>
            </w:pPr>
            <w:r>
              <w:rPr>
                <w:sz w:val="16"/>
              </w:rPr>
              <w:t>Primary analysis: one cohort family; sensitivity count treating Drover as distinct: 38 families</w:t>
            </w:r>
          </w:p>
        </w:tc>
      </w:tr>
      <w:tr>
        <w:tc>
          <w:tcPr>
            <w:tcW w:type="dxa" w:w="3869"/>
            <w:tcW w:w="2600" w:type="dxa"/>
          </w:tcPr>
          <w:p>
            <w:pPr>
              <w:pStyle w:val="MDPI42tablebody"/>
              <w:jc w:val="left"/>
            </w:pPr>
            <w:r>
              <w:rPr>
                <w:sz w:val="16"/>
              </w:rPr>
              <w:t>Marschollek geriatric inpatient</w:t>
            </w:r>
          </w:p>
        </w:tc>
        <w:tc>
          <w:tcPr>
            <w:tcW w:type="dxa" w:w="3869"/>
            <w:tcW w:w="4200" w:type="dxa"/>
          </w:tcPr>
          <w:p>
            <w:pPr>
              <w:pStyle w:val="MDPI42tablebody"/>
              <w:jc w:val="left"/>
            </w:pPr>
            <w:r>
              <w:rPr>
                <w:sz w:val="16"/>
              </w:rPr>
              <w:t>Marschollek 2011 [17,18]</w:t>
            </w:r>
          </w:p>
        </w:tc>
        <w:tc>
          <w:tcPr>
            <w:tcW w:type="dxa" w:w="3869"/>
            <w:tcW w:w="5000" w:type="dxa"/>
          </w:tcPr>
          <w:p>
            <w:pPr>
              <w:pStyle w:val="MDPI42tablebody"/>
              <w:jc w:val="left"/>
            </w:pPr>
            <w:r>
              <w:rPr>
                <w:sz w:val="16"/>
              </w:rPr>
              <w:t>Same recruitment/follow-up; alternative model comparisons</w:t>
            </w:r>
          </w:p>
        </w:tc>
        <w:tc>
          <w:tcPr>
            <w:tcW w:type="dxa" w:w="3869"/>
            <w:tcW w:w="3100" w:type="dxa"/>
          </w:tcPr>
          <w:p>
            <w:pPr>
              <w:pStyle w:val="MDPI42tablebody"/>
              <w:jc w:val="left"/>
            </w:pPr>
            <w:r>
              <w:rPr>
                <w:sz w:val="16"/>
              </w:rPr>
              <w:t>One cohort family</w:t>
            </w:r>
          </w:p>
        </w:tc>
      </w:tr>
      <w:tr>
        <w:tc>
          <w:tcPr>
            <w:tcW w:type="dxa" w:w="3869"/>
            <w:tcW w:w="2600" w:type="dxa"/>
          </w:tcPr>
          <w:p>
            <w:pPr>
              <w:pStyle w:val="MDPI42tablebody"/>
              <w:jc w:val="left"/>
            </w:pPr>
            <w:r>
              <w:rPr>
                <w:sz w:val="16"/>
              </w:rPr>
              <w:t>Toronto dementia ambient gait</w:t>
            </w:r>
          </w:p>
        </w:tc>
        <w:tc>
          <w:tcPr>
            <w:tcW w:type="dxa" w:w="3869"/>
            <w:tcW w:w="4200" w:type="dxa"/>
          </w:tcPr>
          <w:p>
            <w:pPr>
              <w:pStyle w:val="MDPI42tablebody"/>
              <w:jc w:val="left"/>
            </w:pPr>
            <w:r>
              <w:rPr>
                <w:sz w:val="16"/>
              </w:rPr>
              <w:t>Mehdizadeh 2021 [42]; Adeli 2023 [54]</w:t>
            </w:r>
          </w:p>
        </w:tc>
        <w:tc>
          <w:tcPr>
            <w:tcW w:type="dxa" w:w="3869"/>
            <w:tcW w:w="5000" w:type="dxa"/>
          </w:tcPr>
          <w:p>
            <w:pPr>
              <w:pStyle w:val="MDPI42tablebody"/>
              <w:jc w:val="left"/>
            </w:pPr>
            <w:r>
              <w:rPr>
                <w:sz w:val="16"/>
              </w:rPr>
              <w:t>Same ambient-vision program with overlapping participants</w:t>
            </w:r>
          </w:p>
        </w:tc>
        <w:tc>
          <w:tcPr>
            <w:tcW w:type="dxa" w:w="3869"/>
            <w:tcW w:w="3100" w:type="dxa"/>
          </w:tcPr>
          <w:p>
            <w:pPr>
              <w:pStyle w:val="MDPI42tablebody"/>
              <w:jc w:val="left"/>
            </w:pPr>
            <w:r>
              <w:rPr>
                <w:sz w:val="16"/>
              </w:rPr>
              <w:t>One cohort family</w:t>
            </w:r>
          </w:p>
        </w:tc>
      </w:tr>
      <w:tr>
        <w:tc>
          <w:tcPr>
            <w:tcW w:type="dxa" w:w="3869"/>
            <w:tcW w:w="2600" w:type="dxa"/>
          </w:tcPr>
          <w:p>
            <w:pPr>
              <w:pStyle w:val="MDPI42tablebody"/>
              <w:jc w:val="left"/>
            </w:pPr>
            <w:r>
              <w:rPr>
                <w:sz w:val="16"/>
              </w:rPr>
              <w:t>Instrumented footwear-95</w:t>
            </w:r>
          </w:p>
        </w:tc>
        <w:tc>
          <w:tcPr>
            <w:tcW w:type="dxa" w:w="3869"/>
            <w:tcW w:w="4200" w:type="dxa"/>
          </w:tcPr>
          <w:p>
            <w:pPr>
              <w:pStyle w:val="MDPI42tablebody"/>
              <w:jc w:val="left"/>
            </w:pPr>
            <w:r>
              <w:rPr>
                <w:sz w:val="16"/>
              </w:rPr>
              <w:t>Zhang 2024 [57]; Guan 2025 [62]</w:t>
            </w:r>
          </w:p>
        </w:tc>
        <w:tc>
          <w:tcPr>
            <w:tcW w:type="dxa" w:w="3869"/>
            <w:tcW w:w="5000" w:type="dxa"/>
          </w:tcPr>
          <w:p>
            <w:pPr>
              <w:pStyle w:val="MDPI42tablebody"/>
              <w:jc w:val="left"/>
            </w:pPr>
            <w:r>
              <w:rPr>
                <w:sz w:val="16"/>
              </w:rPr>
              <w:t>Same n=95 cohort; revised gait-estimation algorithm</w:t>
            </w:r>
          </w:p>
        </w:tc>
        <w:tc>
          <w:tcPr>
            <w:tcW w:type="dxa" w:w="3869"/>
            <w:tcW w:w="3100" w:type="dxa"/>
          </w:tcPr>
          <w:p>
            <w:pPr>
              <w:pStyle w:val="MDPI42tablebody"/>
              <w:jc w:val="left"/>
            </w:pPr>
            <w:r>
              <w:rPr>
                <w:sz w:val="16"/>
              </w:rPr>
              <w:t>One cohort family</w:t>
            </w:r>
          </w:p>
        </w:tc>
      </w:tr>
      <w:tr>
        <w:tc>
          <w:tcPr>
            <w:tcW w:type="dxa" w:w="3869"/>
            <w:tcW w:w="2600" w:type="dxa"/>
          </w:tcPr>
          <w:p>
            <w:pPr>
              <w:pStyle w:val="MDPI42tablebody"/>
              <w:jc w:val="left"/>
            </w:pPr>
            <w:r>
              <w:rPr>
                <w:sz w:val="16"/>
              </w:rPr>
              <w:t>Nursing-home IMU-73</w:t>
            </w:r>
          </w:p>
        </w:tc>
        <w:tc>
          <w:tcPr>
            <w:tcW w:type="dxa" w:w="3869"/>
            <w:tcW w:w="4200" w:type="dxa"/>
          </w:tcPr>
          <w:p>
            <w:pPr>
              <w:pStyle w:val="MDPI42tablebody"/>
              <w:jc w:val="left"/>
            </w:pPr>
            <w:r>
              <w:rPr>
                <w:sz w:val="16"/>
              </w:rPr>
              <w:t>Buisseret 2020 [38]; Dierick 2022 [47]</w:t>
            </w:r>
          </w:p>
        </w:tc>
        <w:tc>
          <w:tcPr>
            <w:tcW w:type="dxa" w:w="3869"/>
            <w:tcW w:w="5000" w:type="dxa"/>
          </w:tcPr>
          <w:p>
            <w:pPr>
              <w:pStyle w:val="MDPI42tablebody"/>
              <w:jc w:val="left"/>
            </w:pPr>
            <w:r>
              <w:rPr>
                <w:sz w:val="16"/>
              </w:rPr>
              <w:t>Same 73-person nursing-home gait/fall cohort; linked reports classified 23/50 and 24/49 fallers/nonfallers, respectively</w:t>
            </w:r>
          </w:p>
        </w:tc>
        <w:tc>
          <w:tcPr>
            <w:tcW w:type="dxa" w:w="3869"/>
            <w:tcW w:w="3100" w:type="dxa"/>
          </w:tcPr>
          <w:p>
            <w:pPr>
              <w:pStyle w:val="MDPI42tablebody"/>
              <w:jc w:val="left"/>
            </w:pPr>
            <w:r>
              <w:rPr>
                <w:sz w:val="16"/>
              </w:rPr>
              <w:t>One cohort family; event distributions retained as reported</w:t>
            </w:r>
          </w:p>
        </w:tc>
      </w:tr>
      <w:tr>
        <w:tc>
          <w:tcPr>
            <w:tcW w:type="dxa" w:w="3869"/>
            <w:tcW w:w="2600" w:type="dxa"/>
          </w:tcPr>
          <w:p>
            <w:pPr>
              <w:pStyle w:val="MDPI42tablebody"/>
              <w:jc w:val="left"/>
            </w:pPr>
            <w:r>
              <w:rPr>
                <w:sz w:val="16"/>
              </w:rPr>
              <w:t>QTUG-PD-15</w:t>
            </w:r>
          </w:p>
        </w:tc>
        <w:tc>
          <w:tcPr>
            <w:tcW w:type="dxa" w:w="3869"/>
            <w:tcW w:w="4200" w:type="dxa"/>
          </w:tcPr>
          <w:p>
            <w:pPr>
              <w:pStyle w:val="MDPI42tablebody"/>
              <w:jc w:val="left"/>
            </w:pPr>
            <w:r>
              <w:rPr>
                <w:sz w:val="16"/>
              </w:rPr>
              <w:t>Greene 2018 [29]; Greene 2022 [45]</w:t>
            </w:r>
          </w:p>
        </w:tc>
        <w:tc>
          <w:tcPr>
            <w:tcW w:type="dxa" w:w="3869"/>
            <w:tcW w:w="5000" w:type="dxa"/>
          </w:tcPr>
          <w:p>
            <w:pPr>
              <w:pStyle w:val="MDPI42tablebody"/>
              <w:jc w:val="left"/>
            </w:pPr>
            <w:r>
              <w:rPr>
                <w:sz w:val="16"/>
              </w:rPr>
              <w:t>Same 15-person Parkinson-disease cohort; the companion report reused the 24-week fall diary and baseline QTUG assessment for fall-count modelling</w:t>
            </w:r>
          </w:p>
        </w:tc>
        <w:tc>
          <w:tcPr>
            <w:tcW w:type="dxa" w:w="3869"/>
            <w:tcW w:w="3100" w:type="dxa"/>
          </w:tcPr>
          <w:p>
            <w:pPr>
              <w:pStyle w:val="MDPI42tablebody"/>
              <w:jc w:val="left"/>
            </w:pPr>
            <w:r>
              <w:rPr>
                <w:sz w:val="16"/>
              </w:rPr>
              <w:t>One cohort family; any-fall and count analyses synthesized separately</w:t>
            </w:r>
          </w:p>
        </w:tc>
      </w:tr>
    </w:tbl>
    <w:p>
      <w:pPr>
        <w:pStyle w:val="MDPI32textnoindent"/>
      </w:pPr>
      <w:r>
        <w:rPr>
          <w:sz w:val="17"/>
        </w:rPr>
        <w:t>Seven multi-report cohort families covered 17 reports, and 30 single-report families contributed one report each. Because participant independence could not be established for Drover 2017, it was grouped with the Howcroft programme in the primary analysis (37 families); treating it as independent (38 families) did not change any conclusion.</w:t>
      </w:r>
    </w:p>
    <w:p>
      <w:pPr>
        <w:pStyle w:val="MDPI22heading2"/>
      </w:pPr>
      <w:r>
        <w:rPr/>
        <w:t>Table S5. PROBAST+AI risk-of-bias judgments by domain</w:t>
      </w:r>
    </w:p>
    <w:tbl>
      <w:tblPr>
        <w:tblStyle w:val="MDPI41threelinetable"/>
        <w:tblW w:type="auto" w:w="0"/>
        <w:tblLook w:firstColumn="1" w:firstRow="1" w:lastColumn="0" w:lastRow="0" w:noHBand="0" w:noVBand="1" w:val="04A0"/>
        <w:tblLayout w:type="fixed"/>
      </w:tblPr>
      <w:tblGrid>
        <w:gridCol w:w="1500"/>
        <w:gridCol w:w="1900"/>
        <w:gridCol w:w="560"/>
        <w:gridCol w:w="560"/>
        <w:gridCol w:w="560"/>
        <w:gridCol w:w="560"/>
        <w:gridCol w:w="620"/>
        <w:gridCol w:w="560"/>
        <w:gridCol w:w="560"/>
        <w:gridCol w:w="560"/>
        <w:gridCol w:w="560"/>
        <w:gridCol w:w="620"/>
        <w:gridCol w:w="5000"/>
      </w:tblGrid>
      <w:tr>
        <w:trPr>
          <w:tblHeader/>
        </w:trPr>
        <w:tc>
          <w:tcPr>
            <w:tcW w:type="dxa" w:w="1191"/>
            <w:tcW w:w="1500" w:type="dxa"/>
          </w:tcPr>
          <w:p>
            <w:pPr>
              <w:pStyle w:val="MDPI42tablebody"/>
              <w:jc w:val="left"/>
            </w:pPr>
            <w:r>
              <w:rPr>
                <w:b/>
                <w:sz w:val="14"/>
              </w:rPr>
              <w:t>Report [ref.]</w:t>
            </w:r>
          </w:p>
        </w:tc>
        <w:tc>
          <w:tcPr>
            <w:tcW w:type="dxa" w:w="1191"/>
            <w:tcW w:w="1900" w:type="dxa"/>
          </w:tcPr>
          <w:p>
            <w:pPr>
              <w:pStyle w:val="MDPI42tablebody"/>
              <w:jc w:val="left"/>
            </w:pPr>
            <w:r>
              <w:rPr>
                <w:b/>
                <w:sz w:val="14"/>
              </w:rPr>
              <w:t>DOI</w:t>
            </w:r>
          </w:p>
        </w:tc>
        <w:tc>
          <w:tcPr>
            <w:tcW w:type="dxa" w:w="1191"/>
            <w:tcW w:w="560" w:type="dxa"/>
          </w:tcPr>
          <w:p>
            <w:pPr>
              <w:pStyle w:val="MDPI42tablebody"/>
              <w:jc w:val="left"/>
            </w:pPr>
            <w:r>
              <w:rPr>
                <w:b/>
                <w:sz w:val="14"/>
              </w:rPr>
              <w:t>Dev P/D</w:t>
            </w:r>
          </w:p>
        </w:tc>
        <w:tc>
          <w:tcPr>
            <w:tcW w:type="dxa" w:w="1191"/>
            <w:tcW w:w="560" w:type="dxa"/>
          </w:tcPr>
          <w:p>
            <w:pPr>
              <w:pStyle w:val="MDPI42tablebody"/>
              <w:jc w:val="left"/>
            </w:pPr>
            <w:r>
              <w:rPr>
                <w:b/>
                <w:sz w:val="14"/>
              </w:rPr>
              <w:t>Dev Pred</w:t>
            </w:r>
          </w:p>
        </w:tc>
        <w:tc>
          <w:tcPr>
            <w:tcW w:type="dxa" w:w="1191"/>
            <w:tcW w:w="560" w:type="dxa"/>
          </w:tcPr>
          <w:p>
            <w:pPr>
              <w:pStyle w:val="MDPI42tablebody"/>
              <w:jc w:val="left"/>
            </w:pPr>
            <w:r>
              <w:rPr>
                <w:b/>
                <w:sz w:val="14"/>
              </w:rPr>
              <w:t>Dev Out</w:t>
            </w:r>
          </w:p>
        </w:tc>
        <w:tc>
          <w:tcPr>
            <w:tcW w:type="dxa" w:w="1191"/>
            <w:tcW w:w="560" w:type="dxa"/>
          </w:tcPr>
          <w:p>
            <w:pPr>
              <w:pStyle w:val="MDPI42tablebody"/>
              <w:jc w:val="left"/>
            </w:pPr>
            <w:r>
              <w:rPr>
                <w:b/>
                <w:sz w:val="14"/>
              </w:rPr>
              <w:t>Dev Anal</w:t>
            </w:r>
          </w:p>
        </w:tc>
        <w:tc>
          <w:tcPr>
            <w:tcW w:type="dxa" w:w="1191"/>
            <w:tcW w:w="620" w:type="dxa"/>
          </w:tcPr>
          <w:p>
            <w:pPr>
              <w:pStyle w:val="MDPI42tablebody"/>
              <w:jc w:val="left"/>
            </w:pPr>
            <w:r>
              <w:rPr>
                <w:b/>
                <w:sz w:val="14"/>
              </w:rPr>
              <w:t>Dev Overall</w:t>
            </w:r>
          </w:p>
        </w:tc>
        <w:tc>
          <w:tcPr>
            <w:tcW w:type="dxa" w:w="1191"/>
            <w:tcW w:w="560" w:type="dxa"/>
          </w:tcPr>
          <w:p>
            <w:pPr>
              <w:pStyle w:val="MDPI42tablebody"/>
              <w:jc w:val="left"/>
            </w:pPr>
            <w:r>
              <w:rPr>
                <w:b/>
                <w:sz w:val="14"/>
              </w:rPr>
              <w:t>Eval P/D</w:t>
            </w:r>
          </w:p>
        </w:tc>
        <w:tc>
          <w:tcPr>
            <w:tcW w:type="dxa" w:w="1191"/>
            <w:tcW w:w="560" w:type="dxa"/>
          </w:tcPr>
          <w:p>
            <w:pPr>
              <w:pStyle w:val="MDPI42tablebody"/>
              <w:jc w:val="left"/>
            </w:pPr>
            <w:r>
              <w:rPr>
                <w:b/>
                <w:sz w:val="14"/>
              </w:rPr>
              <w:t>Eval Pred</w:t>
            </w:r>
          </w:p>
        </w:tc>
        <w:tc>
          <w:tcPr>
            <w:tcW w:type="dxa" w:w="1191"/>
            <w:tcW w:w="560" w:type="dxa"/>
          </w:tcPr>
          <w:p>
            <w:pPr>
              <w:pStyle w:val="MDPI42tablebody"/>
              <w:jc w:val="left"/>
            </w:pPr>
            <w:r>
              <w:rPr>
                <w:b/>
                <w:sz w:val="14"/>
              </w:rPr>
              <w:t>Eval Out</w:t>
            </w:r>
          </w:p>
        </w:tc>
        <w:tc>
          <w:tcPr>
            <w:tcW w:type="dxa" w:w="1191"/>
            <w:tcW w:w="560" w:type="dxa"/>
          </w:tcPr>
          <w:p>
            <w:pPr>
              <w:pStyle w:val="MDPI42tablebody"/>
              <w:jc w:val="left"/>
            </w:pPr>
            <w:r>
              <w:rPr>
                <w:b/>
                <w:sz w:val="14"/>
              </w:rPr>
              <w:t>Eval Anal</w:t>
            </w:r>
          </w:p>
        </w:tc>
        <w:tc>
          <w:tcPr>
            <w:tcW w:type="dxa" w:w="1191"/>
            <w:tcW w:w="620" w:type="dxa"/>
          </w:tcPr>
          <w:p>
            <w:pPr>
              <w:pStyle w:val="MDPI42tablebody"/>
              <w:jc w:val="left"/>
            </w:pPr>
            <w:r>
              <w:rPr>
                <w:b/>
                <w:sz w:val="14"/>
              </w:rPr>
              <w:t>Eval Overall</w:t>
            </w:r>
          </w:p>
        </w:tc>
        <w:tc>
          <w:tcPr>
            <w:tcW w:type="dxa" w:w="1191"/>
            <w:tcW w:w="5000" w:type="dxa"/>
          </w:tcPr>
          <w:p>
            <w:pPr>
              <w:pStyle w:val="MDPI42tablebody"/>
              <w:jc w:val="left"/>
            </w:pPr>
            <w:r>
              <w:rPr>
                <w:b/>
                <w:sz w:val="14"/>
              </w:rPr>
              <w:t>Rationale</w:t>
            </w:r>
          </w:p>
        </w:tc>
      </w:tr>
      <w:tr>
        <w:tc>
          <w:tcPr>
            <w:tcW w:type="dxa" w:w="1191"/>
            <w:tcW w:w="1500" w:type="dxa"/>
          </w:tcPr>
          <w:p>
            <w:pPr>
              <w:pStyle w:val="MDPI42tablebody"/>
              <w:jc w:val="left"/>
            </w:pPr>
            <w:r>
              <w:rPr>
                <w:sz w:val="14"/>
              </w:rPr>
              <w:t>Marschollek et al. (2011) [17]</w:t>
            </w:r>
          </w:p>
        </w:tc>
        <w:tc>
          <w:tcPr>
            <w:tcW w:type="dxa" w:w="1191"/>
            <w:tcW w:w="1900" w:type="dxa"/>
          </w:tcPr>
          <w:p>
            <w:pPr>
              <w:pStyle w:val="MDPI42tablebody"/>
              <w:jc w:val="left"/>
            </w:pPr>
            <w:r>
              <w:rPr>
                <w:sz w:val="14"/>
              </w:rPr>
              <w:t>10.3414/ME10-01-0040</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abstract and accessible primary material.</w:t>
            </w:r>
          </w:p>
        </w:tc>
      </w:tr>
      <w:tr>
        <w:tc>
          <w:tcPr>
            <w:tcW w:type="dxa" w:w="1191"/>
            <w:tcW w:w="1500" w:type="dxa"/>
          </w:tcPr>
          <w:p>
            <w:pPr>
              <w:pStyle w:val="MDPI42tablebody"/>
              <w:jc w:val="left"/>
            </w:pPr>
            <w:r>
              <w:rPr>
                <w:sz w:val="14"/>
              </w:rPr>
              <w:t>Marschollek et al. (2011) [18]</w:t>
            </w:r>
          </w:p>
        </w:tc>
        <w:tc>
          <w:tcPr>
            <w:tcW w:type="dxa" w:w="1191"/>
            <w:tcW w:w="1900" w:type="dxa"/>
          </w:tcPr>
          <w:p>
            <w:pPr>
              <w:pStyle w:val="MDPI42tablebody"/>
              <w:jc w:val="left"/>
            </w:pPr>
            <w:r>
              <w:rPr>
                <w:sz w:val="14"/>
              </w:rPr>
              <w:t>10.1186/1472-6947-11-48</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Greene et al. (2012) [19]</w:t>
            </w:r>
          </w:p>
        </w:tc>
        <w:tc>
          <w:tcPr>
            <w:tcW w:type="dxa" w:w="1191"/>
            <w:tcW w:w="1900" w:type="dxa"/>
          </w:tcPr>
          <w:p>
            <w:pPr>
              <w:pStyle w:val="MDPI42tablebody"/>
              <w:jc w:val="left"/>
            </w:pPr>
            <w:r>
              <w:rPr>
                <w:sz w:val="14"/>
              </w:rPr>
              <w:t>10.1159/000337259</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Long recall-based outcome ascertainment and flexible same-cohort modelling create high concern. Evaluation: Internal cross-validation cannot establish transportability; outcome recall and analysis remain high risk. Source: abstract and accessible primary material.</w:t>
            </w:r>
          </w:p>
        </w:tc>
      </w:tr>
      <w:tr>
        <w:tc>
          <w:tcPr>
            <w:tcW w:type="dxa" w:w="1191"/>
            <w:tcW w:w="1500" w:type="dxa"/>
          </w:tcPr>
          <w:p>
            <w:pPr>
              <w:pStyle w:val="MDPI42tablebody"/>
              <w:jc w:val="left"/>
            </w:pPr>
            <w:r>
              <w:rPr>
                <w:sz w:val="14"/>
              </w:rPr>
              <w:t>Weiss et al. (2013) [20]</w:t>
            </w:r>
          </w:p>
        </w:tc>
        <w:tc>
          <w:tcPr>
            <w:tcW w:type="dxa" w:w="1191"/>
            <w:tcW w:w="1900" w:type="dxa"/>
          </w:tcPr>
          <w:p>
            <w:pPr>
              <w:pStyle w:val="MDPI42tablebody"/>
              <w:jc w:val="left"/>
            </w:pPr>
            <w:r>
              <w:rPr>
                <w:sz w:val="14"/>
              </w:rPr>
              <w:t>10.1177/1545968313491004</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Schwesig et al. (2013) [21]</w:t>
            </w:r>
          </w:p>
        </w:tc>
        <w:tc>
          <w:tcPr>
            <w:tcW w:type="dxa" w:w="1191"/>
            <w:tcW w:w="1900" w:type="dxa"/>
          </w:tcPr>
          <w:p>
            <w:pPr>
              <w:pStyle w:val="MDPI42tablebody"/>
              <w:jc w:val="left"/>
            </w:pPr>
            <w:r>
              <w:rPr>
                <w:sz w:val="14"/>
              </w:rPr>
              <w:t>10.1177/0269215512452880</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The report evaluated prior parameters and developed a new bifactorial rule in the same small cohort; development details were incompletely reported and analysis was at high risk of optimism. Evaluation: The fixed model was evaluated prospectively, but the target sample/event count was too small for precise performance and calibration was not assessed. Source: abstract and accessible primary material.</w:t>
            </w:r>
          </w:p>
        </w:tc>
      </w:tr>
      <w:tr>
        <w:tc>
          <w:tcPr>
            <w:tcW w:type="dxa" w:w="1191"/>
            <w:tcW w:w="1500" w:type="dxa"/>
          </w:tcPr>
          <w:p>
            <w:pPr>
              <w:pStyle w:val="MDPI42tablebody"/>
              <w:jc w:val="left"/>
            </w:pPr>
            <w:r>
              <w:rPr>
                <w:sz w:val="14"/>
              </w:rPr>
              <w:t>Doi et al. (2013) [22]</w:t>
            </w:r>
          </w:p>
        </w:tc>
        <w:tc>
          <w:tcPr>
            <w:tcW w:type="dxa" w:w="1191"/>
            <w:tcW w:w="1900" w:type="dxa"/>
          </w:tcPr>
          <w:p>
            <w:pPr>
              <w:pStyle w:val="MDPI42tablebody"/>
              <w:jc w:val="left"/>
            </w:pPr>
            <w:r>
              <w:rPr>
                <w:sz w:val="14"/>
              </w:rPr>
              <w:t>10.1186/1743-0003-10-7</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was estimated in the model-development data without adequate optimism correction or calibration assessment. Source: full text.</w:t>
            </w:r>
          </w:p>
        </w:tc>
      </w:tr>
      <w:tr>
        <w:tc>
          <w:tcPr>
            <w:tcW w:type="dxa" w:w="1191"/>
            <w:tcW w:w="1500" w:type="dxa"/>
          </w:tcPr>
          <w:p>
            <w:pPr>
              <w:pStyle w:val="MDPI42tablebody"/>
              <w:jc w:val="left"/>
            </w:pPr>
            <w:r>
              <w:rPr>
                <w:sz w:val="14"/>
              </w:rPr>
              <w:t>Mignardot et al. (2014) [23]</w:t>
            </w:r>
          </w:p>
        </w:tc>
        <w:tc>
          <w:tcPr>
            <w:tcW w:type="dxa" w:w="1191"/>
            <w:tcW w:w="1900" w:type="dxa"/>
          </w:tcPr>
          <w:p>
            <w:pPr>
              <w:pStyle w:val="MDPI42tablebody"/>
              <w:jc w:val="left"/>
            </w:pPr>
            <w:r>
              <w:rPr>
                <w:sz w:val="14"/>
              </w:rPr>
              <w:t>10.3389/fnagi.2014.00022</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was estimated in the model-development data without adequate optimism correction or calibration assessment. Source: full text.</w:t>
            </w:r>
          </w:p>
        </w:tc>
      </w:tr>
      <w:tr>
        <w:tc>
          <w:tcPr>
            <w:tcW w:type="dxa" w:w="1191"/>
            <w:tcW w:w="1500" w:type="dxa"/>
          </w:tcPr>
          <w:p>
            <w:pPr>
              <w:pStyle w:val="MDPI42tablebody"/>
              <w:jc w:val="left"/>
            </w:pPr>
            <w:r>
              <w:rPr>
                <w:sz w:val="14"/>
              </w:rPr>
              <w:t>Schwenk et al. (2014) [24]</w:t>
            </w:r>
          </w:p>
        </w:tc>
        <w:tc>
          <w:tcPr>
            <w:tcW w:type="dxa" w:w="1191"/>
            <w:tcW w:w="1900" w:type="dxa"/>
          </w:tcPr>
          <w:p>
            <w:pPr>
              <w:pStyle w:val="MDPI42tablebody"/>
              <w:jc w:val="left"/>
            </w:pPr>
            <w:r>
              <w:rPr>
                <w:sz w:val="14"/>
              </w:rPr>
              <w:t>10.1159/000363136</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was estimated in the model-development data without adequate optimism correction or calibration assessment. Source: full text.</w:t>
            </w:r>
          </w:p>
        </w:tc>
      </w:tr>
      <w:tr>
        <w:tc>
          <w:tcPr>
            <w:tcW w:type="dxa" w:w="1191"/>
            <w:tcW w:w="1500" w:type="dxa"/>
          </w:tcPr>
          <w:p>
            <w:pPr>
              <w:pStyle w:val="MDPI42tablebody"/>
              <w:jc w:val="left"/>
            </w:pPr>
            <w:r>
              <w:rPr>
                <w:sz w:val="14"/>
              </w:rPr>
              <w:t>van Schooten et al. (2015) [25]</w:t>
            </w:r>
          </w:p>
        </w:tc>
        <w:tc>
          <w:tcPr>
            <w:tcW w:type="dxa" w:w="1191"/>
            <w:tcW w:w="1900" w:type="dxa"/>
          </w:tcPr>
          <w:p>
            <w:pPr>
              <w:pStyle w:val="MDPI42tablebody"/>
              <w:jc w:val="left"/>
            </w:pPr>
            <w:r>
              <w:rPr>
                <w:sz w:val="14"/>
              </w:rPr>
              <w:t>10.1093/gerona/glu225</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was estimated in the model-development data without adequate optimism correction or calibration assessment. Source: full text.</w:t>
            </w:r>
          </w:p>
        </w:tc>
      </w:tr>
      <w:tr>
        <w:tc>
          <w:tcPr>
            <w:tcW w:type="dxa" w:w="1191"/>
            <w:tcW w:w="1500" w:type="dxa"/>
          </w:tcPr>
          <w:p>
            <w:pPr>
              <w:pStyle w:val="MDPI42tablebody"/>
              <w:jc w:val="left"/>
            </w:pPr>
            <w:r>
              <w:rPr>
                <w:sz w:val="14"/>
              </w:rPr>
              <w:t>van Schooten et al. (2016) [26]</w:t>
            </w:r>
          </w:p>
        </w:tc>
        <w:tc>
          <w:tcPr>
            <w:tcW w:type="dxa" w:w="1191"/>
            <w:tcW w:w="1900" w:type="dxa"/>
          </w:tcPr>
          <w:p>
            <w:pPr>
              <w:pStyle w:val="MDPI42tablebody"/>
              <w:jc w:val="left"/>
            </w:pPr>
            <w:r>
              <w:rPr>
                <w:sz w:val="14"/>
              </w:rPr>
              <w:t>10.1371/journal.pone.0158623</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Drover et al. (2017) [28]</w:t>
            </w:r>
          </w:p>
        </w:tc>
        <w:tc>
          <w:tcPr>
            <w:tcW w:type="dxa" w:w="1191"/>
            <w:tcW w:w="1900" w:type="dxa"/>
          </w:tcPr>
          <w:p>
            <w:pPr>
              <w:pStyle w:val="MDPI42tablebody"/>
              <w:jc w:val="left"/>
            </w:pPr>
            <w:r>
              <w:rPr>
                <w:sz w:val="14"/>
              </w:rPr>
              <w:t>10.3390/s17061321</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Howcroft et al. (2017) [27]</w:t>
            </w:r>
          </w:p>
        </w:tc>
        <w:tc>
          <w:tcPr>
            <w:tcW w:type="dxa" w:w="1191"/>
            <w:tcW w:w="1900" w:type="dxa"/>
          </w:tcPr>
          <w:p>
            <w:pPr>
              <w:pStyle w:val="MDPI42tablebody"/>
              <w:jc w:val="left"/>
            </w:pPr>
            <w:r>
              <w:rPr>
                <w:sz w:val="14"/>
              </w:rPr>
              <w:t>10.1109/TNSRE.2017.2687100</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abstract and accessible primary material.</w:t>
            </w:r>
          </w:p>
        </w:tc>
      </w:tr>
      <w:tr>
        <w:tc>
          <w:tcPr>
            <w:tcW w:type="dxa" w:w="1191"/>
            <w:tcW w:w="1500" w:type="dxa"/>
          </w:tcPr>
          <w:p>
            <w:pPr>
              <w:pStyle w:val="MDPI42tablebody"/>
              <w:jc w:val="left"/>
            </w:pPr>
            <w:r>
              <w:rPr>
                <w:sz w:val="14"/>
              </w:rPr>
              <w:t>Greene et al. (2018) [29]</w:t>
            </w:r>
          </w:p>
        </w:tc>
        <w:tc>
          <w:tcPr>
            <w:tcW w:type="dxa" w:w="1191"/>
            <w:tcW w:w="1900" w:type="dxa"/>
          </w:tcPr>
          <w:p>
            <w:pPr>
              <w:pStyle w:val="MDPI42tablebody"/>
              <w:jc w:val="left"/>
            </w:pPr>
            <w:r>
              <w:rPr>
                <w:sz w:val="14"/>
              </w:rPr>
              <w:t>10.1177/2055668317750811</w:t>
            </w:r>
          </w:p>
        </w:tc>
        <w:tc>
          <w:tcPr>
            <w:tcW w:type="dxa" w:w="1191"/>
            <w:tcW w:w="560" w:type="dxa"/>
          </w:tcPr>
          <w:p>
            <w:pPr>
              <w:pStyle w:val="MDPI42tablebody"/>
              <w:jc w:val="left"/>
            </w:pPr>
            <w:r>
              <w:rPr>
                <w:sz w:val="14"/>
              </w:rPr>
              <w:t>NA</w:t>
            </w:r>
          </w:p>
        </w:tc>
        <w:tc>
          <w:tcPr>
            <w:tcW w:type="dxa" w:w="1191"/>
            <w:tcW w:w="560" w:type="dxa"/>
          </w:tcPr>
          <w:p>
            <w:pPr>
              <w:pStyle w:val="MDPI42tablebody"/>
              <w:jc w:val="left"/>
            </w:pPr>
            <w:r>
              <w:rPr>
                <w:sz w:val="14"/>
              </w:rPr>
              <w:t>NA</w:t>
            </w:r>
          </w:p>
        </w:tc>
        <w:tc>
          <w:tcPr>
            <w:tcW w:type="dxa" w:w="1191"/>
            <w:tcW w:w="560" w:type="dxa"/>
          </w:tcPr>
          <w:p>
            <w:pPr>
              <w:pStyle w:val="MDPI42tablebody"/>
              <w:jc w:val="left"/>
            </w:pPr>
            <w:r>
              <w:rPr>
                <w:sz w:val="14"/>
              </w:rPr>
              <w:t>NA</w:t>
            </w:r>
          </w:p>
        </w:tc>
        <w:tc>
          <w:tcPr>
            <w:tcW w:type="dxa" w:w="1191"/>
            <w:tcW w:w="560" w:type="dxa"/>
          </w:tcPr>
          <w:p>
            <w:pPr>
              <w:pStyle w:val="MDPI42tablebody"/>
              <w:jc w:val="left"/>
            </w:pPr>
            <w:r>
              <w:rPr>
                <w:sz w:val="14"/>
              </w:rPr>
              <w:t>NA</w:t>
            </w:r>
          </w:p>
        </w:tc>
        <w:tc>
          <w:tcPr>
            <w:tcW w:type="dxa" w:w="1191"/>
            <w:tcW w:w="620" w:type="dxa"/>
          </w:tcPr>
          <w:p>
            <w:pPr>
              <w:pStyle w:val="MDPI42tablebody"/>
              <w:jc w:val="left"/>
            </w:pPr>
            <w:r>
              <w:rPr>
                <w:sz w:val="14"/>
              </w:rPr>
              <w:t>NA</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The report evaluated a previously fixed score/rule and did not develop a new model. Evaluation: The fixed model was evaluated prospectively, but the target sample/event count was too small for precise performance and calibration was not assessed. Source: full text.</w:t>
            </w:r>
          </w:p>
        </w:tc>
      </w:tr>
      <w:tr>
        <w:tc>
          <w:tcPr>
            <w:tcW w:type="dxa" w:w="1191"/>
            <w:tcW w:w="1500" w:type="dxa"/>
          </w:tcPr>
          <w:p>
            <w:pPr>
              <w:pStyle w:val="MDPI42tablebody"/>
              <w:jc w:val="left"/>
            </w:pPr>
            <w:r>
              <w:rPr>
                <w:sz w:val="14"/>
              </w:rPr>
              <w:t>Ihlen et al. (2018) [30]</w:t>
            </w:r>
          </w:p>
        </w:tc>
        <w:tc>
          <w:tcPr>
            <w:tcW w:type="dxa" w:w="1191"/>
            <w:tcW w:w="1900" w:type="dxa"/>
          </w:tcPr>
          <w:p>
            <w:pPr>
              <w:pStyle w:val="MDPI42tablebody"/>
              <w:jc w:val="left"/>
            </w:pPr>
            <w:r>
              <w:rPr>
                <w:sz w:val="14"/>
              </w:rPr>
              <w:t>10.3389/fnagi.2018.00044</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Nait Aicha et al. (2018) [31]</w:t>
            </w:r>
          </w:p>
        </w:tc>
        <w:tc>
          <w:tcPr>
            <w:tcW w:type="dxa" w:w="1191"/>
            <w:tcW w:w="1900" w:type="dxa"/>
          </w:tcPr>
          <w:p>
            <w:pPr>
              <w:pStyle w:val="MDPI42tablebody"/>
              <w:jc w:val="left"/>
            </w:pPr>
            <w:r>
              <w:rPr>
                <w:sz w:val="14"/>
              </w:rPr>
              <w:t>10.3390/s18051654</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Howcroft et al. (2018) [32]</w:t>
            </w:r>
          </w:p>
        </w:tc>
        <w:tc>
          <w:tcPr>
            <w:tcW w:type="dxa" w:w="1191"/>
            <w:tcW w:w="1900" w:type="dxa"/>
          </w:tcPr>
          <w:p>
            <w:pPr>
              <w:pStyle w:val="MDPI42tablebody"/>
              <w:jc w:val="left"/>
            </w:pPr>
            <w:r>
              <w:rPr>
                <w:sz w:val="14"/>
              </w:rPr>
              <w:t>10.1016/j.bspc.2018.03.005</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Bizovska et al. (2018) [33]</w:t>
            </w:r>
          </w:p>
        </w:tc>
        <w:tc>
          <w:tcPr>
            <w:tcW w:type="dxa" w:w="1191"/>
            <w:tcW w:w="1900" w:type="dxa"/>
          </w:tcPr>
          <w:p>
            <w:pPr>
              <w:pStyle w:val="MDPI42tablebody"/>
              <w:jc w:val="left"/>
            </w:pPr>
            <w:r>
              <w:rPr>
                <w:sz w:val="14"/>
              </w:rPr>
              <w:t>10.1371/journal.pone.0197091</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was estimated in the model-development data without adequate optimism correction or calibration assessment. Source: full text.</w:t>
            </w:r>
          </w:p>
        </w:tc>
      </w:tr>
      <w:tr>
        <w:tc>
          <w:tcPr>
            <w:tcW w:type="dxa" w:w="1191"/>
            <w:tcW w:w="1500" w:type="dxa"/>
          </w:tcPr>
          <w:p>
            <w:pPr>
              <w:pStyle w:val="MDPI42tablebody"/>
              <w:jc w:val="left"/>
            </w:pPr>
            <w:r>
              <w:rPr>
                <w:sz w:val="14"/>
              </w:rPr>
              <w:t>Marques et al. (2018) [34]</w:t>
            </w:r>
          </w:p>
        </w:tc>
        <w:tc>
          <w:tcPr>
            <w:tcW w:type="dxa" w:w="1191"/>
            <w:tcW w:w="1900" w:type="dxa"/>
          </w:tcPr>
          <w:p>
            <w:pPr>
              <w:pStyle w:val="MDPI42tablebody"/>
              <w:jc w:val="left"/>
            </w:pPr>
            <w:r>
              <w:rPr>
                <w:sz w:val="14"/>
              </w:rPr>
              <w:t>10.1016/j.clinbiomech.2018.08.006</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Source-limited reporting and apparent cut-point selection create high concern. Evaluation: Thresholds were selected and assessed in the same cohort; key reporting details were unavailable. Source: abstract and accessible primary material.</w:t>
            </w:r>
          </w:p>
        </w:tc>
      </w:tr>
      <w:tr>
        <w:tc>
          <w:tcPr>
            <w:tcW w:type="dxa" w:w="1191"/>
            <w:tcW w:w="1500" w:type="dxa"/>
          </w:tcPr>
          <w:p>
            <w:pPr>
              <w:pStyle w:val="MDPI42tablebody"/>
              <w:jc w:val="left"/>
            </w:pPr>
            <w:r>
              <w:rPr>
                <w:sz w:val="14"/>
              </w:rPr>
              <w:t>Lo et al. (2019) [35]</w:t>
            </w:r>
          </w:p>
        </w:tc>
        <w:tc>
          <w:tcPr>
            <w:tcW w:type="dxa" w:w="1191"/>
            <w:tcW w:w="1900" w:type="dxa"/>
          </w:tcPr>
          <w:p>
            <w:pPr>
              <w:pStyle w:val="MDPI42tablebody"/>
              <w:jc w:val="left"/>
            </w:pPr>
            <w:r>
              <w:rPr>
                <w:sz w:val="14"/>
              </w:rPr>
              <w:t>10.1002/acn3.50853</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Marques et al. (2019) [36]</w:t>
            </w:r>
          </w:p>
        </w:tc>
        <w:tc>
          <w:tcPr>
            <w:tcW w:type="dxa" w:w="1191"/>
            <w:tcW w:w="1900" w:type="dxa"/>
          </w:tcPr>
          <w:p>
            <w:pPr>
              <w:pStyle w:val="MDPI42tablebody"/>
              <w:jc w:val="left"/>
            </w:pPr>
            <w:r>
              <w:rPr>
                <w:sz w:val="14"/>
              </w:rPr>
              <w:t>10.1016/j.clinbiomech.2019.04.011</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Very small source-limited study with apparent cut-point optimization. Evaluation: Threshold performance was assessed in the same very small cohort. Source: abstract and accessible primary material.</w:t>
            </w:r>
          </w:p>
        </w:tc>
      </w:tr>
      <w:tr>
        <w:tc>
          <w:tcPr>
            <w:tcW w:type="dxa" w:w="1191"/>
            <w:tcW w:w="1500" w:type="dxa"/>
          </w:tcPr>
          <w:p>
            <w:pPr>
              <w:pStyle w:val="MDPI42tablebody"/>
              <w:jc w:val="left"/>
            </w:pPr>
            <w:r>
              <w:rPr>
                <w:sz w:val="14"/>
              </w:rPr>
              <w:t>Gillain et al. (2019) [37]</w:t>
            </w:r>
          </w:p>
        </w:tc>
        <w:tc>
          <w:tcPr>
            <w:tcW w:type="dxa" w:w="1191"/>
            <w:tcW w:w="1900" w:type="dxa"/>
          </w:tcPr>
          <w:p>
            <w:pPr>
              <w:pStyle w:val="MDPI42tablebody"/>
              <w:jc w:val="left"/>
            </w:pPr>
            <w:r>
              <w:rPr>
                <w:sz w:val="14"/>
              </w:rPr>
              <w:t>10.1016/j.exger.2019.110730</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Data-driven tree development and apparent performance create high concern for optimism. Evaluation: Performance was not evaluated in independent data and calibration was absent. Source: abstract and accessible primary material.</w:t>
            </w:r>
          </w:p>
        </w:tc>
      </w:tr>
      <w:tr>
        <w:tc>
          <w:tcPr>
            <w:tcW w:type="dxa" w:w="1191"/>
            <w:tcW w:w="1500" w:type="dxa"/>
          </w:tcPr>
          <w:p>
            <w:pPr>
              <w:pStyle w:val="MDPI42tablebody"/>
              <w:jc w:val="left"/>
            </w:pPr>
            <w:r>
              <w:rPr>
                <w:sz w:val="14"/>
              </w:rPr>
              <w:t>Buisseret et al. (2020) [38]</w:t>
            </w:r>
          </w:p>
        </w:tc>
        <w:tc>
          <w:tcPr>
            <w:tcW w:type="dxa" w:w="1191"/>
            <w:tcW w:w="1900" w:type="dxa"/>
          </w:tcPr>
          <w:p>
            <w:pPr>
              <w:pStyle w:val="MDPI42tablebody"/>
              <w:jc w:val="left"/>
            </w:pPr>
            <w:r>
              <w:rPr>
                <w:sz w:val="14"/>
              </w:rPr>
              <w:t>10.3390/s20113207</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Silva et al. (2020) [39]</w:t>
            </w:r>
          </w:p>
        </w:tc>
        <w:tc>
          <w:tcPr>
            <w:tcW w:type="dxa" w:w="1191"/>
            <w:tcW w:w="1900" w:type="dxa"/>
          </w:tcPr>
          <w:p>
            <w:pPr>
              <w:pStyle w:val="MDPI42tablebody"/>
              <w:jc w:val="left"/>
            </w:pPr>
            <w:r>
              <w:rPr>
                <w:sz w:val="14"/>
              </w:rPr>
              <w:t>10.1109/JBHI.2019.2951230</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Potential outcome-related feature leakage, high-dimensional selection, and internal evaluation create high concern. Evaluation: Potential leakage could not be excluded and repeated internal splitting does not establish transportability. Source: full text.</w:t>
            </w:r>
          </w:p>
        </w:tc>
      </w:tr>
      <w:tr>
        <w:tc>
          <w:tcPr>
            <w:tcW w:type="dxa" w:w="1191"/>
            <w:tcW w:w="1500" w:type="dxa"/>
          </w:tcPr>
          <w:p>
            <w:pPr>
              <w:pStyle w:val="MDPI42tablebody"/>
              <w:jc w:val="left"/>
            </w:pPr>
            <w:r>
              <w:rPr>
                <w:sz w:val="14"/>
              </w:rPr>
              <w:t>Sturchio et al. (2021) [40]</w:t>
            </w:r>
          </w:p>
        </w:tc>
        <w:tc>
          <w:tcPr>
            <w:tcW w:type="dxa" w:w="1191"/>
            <w:tcW w:w="1900" w:type="dxa"/>
          </w:tcPr>
          <w:p>
            <w:pPr>
              <w:pStyle w:val="MDPI42tablebody"/>
              <w:jc w:val="left"/>
            </w:pPr>
            <w:r>
              <w:rPr>
                <w:sz w:val="14"/>
              </w:rPr>
              <w:t>10.1007/s00415-020-10240-8</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Very small event count, multiplicity, and apparent performance create high concern for optimism. Evaluation: No independent or resampling-based performance evaluation was reported. Source: full text.</w:t>
            </w:r>
          </w:p>
        </w:tc>
      </w:tr>
      <w:tr>
        <w:tc>
          <w:tcPr>
            <w:tcW w:type="dxa" w:w="1191"/>
            <w:tcW w:w="1500" w:type="dxa"/>
          </w:tcPr>
          <w:p>
            <w:pPr>
              <w:pStyle w:val="MDPI42tablebody"/>
              <w:jc w:val="left"/>
            </w:pPr>
            <w:r>
              <w:rPr>
                <w:sz w:val="14"/>
              </w:rPr>
              <w:t>Bet et al. (2021) [41]</w:t>
            </w:r>
          </w:p>
        </w:tc>
        <w:tc>
          <w:tcPr>
            <w:tcW w:type="dxa" w:w="1191"/>
            <w:tcW w:w="1900" w:type="dxa"/>
          </w:tcPr>
          <w:p>
            <w:pPr>
              <w:pStyle w:val="MDPI42tablebody"/>
              <w:jc w:val="left"/>
            </w:pPr>
            <w:r>
              <w:rPr>
                <w:sz w:val="14"/>
              </w:rPr>
              <w:t>10.1016/j.exger.2020.111139</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was estimated in the model-development data without adequate optimism correction or calibration assessment. Source: full text.</w:t>
            </w:r>
          </w:p>
        </w:tc>
      </w:tr>
      <w:tr>
        <w:tc>
          <w:tcPr>
            <w:tcW w:type="dxa" w:w="1191"/>
            <w:tcW w:w="1500" w:type="dxa"/>
          </w:tcPr>
          <w:p>
            <w:pPr>
              <w:pStyle w:val="MDPI42tablebody"/>
              <w:jc w:val="left"/>
            </w:pPr>
            <w:r>
              <w:rPr>
                <w:sz w:val="14"/>
              </w:rPr>
              <w:t>Mehdizadeh et al. (2021) [42]</w:t>
            </w:r>
          </w:p>
        </w:tc>
        <w:tc>
          <w:tcPr>
            <w:tcW w:type="dxa" w:w="1191"/>
            <w:tcW w:w="1900" w:type="dxa"/>
          </w:tcPr>
          <w:p>
            <w:pPr>
              <w:pStyle w:val="MDPI42tablebody"/>
              <w:jc w:val="left"/>
            </w:pPr>
            <w:r>
              <w:rPr>
                <w:sz w:val="14"/>
              </w:rPr>
              <w:t>10.1016/j.jamda.2020.07.030</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Internal validation and limited calibration information were present, but only 51 participants from one dementia facility underpinned development and evaluation. Source: abstract and accessible primary material.</w:t>
            </w:r>
          </w:p>
        </w:tc>
      </w:tr>
      <w:tr>
        <w:tc>
          <w:tcPr>
            <w:tcW w:type="dxa" w:w="1191"/>
            <w:tcW w:w="1500" w:type="dxa"/>
          </w:tcPr>
          <w:p>
            <w:pPr>
              <w:pStyle w:val="MDPI42tablebody"/>
              <w:jc w:val="left"/>
            </w:pPr>
            <w:r>
              <w:rPr>
                <w:sz w:val="14"/>
              </w:rPr>
              <w:t>Lockhart et al. (2021) [43]</w:t>
            </w:r>
          </w:p>
        </w:tc>
        <w:tc>
          <w:tcPr>
            <w:tcW w:type="dxa" w:w="1191"/>
            <w:tcW w:w="1900" w:type="dxa"/>
          </w:tcPr>
          <w:p>
            <w:pPr>
              <w:pStyle w:val="MDPI42tablebody"/>
              <w:jc w:val="left"/>
            </w:pPr>
            <w:r>
              <w:rPr>
                <w:sz w:val="14"/>
              </w:rPr>
              <w:t>10.1038/s41598-021-00458-5</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A held-out prospective test was used, but it contained only nine events and used an outcome definition/horizon that differed from development; calibration was not assessed. Source: full text.</w:t>
            </w:r>
          </w:p>
        </w:tc>
      </w:tr>
      <w:tr>
        <w:tc>
          <w:tcPr>
            <w:tcW w:type="dxa" w:w="1191"/>
            <w:tcW w:w="1500" w:type="dxa"/>
          </w:tcPr>
          <w:p>
            <w:pPr>
              <w:pStyle w:val="MDPI42tablebody"/>
              <w:jc w:val="left"/>
            </w:pPr>
            <w:r>
              <w:rPr>
                <w:sz w:val="14"/>
              </w:rPr>
              <w:t>Roshdibenam et al. (2021) [44]</w:t>
            </w:r>
          </w:p>
        </w:tc>
        <w:tc>
          <w:tcPr>
            <w:tcW w:type="dxa" w:w="1191"/>
            <w:tcW w:w="1900" w:type="dxa"/>
          </w:tcPr>
          <w:p>
            <w:pPr>
              <w:pStyle w:val="MDPI42tablebody"/>
              <w:jc w:val="left"/>
            </w:pPr>
            <w:r>
              <w:rPr>
                <w:sz w:val="14"/>
              </w:rPr>
              <w:t>10.3390/s21103481</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The main performance target was geriatrician-assessed risk rather than prospective falls; the secondary prospective analysis was incompletely reported and uncalibrated. Source: full text.</w:t>
            </w:r>
          </w:p>
        </w:tc>
      </w:tr>
      <w:tr>
        <w:tc>
          <w:tcPr>
            <w:tcW w:type="dxa" w:w="1191"/>
            <w:tcW w:w="1500" w:type="dxa"/>
          </w:tcPr>
          <w:p>
            <w:pPr>
              <w:pStyle w:val="MDPI42tablebody"/>
              <w:jc w:val="left"/>
            </w:pPr>
            <w:r>
              <w:rPr>
                <w:sz w:val="14"/>
              </w:rPr>
              <w:t>Greene et al. (2022) [45]</w:t>
            </w:r>
          </w:p>
        </w:tc>
        <w:tc>
          <w:tcPr>
            <w:tcW w:type="dxa" w:w="1191"/>
            <w:tcW w:w="1900" w:type="dxa"/>
          </w:tcPr>
          <w:p>
            <w:pPr>
              <w:pStyle w:val="MDPI42tablebody"/>
              <w:jc w:val="left"/>
            </w:pPr>
            <w:r>
              <w:rPr>
                <w:sz w:val="14"/>
              </w:rPr>
              <w:t>10.3390/s22010054</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Very small target-sample count-model fitting, an influential extreme outcome, and post hoc sensitivity analyses create high development-quality concern. Evaluation: The count mapping was fitted and evaluated in the same 15-person target sample, with outlier-sensitive performance and no calibration. Source: full text.</w:t>
            </w:r>
          </w:p>
        </w:tc>
      </w:tr>
      <w:tr>
        <w:tc>
          <w:tcPr>
            <w:tcW w:type="dxa" w:w="1191"/>
            <w:tcW w:w="1500" w:type="dxa"/>
          </w:tcPr>
          <w:p>
            <w:pPr>
              <w:pStyle w:val="MDPI42tablebody"/>
              <w:jc w:val="left"/>
            </w:pPr>
            <w:r>
              <w:rPr>
                <w:sz w:val="14"/>
              </w:rPr>
              <w:t>Kelly et al. (2022) [46]</w:t>
            </w:r>
          </w:p>
        </w:tc>
        <w:tc>
          <w:tcPr>
            <w:tcW w:type="dxa" w:w="1191"/>
            <w:tcW w:w="1900" w:type="dxa"/>
          </w:tcPr>
          <w:p>
            <w:pPr>
              <w:pStyle w:val="MDPI42tablebody"/>
              <w:jc w:val="left"/>
            </w:pPr>
            <w:r>
              <w:rPr>
                <w:sz w:val="14"/>
              </w:rPr>
              <w:t>10.1016/j.jbi.2022.104116</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Dierick et al. (2022) [47]</w:t>
            </w:r>
          </w:p>
        </w:tc>
        <w:tc>
          <w:tcPr>
            <w:tcW w:type="dxa" w:w="1191"/>
            <w:tcW w:w="1900" w:type="dxa"/>
          </w:tcPr>
          <w:p>
            <w:pPr>
              <w:pStyle w:val="MDPI42tablebody"/>
              <w:jc w:val="left"/>
            </w:pPr>
            <w:r>
              <w:rPr>
                <w:sz w:val="14"/>
              </w:rPr>
              <w:t>10.3390/s22062339</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was estimated in the model-development data without adequate optimism correction or calibration assessment. Source: full text.</w:t>
            </w:r>
          </w:p>
        </w:tc>
      </w:tr>
      <w:tr>
        <w:tc>
          <w:tcPr>
            <w:tcW w:type="dxa" w:w="1191"/>
            <w:tcW w:w="1500" w:type="dxa"/>
          </w:tcPr>
          <w:p>
            <w:pPr>
              <w:pStyle w:val="MDPI42tablebody"/>
              <w:jc w:val="left"/>
            </w:pPr>
            <w:r>
              <w:rPr>
                <w:sz w:val="14"/>
              </w:rPr>
              <w:t>Ma et al. (2022) [48]</w:t>
            </w:r>
          </w:p>
        </w:tc>
        <w:tc>
          <w:tcPr>
            <w:tcW w:type="dxa" w:w="1191"/>
            <w:tcW w:w="1900" w:type="dxa"/>
          </w:tcPr>
          <w:p>
            <w:pPr>
              <w:pStyle w:val="MDPI42tablebody"/>
              <w:jc w:val="left"/>
            </w:pPr>
            <w:r>
              <w:rPr>
                <w:sz w:val="14"/>
              </w:rPr>
              <w:t>10.1080/00207454.2020.1849189</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was estimated in the model-development data without adequate optimism correction or calibration assessment. Source: abstract and accessible primary material.</w:t>
            </w:r>
          </w:p>
        </w:tc>
      </w:tr>
      <w:tr>
        <w:tc>
          <w:tcPr>
            <w:tcW w:type="dxa" w:w="1191"/>
            <w:tcW w:w="1500" w:type="dxa"/>
          </w:tcPr>
          <w:p>
            <w:pPr>
              <w:pStyle w:val="MDPI42tablebody"/>
              <w:jc w:val="left"/>
            </w:pPr>
            <w:r>
              <w:rPr>
                <w:sz w:val="14"/>
              </w:rPr>
              <w:t>Dasgupta et al. (2022) [49]</w:t>
            </w:r>
          </w:p>
        </w:tc>
        <w:tc>
          <w:tcPr>
            <w:tcW w:type="dxa" w:w="1191"/>
            <w:tcW w:w="1900" w:type="dxa"/>
          </w:tcPr>
          <w:p>
            <w:pPr>
              <w:pStyle w:val="MDPI42tablebody"/>
              <w:jc w:val="left"/>
            </w:pPr>
            <w:r>
              <w:rPr>
                <w:sz w:val="14"/>
              </w:rPr>
              <w:t>10.1016/j.ajem.2021.12.071</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Caronni et al. (2023) [50]</w:t>
            </w:r>
          </w:p>
        </w:tc>
        <w:tc>
          <w:tcPr>
            <w:tcW w:type="dxa" w:w="1191"/>
            <w:tcW w:w="1900" w:type="dxa"/>
          </w:tcPr>
          <w:p>
            <w:pPr>
              <w:pStyle w:val="MDPI42tablebody"/>
              <w:jc w:val="left"/>
            </w:pPr>
            <w:r>
              <w:rPr>
                <w:sz w:val="14"/>
              </w:rPr>
              <w:t>10.3389/fneur.2023.1228302</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was estimated in the model-development data without adequate optimism correction or calibration assessment. Source: full text.</w:t>
            </w:r>
          </w:p>
        </w:tc>
      </w:tr>
      <w:tr>
        <w:tc>
          <w:tcPr>
            <w:tcW w:type="dxa" w:w="1191"/>
            <w:tcW w:w="1500" w:type="dxa"/>
          </w:tcPr>
          <w:p>
            <w:pPr>
              <w:pStyle w:val="MDPI42tablebody"/>
              <w:jc w:val="left"/>
            </w:pPr>
            <w:r>
              <w:rPr>
                <w:sz w:val="14"/>
              </w:rPr>
              <w:t>Horak et al. (2023) [51]</w:t>
            </w:r>
          </w:p>
        </w:tc>
        <w:tc>
          <w:tcPr>
            <w:tcW w:type="dxa" w:w="1191"/>
            <w:tcW w:w="1900" w:type="dxa"/>
          </w:tcPr>
          <w:p>
            <w:pPr>
              <w:pStyle w:val="MDPI42tablebody"/>
              <w:jc w:val="left"/>
            </w:pPr>
            <w:r>
              <w:rPr>
                <w:sz w:val="14"/>
              </w:rPr>
              <w:t>10.1007/s11357-022-00675-4</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was estimated in the model-development data without adequate optimism correction or calibration assessment. Source: full text.</w:t>
            </w:r>
          </w:p>
        </w:tc>
      </w:tr>
      <w:tr>
        <w:tc>
          <w:tcPr>
            <w:tcW w:type="dxa" w:w="1191"/>
            <w:tcW w:w="1500" w:type="dxa"/>
          </w:tcPr>
          <w:p>
            <w:pPr>
              <w:pStyle w:val="MDPI42tablebody"/>
              <w:jc w:val="left"/>
            </w:pPr>
            <w:r>
              <w:rPr>
                <w:sz w:val="14"/>
              </w:rPr>
              <w:t>Ullrich et al. (2023) [52]</w:t>
            </w:r>
          </w:p>
        </w:tc>
        <w:tc>
          <w:tcPr>
            <w:tcW w:type="dxa" w:w="1191"/>
            <w:tcW w:w="1900" w:type="dxa"/>
          </w:tcPr>
          <w:p>
            <w:pPr>
              <w:pStyle w:val="MDPI42tablebody"/>
              <w:jc w:val="left"/>
            </w:pPr>
            <w:r>
              <w:rPr>
                <w:sz w:val="14"/>
              </w:rPr>
              <w:t>10.1109/JBHI.2022.3215921</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Al Abiad et al. (2023) [53]</w:t>
            </w:r>
          </w:p>
        </w:tc>
        <w:tc>
          <w:tcPr>
            <w:tcW w:type="dxa" w:w="1191"/>
            <w:tcW w:w="1900" w:type="dxa"/>
          </w:tcPr>
          <w:p>
            <w:pPr>
              <w:pStyle w:val="MDPI42tablebody"/>
              <w:jc w:val="left"/>
            </w:pPr>
            <w:r>
              <w:rPr>
                <w:sz w:val="14"/>
              </w:rPr>
              <w:t>10.2196/49587</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Adeli et al. (2023) [54]</w:t>
            </w:r>
          </w:p>
        </w:tc>
        <w:tc>
          <w:tcPr>
            <w:tcW w:type="dxa" w:w="1191"/>
            <w:tcW w:w="1900" w:type="dxa"/>
          </w:tcPr>
          <w:p>
            <w:pPr>
              <w:pStyle w:val="MDPI42tablebody"/>
              <w:jc w:val="left"/>
            </w:pPr>
            <w:r>
              <w:rPr>
                <w:sz w:val="14"/>
              </w:rPr>
              <w:t>10.1109/JBHI.2023.3267039</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Shah et al. (2023) [55]</w:t>
            </w:r>
          </w:p>
        </w:tc>
        <w:tc>
          <w:tcPr>
            <w:tcW w:type="dxa" w:w="1191"/>
            <w:tcW w:w="1900" w:type="dxa"/>
          </w:tcPr>
          <w:p>
            <w:pPr>
              <w:pStyle w:val="MDPI42tablebody"/>
              <w:jc w:val="left"/>
            </w:pPr>
            <w:r>
              <w:rPr>
                <w:sz w:val="14"/>
              </w:rPr>
              <w:t>10.3389/fneur.2023.1096401</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was estimated in the model-development data without adequate optimism correction or calibration assessment. Source: full text.</w:t>
            </w:r>
          </w:p>
        </w:tc>
      </w:tr>
      <w:tr>
        <w:tc>
          <w:tcPr>
            <w:tcW w:type="dxa" w:w="1191"/>
            <w:tcW w:w="1500" w:type="dxa"/>
          </w:tcPr>
          <w:p>
            <w:pPr>
              <w:pStyle w:val="MDPI42tablebody"/>
              <w:jc w:val="left"/>
            </w:pPr>
            <w:r>
              <w:rPr>
                <w:sz w:val="14"/>
              </w:rPr>
              <w:t>Sotirakis et al. (2024) [56]</w:t>
            </w:r>
          </w:p>
        </w:tc>
        <w:tc>
          <w:tcPr>
            <w:tcW w:type="dxa" w:w="1191"/>
            <w:tcW w:w="1900" w:type="dxa"/>
          </w:tcPr>
          <w:p>
            <w:pPr>
              <w:pStyle w:val="MDPI42tablebody"/>
              <w:jc w:val="left"/>
            </w:pPr>
            <w:r>
              <w:rPr>
                <w:sz w:val="14"/>
              </w:rPr>
              <w:t>10.1038/s41746-024-01311-5</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Zhang et al. (2024) [57]</w:t>
            </w:r>
          </w:p>
        </w:tc>
        <w:tc>
          <w:tcPr>
            <w:tcW w:type="dxa" w:w="1191"/>
            <w:tcW w:w="1900" w:type="dxa"/>
          </w:tcPr>
          <w:p>
            <w:pPr>
              <w:pStyle w:val="MDPI42tablebody"/>
              <w:jc w:val="left"/>
            </w:pPr>
            <w:r>
              <w:rPr>
                <w:sz w:val="14"/>
              </w:rPr>
              <w:t>10.1109/TNSRE.2024.3510300</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Maiora et al. (2024) [58]</w:t>
            </w:r>
          </w:p>
        </w:tc>
        <w:tc>
          <w:tcPr>
            <w:tcW w:type="dxa" w:w="1191"/>
            <w:tcW w:w="1900" w:type="dxa"/>
          </w:tcPr>
          <w:p>
            <w:pPr>
              <w:pStyle w:val="MDPI42tablebody"/>
              <w:jc w:val="left"/>
            </w:pPr>
            <w:r>
              <w:rPr>
                <w:sz w:val="14"/>
              </w:rPr>
              <w:t>10.3390/bioengineering11101000</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Zhang et al. (2024) [59]</w:t>
            </w:r>
          </w:p>
        </w:tc>
        <w:tc>
          <w:tcPr>
            <w:tcW w:type="dxa" w:w="1191"/>
            <w:tcW w:w="1900" w:type="dxa"/>
          </w:tcPr>
          <w:p>
            <w:pPr>
              <w:pStyle w:val="MDPI42tablebody"/>
              <w:jc w:val="left"/>
            </w:pPr>
            <w:r>
              <w:rPr>
                <w:sz w:val="14"/>
              </w:rPr>
              <w:t>10.1016/j.jamda.2024.105107</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The independent cohort was appropriate, but recalibration/updating was developed and appraised in the same validation dataset. Evaluation: Original coefficients and cutoffs were applied in an independent prospective cohort with adequate events and calibration explicitly assessed. Source: full text.</w:t>
            </w:r>
          </w:p>
        </w:tc>
      </w:tr>
      <w:tr>
        <w:tc>
          <w:tcPr>
            <w:tcW w:type="dxa" w:w="1191"/>
            <w:tcW w:w="1500" w:type="dxa"/>
          </w:tcPr>
          <w:p>
            <w:pPr>
              <w:pStyle w:val="MDPI42tablebody"/>
              <w:jc w:val="left"/>
            </w:pPr>
            <w:r>
              <w:rPr>
                <w:sz w:val="14"/>
              </w:rPr>
              <w:t>Lai et al. (2025) [60]</w:t>
            </w:r>
          </w:p>
        </w:tc>
        <w:tc>
          <w:tcPr>
            <w:tcW w:type="dxa" w:w="1191"/>
            <w:tcW w:w="1900" w:type="dxa"/>
          </w:tcPr>
          <w:p>
            <w:pPr>
              <w:pStyle w:val="MDPI42tablebody"/>
              <w:jc w:val="left"/>
            </w:pPr>
            <w:r>
              <w:rPr>
                <w:sz w:val="14"/>
              </w:rPr>
              <w:t>10.3390/s25082516</w:t>
            </w:r>
          </w:p>
        </w:tc>
        <w:tc>
          <w:tcPr>
            <w:tcW w:type="dxa" w:w="1191"/>
            <w:tcW w:w="560" w:type="dxa"/>
          </w:tcPr>
          <w:p>
            <w:pPr>
              <w:pStyle w:val="MDPI42tablebody"/>
              <w:jc w:val="left"/>
            </w:pPr>
            <w:r>
              <w:rPr>
                <w:sz w:val="14"/>
              </w:rPr>
              <w:t>NA</w:t>
            </w:r>
          </w:p>
        </w:tc>
        <w:tc>
          <w:tcPr>
            <w:tcW w:type="dxa" w:w="1191"/>
            <w:tcW w:w="560" w:type="dxa"/>
          </w:tcPr>
          <w:p>
            <w:pPr>
              <w:pStyle w:val="MDPI42tablebody"/>
              <w:jc w:val="left"/>
            </w:pPr>
            <w:r>
              <w:rPr>
                <w:sz w:val="14"/>
              </w:rPr>
              <w:t>NA</w:t>
            </w:r>
          </w:p>
        </w:tc>
        <w:tc>
          <w:tcPr>
            <w:tcW w:type="dxa" w:w="1191"/>
            <w:tcW w:w="560" w:type="dxa"/>
          </w:tcPr>
          <w:p>
            <w:pPr>
              <w:pStyle w:val="MDPI42tablebody"/>
              <w:jc w:val="left"/>
            </w:pPr>
            <w:r>
              <w:rPr>
                <w:sz w:val="14"/>
              </w:rPr>
              <w:t>NA</w:t>
            </w:r>
          </w:p>
        </w:tc>
        <w:tc>
          <w:tcPr>
            <w:tcW w:type="dxa" w:w="1191"/>
            <w:tcW w:w="560" w:type="dxa"/>
          </w:tcPr>
          <w:p>
            <w:pPr>
              <w:pStyle w:val="MDPI42tablebody"/>
              <w:jc w:val="left"/>
            </w:pPr>
            <w:r>
              <w:rPr>
                <w:sz w:val="14"/>
              </w:rPr>
              <w:t>NA</w:t>
            </w:r>
          </w:p>
        </w:tc>
        <w:tc>
          <w:tcPr>
            <w:tcW w:type="dxa" w:w="1191"/>
            <w:tcW w:w="620" w:type="dxa"/>
          </w:tcPr>
          <w:p>
            <w:pPr>
              <w:pStyle w:val="MDPI42tablebody"/>
              <w:jc w:val="left"/>
            </w:pPr>
            <w:r>
              <w:rPr>
                <w:sz w:val="14"/>
              </w:rPr>
              <w:t>NA</w:t>
            </w:r>
          </w:p>
        </w:tc>
        <w:tc>
          <w:tcPr>
            <w:tcW w:type="dxa" w:w="1191"/>
            <w:tcW w:w="56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The report evaluated a previously fixed score/rule and did not develop a new model. Evaluation: The fixed model was evaluated prospectively, but the target sample/event count was too small for precise performance and calibration was not assessed. Source: full text.</w:t>
            </w:r>
          </w:p>
        </w:tc>
      </w:tr>
      <w:tr>
        <w:tc>
          <w:tcPr>
            <w:tcW w:type="dxa" w:w="1191"/>
            <w:tcW w:w="1500" w:type="dxa"/>
          </w:tcPr>
          <w:p>
            <w:pPr>
              <w:pStyle w:val="MDPI42tablebody"/>
              <w:jc w:val="left"/>
            </w:pPr>
            <w:r>
              <w:rPr>
                <w:sz w:val="14"/>
              </w:rPr>
              <w:t>Giardini et al. (2025) [61]</w:t>
            </w:r>
          </w:p>
        </w:tc>
        <w:tc>
          <w:tcPr>
            <w:tcW w:type="dxa" w:w="1191"/>
            <w:tcW w:w="1900" w:type="dxa"/>
          </w:tcPr>
          <w:p>
            <w:pPr>
              <w:pStyle w:val="MDPI42tablebody"/>
              <w:jc w:val="left"/>
            </w:pPr>
            <w:r>
              <w:rPr>
                <w:sz w:val="14"/>
              </w:rPr>
              <w:t>10.1016/j.gaitpost.2025.08.074</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was estimated in the model-development data without adequate optimism correction or calibration assessment. Source: abstract and accessible primary material.</w:t>
            </w:r>
          </w:p>
        </w:tc>
      </w:tr>
      <w:tr>
        <w:tc>
          <w:tcPr>
            <w:tcW w:type="dxa" w:w="1191"/>
            <w:tcW w:w="1500" w:type="dxa"/>
          </w:tcPr>
          <w:p>
            <w:pPr>
              <w:pStyle w:val="MDPI42tablebody"/>
              <w:jc w:val="left"/>
            </w:pPr>
            <w:r>
              <w:rPr>
                <w:sz w:val="14"/>
              </w:rPr>
              <w:t>Guan et al. (2025) [62]</w:t>
            </w:r>
          </w:p>
        </w:tc>
        <w:tc>
          <w:tcPr>
            <w:tcW w:type="dxa" w:w="1191"/>
            <w:tcW w:w="1900" w:type="dxa"/>
          </w:tcPr>
          <w:p>
            <w:pPr>
              <w:pStyle w:val="MDPI42tablebody"/>
              <w:jc w:val="left"/>
            </w:pPr>
            <w:r>
              <w:rPr>
                <w:sz w:val="14"/>
              </w:rPr>
              <w:t>10.1109/TNSRE.2025.3623129</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Predictors preceded outcome, but model development used the same limited dataset for predictor/model selection, lacked robust calibration assessment, or had inadequate events relative to modelling complexity. Evaluation: Performance relied on internal resampling/splitting in a small development cohort, often after extensive feature/model selection, without calibration or independent validation. Source: full text.</w:t>
            </w:r>
          </w:p>
        </w:tc>
      </w:tr>
      <w:tr>
        <w:tc>
          <w:tcPr>
            <w:tcW w:type="dxa" w:w="1191"/>
            <w:tcW w:w="1500" w:type="dxa"/>
          </w:tcPr>
          <w:p>
            <w:pPr>
              <w:pStyle w:val="MDPI42tablebody"/>
              <w:jc w:val="left"/>
            </w:pPr>
            <w:r>
              <w:rPr>
                <w:sz w:val="14"/>
              </w:rPr>
              <w:t>Suffoletto et al. (2026) [15]</w:t>
            </w:r>
          </w:p>
        </w:tc>
        <w:tc>
          <w:tcPr>
            <w:tcW w:type="dxa" w:w="1191"/>
            <w:tcW w:w="1900" w:type="dxa"/>
          </w:tcPr>
          <w:p>
            <w:pPr>
              <w:pStyle w:val="MDPI42tablebody"/>
              <w:jc w:val="left"/>
            </w:pPr>
            <w:r>
              <w:rPr>
                <w:sz w:val="14"/>
              </w:rPr>
              <w:t>10.1111/acem.70259</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U</w:t>
            </w:r>
          </w:p>
        </w:tc>
        <w:tc>
          <w:tcPr>
            <w:tcW w:type="dxa" w:w="1191"/>
            <w:tcW w:w="560" w:type="dxa"/>
          </w:tcPr>
          <w:p>
            <w:pPr>
              <w:pStyle w:val="MDPI42tablebody"/>
              <w:jc w:val="left"/>
            </w:pPr>
            <w:r>
              <w:rPr>
                <w:sz w:val="14"/>
              </w:rPr>
              <w:t>L</w:t>
            </w:r>
          </w:p>
        </w:tc>
        <w:tc>
          <w:tcPr>
            <w:tcW w:type="dxa" w:w="1191"/>
            <w:tcW w:w="560" w:type="dxa"/>
          </w:tcPr>
          <w:p>
            <w:pPr>
              <w:pStyle w:val="MDPI42tablebody"/>
              <w:jc w:val="left"/>
            </w:pPr>
            <w:r>
              <w:rPr>
                <w:sz w:val="14"/>
              </w:rPr>
              <w:t>H</w:t>
            </w:r>
          </w:p>
        </w:tc>
        <w:tc>
          <w:tcPr>
            <w:tcW w:type="dxa" w:w="1191"/>
            <w:tcW w:w="620" w:type="dxa"/>
          </w:tcPr>
          <w:p>
            <w:pPr>
              <w:pStyle w:val="MDPI42tablebody"/>
              <w:jc w:val="left"/>
            </w:pPr>
            <w:r>
              <w:rPr>
                <w:sz w:val="14"/>
              </w:rPr>
              <w:t>H</w:t>
            </w:r>
          </w:p>
        </w:tc>
        <w:tc>
          <w:tcPr>
            <w:tcW w:type="dxa" w:w="1191"/>
            <w:tcW w:w="5000" w:type="dxa"/>
          </w:tcPr>
          <w:p>
            <w:pPr>
              <w:pStyle w:val="MDPI42tablebody"/>
              <w:jc w:val="left"/>
            </w:pPr>
            <w:r>
              <w:rPr>
                <w:sz w:val="14"/>
              </w:rPr>
              <w:t>Development: Apparent same-cohort performance without reported optimism correction or calibration; limited accessible reporting. Evaluation: The accessible abstract reported apparent discrimination and threshold performance without independent validation or calibration. Source: abstract and accessible primary material.</w:t>
            </w:r>
          </w:p>
        </w:tc>
      </w:tr>
    </w:tbl>
    <w:p>
      <w:pPr>
        <w:pStyle w:val="MDPI32textnoindent"/>
      </w:pPr>
      <w:r>
        <w:rPr>
          <w:sz w:val="17"/>
        </w:rPr>
        <w:t>Part A (Dev) assesses concern about model-development quality and Part B (Eval) risk of bias in model evaluation. P/D: participants and data sources; Pred: predictors; Out: outcome; Anal: analysis; H: high; L: low; U: unclear; NA: not applicable (no model developed). An overall low judgment required all domains to be low. Judgments refer to the principal gait-containing model or shared development/evaluation pipeline of each report.</w:t>
      </w:r>
    </w:p>
    <w:p>
      <w:pPr>
        <w:pStyle w:val="MDPI22heading2"/>
      </w:pPr>
      <w:r>
        <w:rPr/>
        <w:t>Table S6. PROBAST+AI applicability judgments</w:t>
      </w:r>
    </w:p>
    <w:tbl>
      <w:tblPr>
        <w:tblStyle w:val="MDPI41threelinetable"/>
        <w:tblW w:type="auto" w:w="0"/>
        <w:tblLook w:firstColumn="1" w:firstRow="1" w:lastColumn="0" w:lastRow="0" w:noHBand="0" w:noVBand="1" w:val="04A0"/>
        <w:tblLayout w:type="fixed"/>
      </w:tblPr>
      <w:tblGrid>
        <w:gridCol w:w="1500"/>
        <w:gridCol w:w="1900"/>
        <w:gridCol w:w="600"/>
        <w:gridCol w:w="600"/>
        <w:gridCol w:w="600"/>
        <w:gridCol w:w="660"/>
        <w:gridCol w:w="600"/>
        <w:gridCol w:w="600"/>
        <w:gridCol w:w="600"/>
        <w:gridCol w:w="660"/>
        <w:gridCol w:w="5900"/>
      </w:tblGrid>
      <w:tr>
        <w:trPr>
          <w:tblHeader/>
        </w:trPr>
        <w:tc>
          <w:tcPr>
            <w:tcW w:type="dxa" w:w="1407"/>
            <w:tcW w:w="1500" w:type="dxa"/>
          </w:tcPr>
          <w:p>
            <w:pPr>
              <w:pStyle w:val="MDPI42tablebody"/>
              <w:jc w:val="left"/>
            </w:pPr>
            <w:r>
              <w:rPr>
                <w:b/>
                <w:sz w:val="14"/>
              </w:rPr>
              <w:t>Report [ref.]</w:t>
            </w:r>
          </w:p>
        </w:tc>
        <w:tc>
          <w:tcPr>
            <w:tcW w:type="dxa" w:w="1407"/>
            <w:tcW w:w="1900" w:type="dxa"/>
          </w:tcPr>
          <w:p>
            <w:pPr>
              <w:pStyle w:val="MDPI42tablebody"/>
              <w:jc w:val="left"/>
            </w:pPr>
            <w:r>
              <w:rPr>
                <w:b/>
                <w:sz w:val="14"/>
              </w:rPr>
              <w:t>DOI</w:t>
            </w:r>
          </w:p>
        </w:tc>
        <w:tc>
          <w:tcPr>
            <w:tcW w:type="dxa" w:w="1407"/>
            <w:tcW w:w="600" w:type="dxa"/>
          </w:tcPr>
          <w:p>
            <w:pPr>
              <w:pStyle w:val="MDPI42tablebody"/>
              <w:jc w:val="left"/>
            </w:pPr>
            <w:r>
              <w:rPr>
                <w:b/>
                <w:sz w:val="14"/>
              </w:rPr>
              <w:t>Dev P/D</w:t>
            </w:r>
          </w:p>
        </w:tc>
        <w:tc>
          <w:tcPr>
            <w:tcW w:type="dxa" w:w="1407"/>
            <w:tcW w:w="600" w:type="dxa"/>
          </w:tcPr>
          <w:p>
            <w:pPr>
              <w:pStyle w:val="MDPI42tablebody"/>
              <w:jc w:val="left"/>
            </w:pPr>
            <w:r>
              <w:rPr>
                <w:b/>
                <w:sz w:val="14"/>
              </w:rPr>
              <w:t>Dev Pred</w:t>
            </w:r>
          </w:p>
        </w:tc>
        <w:tc>
          <w:tcPr>
            <w:tcW w:type="dxa" w:w="1407"/>
            <w:tcW w:w="600" w:type="dxa"/>
          </w:tcPr>
          <w:p>
            <w:pPr>
              <w:pStyle w:val="MDPI42tablebody"/>
              <w:jc w:val="left"/>
            </w:pPr>
            <w:r>
              <w:rPr>
                <w:b/>
                <w:sz w:val="14"/>
              </w:rPr>
              <w:t>Dev Out</w:t>
            </w:r>
          </w:p>
        </w:tc>
        <w:tc>
          <w:tcPr>
            <w:tcW w:type="dxa" w:w="1407"/>
            <w:tcW w:w="660" w:type="dxa"/>
          </w:tcPr>
          <w:p>
            <w:pPr>
              <w:pStyle w:val="MDPI42tablebody"/>
              <w:jc w:val="left"/>
            </w:pPr>
            <w:r>
              <w:rPr>
                <w:b/>
                <w:sz w:val="14"/>
              </w:rPr>
              <w:t>Dev Overall</w:t>
            </w:r>
          </w:p>
        </w:tc>
        <w:tc>
          <w:tcPr>
            <w:tcW w:type="dxa" w:w="1407"/>
            <w:tcW w:w="600" w:type="dxa"/>
          </w:tcPr>
          <w:p>
            <w:pPr>
              <w:pStyle w:val="MDPI42tablebody"/>
              <w:jc w:val="left"/>
            </w:pPr>
            <w:r>
              <w:rPr>
                <w:b/>
                <w:sz w:val="14"/>
              </w:rPr>
              <w:t>Eval P/D</w:t>
            </w:r>
          </w:p>
        </w:tc>
        <w:tc>
          <w:tcPr>
            <w:tcW w:type="dxa" w:w="1407"/>
            <w:tcW w:w="600" w:type="dxa"/>
          </w:tcPr>
          <w:p>
            <w:pPr>
              <w:pStyle w:val="MDPI42tablebody"/>
              <w:jc w:val="left"/>
            </w:pPr>
            <w:r>
              <w:rPr>
                <w:b/>
                <w:sz w:val="14"/>
              </w:rPr>
              <w:t>Eval Pred</w:t>
            </w:r>
          </w:p>
        </w:tc>
        <w:tc>
          <w:tcPr>
            <w:tcW w:type="dxa" w:w="1407"/>
            <w:tcW w:w="600" w:type="dxa"/>
          </w:tcPr>
          <w:p>
            <w:pPr>
              <w:pStyle w:val="MDPI42tablebody"/>
              <w:jc w:val="left"/>
            </w:pPr>
            <w:r>
              <w:rPr>
                <w:b/>
                <w:sz w:val="14"/>
              </w:rPr>
              <w:t>Eval Out</w:t>
            </w:r>
          </w:p>
        </w:tc>
        <w:tc>
          <w:tcPr>
            <w:tcW w:type="dxa" w:w="1407"/>
            <w:tcW w:w="660" w:type="dxa"/>
          </w:tcPr>
          <w:p>
            <w:pPr>
              <w:pStyle w:val="MDPI42tablebody"/>
              <w:jc w:val="left"/>
            </w:pPr>
            <w:r>
              <w:rPr>
                <w:b/>
                <w:sz w:val="14"/>
              </w:rPr>
              <w:t>Eval Overall</w:t>
            </w:r>
          </w:p>
        </w:tc>
        <w:tc>
          <w:tcPr>
            <w:tcW w:type="dxa" w:w="1407"/>
            <w:tcW w:w="5900" w:type="dxa"/>
          </w:tcPr>
          <w:p>
            <w:pPr>
              <w:pStyle w:val="MDPI42tablebody"/>
              <w:jc w:val="left"/>
            </w:pPr>
            <w:r>
              <w:rPr>
                <w:b/>
                <w:sz w:val="14"/>
              </w:rPr>
              <w:t>Rationale</w:t>
            </w:r>
          </w:p>
        </w:tc>
      </w:tr>
      <w:tr>
        <w:tc>
          <w:tcPr>
            <w:tcW w:type="dxa" w:w="1407"/>
            <w:tcW w:w="1500" w:type="dxa"/>
          </w:tcPr>
          <w:p>
            <w:pPr>
              <w:pStyle w:val="MDPI42tablebody"/>
              <w:jc w:val="left"/>
            </w:pPr>
            <w:r>
              <w:rPr>
                <w:sz w:val="14"/>
              </w:rPr>
              <w:t>Marschollek et al. (2011) [17]</w:t>
            </w:r>
          </w:p>
        </w:tc>
        <w:tc>
          <w:tcPr>
            <w:tcW w:type="dxa" w:w="1407"/>
            <w:tcW w:w="1900" w:type="dxa"/>
          </w:tcPr>
          <w:p>
            <w:pPr>
              <w:pStyle w:val="MDPI42tablebody"/>
              <w:jc w:val="left"/>
            </w:pPr>
            <w:r>
              <w:rPr>
                <w:sz w:val="14"/>
              </w:rPr>
              <w:t>10.3414/ME10-01-0040</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Marschollek et al. (2011) [18]</w:t>
            </w:r>
          </w:p>
        </w:tc>
        <w:tc>
          <w:tcPr>
            <w:tcW w:type="dxa" w:w="1407"/>
            <w:tcW w:w="1900" w:type="dxa"/>
          </w:tcPr>
          <w:p>
            <w:pPr>
              <w:pStyle w:val="MDPI42tablebody"/>
              <w:jc w:val="left"/>
            </w:pPr>
            <w:r>
              <w:rPr>
                <w:sz w:val="14"/>
              </w:rPr>
              <w:t>10.1186/1472-6947-11-48</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Greene et al. (2012) [19]</w:t>
            </w:r>
          </w:p>
        </w:tc>
        <w:tc>
          <w:tcPr>
            <w:tcW w:type="dxa" w:w="1407"/>
            <w:tcW w:w="1900" w:type="dxa"/>
          </w:tcPr>
          <w:p>
            <w:pPr>
              <w:pStyle w:val="MDPI42tablebody"/>
              <w:jc w:val="left"/>
            </w:pPr>
            <w:r>
              <w:rPr>
                <w:sz w:val="14"/>
              </w:rPr>
              <w:t>10.1159/000337259</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5900" w:type="dxa"/>
          </w:tcPr>
          <w:p>
            <w:pPr>
              <w:pStyle w:val="MDPI42tablebody"/>
              <w:jc w:val="left"/>
            </w:pPr>
            <w:r>
              <w:rPr>
                <w:sz w:val="14"/>
              </w:rPr>
              <w:t>participants/data were applicable to the target population; the wearable/vision gait predictor was within scope; the prospective fall outcome was within scope.</w:t>
            </w:r>
          </w:p>
        </w:tc>
      </w:tr>
      <w:tr>
        <w:tc>
          <w:tcPr>
            <w:tcW w:type="dxa" w:w="1407"/>
            <w:tcW w:w="1500" w:type="dxa"/>
          </w:tcPr>
          <w:p>
            <w:pPr>
              <w:pStyle w:val="MDPI42tablebody"/>
              <w:jc w:val="left"/>
            </w:pPr>
            <w:r>
              <w:rPr>
                <w:sz w:val="14"/>
              </w:rPr>
              <w:t>Weiss et al. (2013) [20]</w:t>
            </w:r>
          </w:p>
        </w:tc>
        <w:tc>
          <w:tcPr>
            <w:tcW w:type="dxa" w:w="1407"/>
            <w:tcW w:w="1900" w:type="dxa"/>
          </w:tcPr>
          <w:p>
            <w:pPr>
              <w:pStyle w:val="MDPI42tablebody"/>
              <w:jc w:val="left"/>
            </w:pPr>
            <w:r>
              <w:rPr>
                <w:sz w:val="14"/>
              </w:rPr>
              <w:t>10.1177/1545968313491004</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5900" w:type="dxa"/>
          </w:tcPr>
          <w:p>
            <w:pPr>
              <w:pStyle w:val="MDPI42tablebody"/>
              <w:jc w:val="left"/>
            </w:pPr>
            <w:r>
              <w:rPr>
                <w:sz w:val="14"/>
              </w:rPr>
              <w:t>participants/data were applicable to the target population; the wearable/vision gait predictor was within scope; the prospective fall outcome was within scope.</w:t>
            </w:r>
          </w:p>
        </w:tc>
      </w:tr>
      <w:tr>
        <w:tc>
          <w:tcPr>
            <w:tcW w:type="dxa" w:w="1407"/>
            <w:tcW w:w="1500" w:type="dxa"/>
          </w:tcPr>
          <w:p>
            <w:pPr>
              <w:pStyle w:val="MDPI42tablebody"/>
              <w:jc w:val="left"/>
            </w:pPr>
            <w:r>
              <w:rPr>
                <w:sz w:val="14"/>
              </w:rPr>
              <w:t>Schwesig et al. (2013) [21]</w:t>
            </w:r>
          </w:p>
        </w:tc>
        <w:tc>
          <w:tcPr>
            <w:tcW w:type="dxa" w:w="1407"/>
            <w:tcW w:w="1900" w:type="dxa"/>
          </w:tcPr>
          <w:p>
            <w:pPr>
              <w:pStyle w:val="MDPI42tablebody"/>
              <w:jc w:val="left"/>
            </w:pPr>
            <w:r>
              <w:rPr>
                <w:sz w:val="14"/>
              </w:rPr>
              <w:t>10.1177/0269215512452880</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U</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U</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predictor implementation was insufficiently reproducible for a low-concern judgment; the prospective fall outcome was within scope.</w:t>
            </w:r>
          </w:p>
        </w:tc>
      </w:tr>
      <w:tr>
        <w:tc>
          <w:tcPr>
            <w:tcW w:type="dxa" w:w="1407"/>
            <w:tcW w:w="1500" w:type="dxa"/>
          </w:tcPr>
          <w:p>
            <w:pPr>
              <w:pStyle w:val="MDPI42tablebody"/>
              <w:jc w:val="left"/>
            </w:pPr>
            <w:r>
              <w:rPr>
                <w:sz w:val="14"/>
              </w:rPr>
              <w:t>Doi et al. (2013) [22]</w:t>
            </w:r>
          </w:p>
        </w:tc>
        <w:tc>
          <w:tcPr>
            <w:tcW w:type="dxa" w:w="1407"/>
            <w:tcW w:w="1900" w:type="dxa"/>
          </w:tcPr>
          <w:p>
            <w:pPr>
              <w:pStyle w:val="MDPI42tablebody"/>
              <w:jc w:val="left"/>
            </w:pPr>
            <w:r>
              <w:rPr>
                <w:sz w:val="14"/>
              </w:rPr>
              <w:t>10.1186/1743-0003-10-7</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5900" w:type="dxa"/>
          </w:tcPr>
          <w:p>
            <w:pPr>
              <w:pStyle w:val="MDPI42tablebody"/>
              <w:jc w:val="left"/>
            </w:pPr>
            <w:r>
              <w:rPr>
                <w:sz w:val="14"/>
              </w:rPr>
              <w:t>participants/data were applicable to the target population; the wearable/vision gait predictor was within scope; the prospective fall outcome was within scope.</w:t>
            </w:r>
          </w:p>
        </w:tc>
      </w:tr>
      <w:tr>
        <w:tc>
          <w:tcPr>
            <w:tcW w:type="dxa" w:w="1407"/>
            <w:tcW w:w="1500" w:type="dxa"/>
          </w:tcPr>
          <w:p>
            <w:pPr>
              <w:pStyle w:val="MDPI42tablebody"/>
              <w:jc w:val="left"/>
            </w:pPr>
            <w:r>
              <w:rPr>
                <w:sz w:val="14"/>
              </w:rPr>
              <w:t>Mignardot et al. (2014) [23]</w:t>
            </w:r>
          </w:p>
        </w:tc>
        <w:tc>
          <w:tcPr>
            <w:tcW w:type="dxa" w:w="1407"/>
            <w:tcW w:w="1900" w:type="dxa"/>
          </w:tcPr>
          <w:p>
            <w:pPr>
              <w:pStyle w:val="MDPI42tablebody"/>
              <w:jc w:val="left"/>
            </w:pPr>
            <w:r>
              <w:rPr>
                <w:sz w:val="14"/>
              </w:rPr>
              <w:t>10.3389/fnagi.2014.00022</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Schwenk et al. (2014) [24]</w:t>
            </w:r>
          </w:p>
        </w:tc>
        <w:tc>
          <w:tcPr>
            <w:tcW w:type="dxa" w:w="1407"/>
            <w:tcW w:w="1900" w:type="dxa"/>
          </w:tcPr>
          <w:p>
            <w:pPr>
              <w:pStyle w:val="MDPI42tablebody"/>
              <w:jc w:val="left"/>
            </w:pPr>
            <w:r>
              <w:rPr>
                <w:sz w:val="14"/>
              </w:rPr>
              <w:t>10.1159/000363136</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van Schooten et al. (2015) [25]</w:t>
            </w:r>
          </w:p>
        </w:tc>
        <w:tc>
          <w:tcPr>
            <w:tcW w:type="dxa" w:w="1407"/>
            <w:tcW w:w="1900" w:type="dxa"/>
          </w:tcPr>
          <w:p>
            <w:pPr>
              <w:pStyle w:val="MDPI42tablebody"/>
              <w:jc w:val="left"/>
            </w:pPr>
            <w:r>
              <w:rPr>
                <w:sz w:val="14"/>
              </w:rPr>
              <w:t>10.1093/gerona/glu225</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5900" w:type="dxa"/>
          </w:tcPr>
          <w:p>
            <w:pPr>
              <w:pStyle w:val="MDPI42tablebody"/>
              <w:jc w:val="left"/>
            </w:pPr>
            <w:r>
              <w:rPr>
                <w:sz w:val="14"/>
              </w:rPr>
              <w:t>participants/data were applicable to the target population; the wearable/vision gait predictor was within scope; the prospective fall outcome was within scope.</w:t>
            </w:r>
          </w:p>
        </w:tc>
      </w:tr>
      <w:tr>
        <w:tc>
          <w:tcPr>
            <w:tcW w:type="dxa" w:w="1407"/>
            <w:tcW w:w="1500" w:type="dxa"/>
          </w:tcPr>
          <w:p>
            <w:pPr>
              <w:pStyle w:val="MDPI42tablebody"/>
              <w:jc w:val="left"/>
            </w:pPr>
            <w:r>
              <w:rPr>
                <w:sz w:val="14"/>
              </w:rPr>
              <w:t>van Schooten et al. (2016) [26]</w:t>
            </w:r>
          </w:p>
        </w:tc>
        <w:tc>
          <w:tcPr>
            <w:tcW w:type="dxa" w:w="1407"/>
            <w:tcW w:w="1900" w:type="dxa"/>
          </w:tcPr>
          <w:p>
            <w:pPr>
              <w:pStyle w:val="MDPI42tablebody"/>
              <w:jc w:val="left"/>
            </w:pPr>
            <w:r>
              <w:rPr>
                <w:sz w:val="14"/>
              </w:rPr>
              <w:t>10.1371/journal.pone.0158623</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5900" w:type="dxa"/>
          </w:tcPr>
          <w:p>
            <w:pPr>
              <w:pStyle w:val="MDPI42tablebody"/>
              <w:jc w:val="left"/>
            </w:pPr>
            <w:r>
              <w:rPr>
                <w:sz w:val="14"/>
              </w:rPr>
              <w:t>participants/data were applicable to the target population; the wearable/vision gait predictor was within scope; the prospective fall outcome was within scope.</w:t>
            </w:r>
          </w:p>
        </w:tc>
      </w:tr>
      <w:tr>
        <w:tc>
          <w:tcPr>
            <w:tcW w:type="dxa" w:w="1407"/>
            <w:tcW w:w="1500" w:type="dxa"/>
          </w:tcPr>
          <w:p>
            <w:pPr>
              <w:pStyle w:val="MDPI42tablebody"/>
              <w:jc w:val="left"/>
            </w:pPr>
            <w:r>
              <w:rPr>
                <w:sz w:val="14"/>
              </w:rPr>
              <w:t>Drover et al. (2017) [28]</w:t>
            </w:r>
          </w:p>
        </w:tc>
        <w:tc>
          <w:tcPr>
            <w:tcW w:type="dxa" w:w="1407"/>
            <w:tcW w:w="1900" w:type="dxa"/>
          </w:tcPr>
          <w:p>
            <w:pPr>
              <w:pStyle w:val="MDPI42tablebody"/>
              <w:jc w:val="left"/>
            </w:pPr>
            <w:r>
              <w:rPr>
                <w:sz w:val="14"/>
              </w:rPr>
              <w:t>10.3390/s17061321</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5900" w:type="dxa"/>
          </w:tcPr>
          <w:p>
            <w:pPr>
              <w:pStyle w:val="MDPI42tablebody"/>
              <w:jc w:val="left"/>
            </w:pPr>
            <w:r>
              <w:rPr>
                <w:sz w:val="14"/>
              </w:rPr>
              <w:t>participants/data were applicable to the target population; the wearable/vision gait predictor was within scope; the prospective fall outcome was within scope.</w:t>
            </w:r>
          </w:p>
        </w:tc>
      </w:tr>
      <w:tr>
        <w:tc>
          <w:tcPr>
            <w:tcW w:type="dxa" w:w="1407"/>
            <w:tcW w:w="1500" w:type="dxa"/>
          </w:tcPr>
          <w:p>
            <w:pPr>
              <w:pStyle w:val="MDPI42tablebody"/>
              <w:jc w:val="left"/>
            </w:pPr>
            <w:r>
              <w:rPr>
                <w:sz w:val="14"/>
              </w:rPr>
              <w:t>Howcroft et al. (2017) [27]</w:t>
            </w:r>
          </w:p>
        </w:tc>
        <w:tc>
          <w:tcPr>
            <w:tcW w:type="dxa" w:w="1407"/>
            <w:tcW w:w="1900" w:type="dxa"/>
          </w:tcPr>
          <w:p>
            <w:pPr>
              <w:pStyle w:val="MDPI42tablebody"/>
              <w:jc w:val="left"/>
            </w:pPr>
            <w:r>
              <w:rPr>
                <w:sz w:val="14"/>
              </w:rPr>
              <w:t>10.1109/TNSRE.2017.2687100</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5900" w:type="dxa"/>
          </w:tcPr>
          <w:p>
            <w:pPr>
              <w:pStyle w:val="MDPI42tablebody"/>
              <w:jc w:val="left"/>
            </w:pPr>
            <w:r>
              <w:rPr>
                <w:sz w:val="14"/>
              </w:rPr>
              <w:t>participants/data were applicable to the target population; the wearable/vision gait predictor was within scope; the prospective fall outcome was within scope.</w:t>
            </w:r>
          </w:p>
        </w:tc>
      </w:tr>
      <w:tr>
        <w:tc>
          <w:tcPr>
            <w:tcW w:type="dxa" w:w="1407"/>
            <w:tcW w:w="1500" w:type="dxa"/>
          </w:tcPr>
          <w:p>
            <w:pPr>
              <w:pStyle w:val="MDPI42tablebody"/>
              <w:jc w:val="left"/>
            </w:pPr>
            <w:r>
              <w:rPr>
                <w:sz w:val="14"/>
              </w:rPr>
              <w:t>Greene et al. (2018) [29]</w:t>
            </w:r>
          </w:p>
        </w:tc>
        <w:tc>
          <w:tcPr>
            <w:tcW w:type="dxa" w:w="1407"/>
            <w:tcW w:w="1900" w:type="dxa"/>
          </w:tcPr>
          <w:p>
            <w:pPr>
              <w:pStyle w:val="MDPI42tablebody"/>
              <w:jc w:val="left"/>
            </w:pPr>
            <w:r>
              <w:rPr>
                <w:sz w:val="14"/>
              </w:rPr>
              <w:t>10.1177/2055668317750811</w:t>
            </w:r>
          </w:p>
        </w:tc>
        <w:tc>
          <w:tcPr>
            <w:tcW w:type="dxa" w:w="1407"/>
            <w:tcW w:w="600" w:type="dxa"/>
          </w:tcPr>
          <w:p>
            <w:pPr>
              <w:pStyle w:val="MDPI42tablebody"/>
              <w:jc w:val="left"/>
            </w:pPr>
            <w:r>
              <w:rPr>
                <w:sz w:val="14"/>
              </w:rPr>
              <w:t>NA</w:t>
            </w:r>
          </w:p>
        </w:tc>
        <w:tc>
          <w:tcPr>
            <w:tcW w:type="dxa" w:w="1407"/>
            <w:tcW w:w="600" w:type="dxa"/>
          </w:tcPr>
          <w:p>
            <w:pPr>
              <w:pStyle w:val="MDPI42tablebody"/>
              <w:jc w:val="left"/>
            </w:pPr>
            <w:r>
              <w:rPr>
                <w:sz w:val="14"/>
              </w:rPr>
              <w:t>NA</w:t>
            </w:r>
          </w:p>
        </w:tc>
        <w:tc>
          <w:tcPr>
            <w:tcW w:type="dxa" w:w="1407"/>
            <w:tcW w:w="600" w:type="dxa"/>
          </w:tcPr>
          <w:p>
            <w:pPr>
              <w:pStyle w:val="MDPI42tablebody"/>
              <w:jc w:val="left"/>
            </w:pPr>
            <w:r>
              <w:rPr>
                <w:sz w:val="14"/>
              </w:rPr>
              <w:t>NA</w:t>
            </w:r>
          </w:p>
        </w:tc>
        <w:tc>
          <w:tcPr>
            <w:tcW w:type="dxa" w:w="1407"/>
            <w:tcW w:w="660" w:type="dxa"/>
          </w:tcPr>
          <w:p>
            <w:pPr>
              <w:pStyle w:val="MDPI42tablebody"/>
              <w:jc w:val="left"/>
            </w:pPr>
            <w:r>
              <w:rPr>
                <w:sz w:val="14"/>
              </w:rPr>
              <w:t>NA</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Development: Part A applicability was not applicable because the report did not develop or update a model. Evaluation: 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Ihlen et al. (2018) [30]</w:t>
            </w:r>
          </w:p>
        </w:tc>
        <w:tc>
          <w:tcPr>
            <w:tcW w:type="dxa" w:w="1407"/>
            <w:tcW w:w="1900" w:type="dxa"/>
          </w:tcPr>
          <w:p>
            <w:pPr>
              <w:pStyle w:val="MDPI42tablebody"/>
              <w:jc w:val="left"/>
            </w:pPr>
            <w:r>
              <w:rPr>
                <w:sz w:val="14"/>
              </w:rPr>
              <w:t>10.3389/fnagi.2018.00044</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Nait Aicha et al. (2018) [31]</w:t>
            </w:r>
          </w:p>
        </w:tc>
        <w:tc>
          <w:tcPr>
            <w:tcW w:type="dxa" w:w="1407"/>
            <w:tcW w:w="1900" w:type="dxa"/>
          </w:tcPr>
          <w:p>
            <w:pPr>
              <w:pStyle w:val="MDPI42tablebody"/>
              <w:jc w:val="left"/>
            </w:pPr>
            <w:r>
              <w:rPr>
                <w:sz w:val="14"/>
              </w:rPr>
              <w:t>10.3390/s18051654</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5900" w:type="dxa"/>
          </w:tcPr>
          <w:p>
            <w:pPr>
              <w:pStyle w:val="MDPI42tablebody"/>
              <w:jc w:val="left"/>
            </w:pPr>
            <w:r>
              <w:rPr>
                <w:sz w:val="14"/>
              </w:rPr>
              <w:t>participants/data were applicable to the target population; the wearable/vision gait predictor was within scope; the prospective fall outcome was within scope.</w:t>
            </w:r>
          </w:p>
        </w:tc>
      </w:tr>
      <w:tr>
        <w:tc>
          <w:tcPr>
            <w:tcW w:type="dxa" w:w="1407"/>
            <w:tcW w:w="1500" w:type="dxa"/>
          </w:tcPr>
          <w:p>
            <w:pPr>
              <w:pStyle w:val="MDPI42tablebody"/>
              <w:jc w:val="left"/>
            </w:pPr>
            <w:r>
              <w:rPr>
                <w:sz w:val="14"/>
              </w:rPr>
              <w:t>Howcroft et al. (2018) [32]</w:t>
            </w:r>
          </w:p>
        </w:tc>
        <w:tc>
          <w:tcPr>
            <w:tcW w:type="dxa" w:w="1407"/>
            <w:tcW w:w="1900" w:type="dxa"/>
          </w:tcPr>
          <w:p>
            <w:pPr>
              <w:pStyle w:val="MDPI42tablebody"/>
              <w:jc w:val="left"/>
            </w:pPr>
            <w:r>
              <w:rPr>
                <w:sz w:val="14"/>
              </w:rPr>
              <w:t>10.1016/j.bspc.2018.03.005</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5900" w:type="dxa"/>
          </w:tcPr>
          <w:p>
            <w:pPr>
              <w:pStyle w:val="MDPI42tablebody"/>
              <w:jc w:val="left"/>
            </w:pPr>
            <w:r>
              <w:rPr>
                <w:sz w:val="14"/>
              </w:rPr>
              <w:t>participants/data were applicable to the target population; the wearable/vision gait predictor was within scope; the prospective fall outcome was within scope.</w:t>
            </w:r>
          </w:p>
        </w:tc>
      </w:tr>
      <w:tr>
        <w:tc>
          <w:tcPr>
            <w:tcW w:type="dxa" w:w="1407"/>
            <w:tcW w:w="1500" w:type="dxa"/>
          </w:tcPr>
          <w:p>
            <w:pPr>
              <w:pStyle w:val="MDPI42tablebody"/>
              <w:jc w:val="left"/>
            </w:pPr>
            <w:r>
              <w:rPr>
                <w:sz w:val="14"/>
              </w:rPr>
              <w:t>Bizovska et al. (2018) [33]</w:t>
            </w:r>
          </w:p>
        </w:tc>
        <w:tc>
          <w:tcPr>
            <w:tcW w:type="dxa" w:w="1407"/>
            <w:tcW w:w="1900" w:type="dxa"/>
          </w:tcPr>
          <w:p>
            <w:pPr>
              <w:pStyle w:val="MDPI42tablebody"/>
              <w:jc w:val="left"/>
            </w:pPr>
            <w:r>
              <w:rPr>
                <w:sz w:val="14"/>
              </w:rPr>
              <w:t>10.1371/journal.pone.0197091</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5900" w:type="dxa"/>
          </w:tcPr>
          <w:p>
            <w:pPr>
              <w:pStyle w:val="MDPI42tablebody"/>
              <w:jc w:val="left"/>
            </w:pPr>
            <w:r>
              <w:rPr>
                <w:sz w:val="14"/>
              </w:rPr>
              <w:t>participants/data were applicable to the target population; the wearable/vision gait predictor was within scope; the prospective fall outcome was within scope.</w:t>
            </w:r>
          </w:p>
        </w:tc>
      </w:tr>
      <w:tr>
        <w:tc>
          <w:tcPr>
            <w:tcW w:type="dxa" w:w="1407"/>
            <w:tcW w:w="1500" w:type="dxa"/>
          </w:tcPr>
          <w:p>
            <w:pPr>
              <w:pStyle w:val="MDPI42tablebody"/>
              <w:jc w:val="left"/>
            </w:pPr>
            <w:r>
              <w:rPr>
                <w:sz w:val="14"/>
              </w:rPr>
              <w:t>Marques et al. (2018) [34]</w:t>
            </w:r>
          </w:p>
        </w:tc>
        <w:tc>
          <w:tcPr>
            <w:tcW w:type="dxa" w:w="1407"/>
            <w:tcW w:w="1900" w:type="dxa"/>
          </w:tcPr>
          <w:p>
            <w:pPr>
              <w:pStyle w:val="MDPI42tablebody"/>
              <w:jc w:val="left"/>
            </w:pPr>
            <w:r>
              <w:rPr>
                <w:sz w:val="14"/>
              </w:rPr>
              <w:t>10.1016/j.clinbiomech.2018.08.006</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5900" w:type="dxa"/>
          </w:tcPr>
          <w:p>
            <w:pPr>
              <w:pStyle w:val="MDPI42tablebody"/>
              <w:jc w:val="left"/>
            </w:pPr>
            <w:r>
              <w:rPr>
                <w:sz w:val="14"/>
              </w:rPr>
              <w:t>participants/data were applicable to the target population; the wearable/vision gait predictor was within scope; the prospective fall outcome was within scope.</w:t>
            </w:r>
          </w:p>
        </w:tc>
      </w:tr>
      <w:tr>
        <w:tc>
          <w:tcPr>
            <w:tcW w:type="dxa" w:w="1407"/>
            <w:tcW w:w="1500" w:type="dxa"/>
          </w:tcPr>
          <w:p>
            <w:pPr>
              <w:pStyle w:val="MDPI42tablebody"/>
              <w:jc w:val="left"/>
            </w:pPr>
            <w:r>
              <w:rPr>
                <w:sz w:val="14"/>
              </w:rPr>
              <w:t>Lo et al. (2019) [35]</w:t>
            </w:r>
          </w:p>
        </w:tc>
        <w:tc>
          <w:tcPr>
            <w:tcW w:type="dxa" w:w="1407"/>
            <w:tcW w:w="1900" w:type="dxa"/>
          </w:tcPr>
          <w:p>
            <w:pPr>
              <w:pStyle w:val="MDPI42tablebody"/>
              <w:jc w:val="left"/>
            </w:pPr>
            <w:r>
              <w:rPr>
                <w:sz w:val="14"/>
              </w:rPr>
              <w:t>10.1002/acn3.50853</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Marques et al. (2019) [36]</w:t>
            </w:r>
          </w:p>
        </w:tc>
        <w:tc>
          <w:tcPr>
            <w:tcW w:type="dxa" w:w="1407"/>
            <w:tcW w:w="1900" w:type="dxa"/>
          </w:tcPr>
          <w:p>
            <w:pPr>
              <w:pStyle w:val="MDPI42tablebody"/>
              <w:jc w:val="left"/>
            </w:pPr>
            <w:r>
              <w:rPr>
                <w:sz w:val="14"/>
              </w:rPr>
              <w:t>10.1016/j.clinbiomech.2019.04.011</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Gillain et al. (2019) [37]</w:t>
            </w:r>
          </w:p>
        </w:tc>
        <w:tc>
          <w:tcPr>
            <w:tcW w:type="dxa" w:w="1407"/>
            <w:tcW w:w="1900" w:type="dxa"/>
          </w:tcPr>
          <w:p>
            <w:pPr>
              <w:pStyle w:val="MDPI42tablebody"/>
              <w:jc w:val="left"/>
            </w:pPr>
            <w:r>
              <w:rPr>
                <w:sz w:val="14"/>
              </w:rPr>
              <w:t>10.1016/j.exger.2019.110730</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Buisseret et al. (2020) [38]</w:t>
            </w:r>
          </w:p>
        </w:tc>
        <w:tc>
          <w:tcPr>
            <w:tcW w:type="dxa" w:w="1407"/>
            <w:tcW w:w="1900" w:type="dxa"/>
          </w:tcPr>
          <w:p>
            <w:pPr>
              <w:pStyle w:val="MDPI42tablebody"/>
              <w:jc w:val="left"/>
            </w:pPr>
            <w:r>
              <w:rPr>
                <w:sz w:val="14"/>
              </w:rPr>
              <w:t>10.3390/s20113207</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Silva et al. (2020) [39]</w:t>
            </w:r>
          </w:p>
        </w:tc>
        <w:tc>
          <w:tcPr>
            <w:tcW w:type="dxa" w:w="1407"/>
            <w:tcW w:w="1900" w:type="dxa"/>
          </w:tcPr>
          <w:p>
            <w:pPr>
              <w:pStyle w:val="MDPI42tablebody"/>
              <w:jc w:val="left"/>
            </w:pPr>
            <w:r>
              <w:rPr>
                <w:sz w:val="14"/>
              </w:rPr>
              <w:t>10.1109/JBHI.2019.2951230</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5900" w:type="dxa"/>
          </w:tcPr>
          <w:p>
            <w:pPr>
              <w:pStyle w:val="MDPI42tablebody"/>
              <w:jc w:val="left"/>
            </w:pPr>
            <w:r>
              <w:rPr>
                <w:sz w:val="14"/>
              </w:rPr>
              <w:t>participants/data were applicable to the target population; the wearable/vision gait predictor was within scope; the prospective fall outcome was within scope.</w:t>
            </w:r>
          </w:p>
        </w:tc>
      </w:tr>
      <w:tr>
        <w:tc>
          <w:tcPr>
            <w:tcW w:type="dxa" w:w="1407"/>
            <w:tcW w:w="1500" w:type="dxa"/>
          </w:tcPr>
          <w:p>
            <w:pPr>
              <w:pStyle w:val="MDPI42tablebody"/>
              <w:jc w:val="left"/>
            </w:pPr>
            <w:r>
              <w:rPr>
                <w:sz w:val="14"/>
              </w:rPr>
              <w:t>Sturchio et al. (2021) [40]</w:t>
            </w:r>
          </w:p>
        </w:tc>
        <w:tc>
          <w:tcPr>
            <w:tcW w:type="dxa" w:w="1407"/>
            <w:tcW w:w="1900" w:type="dxa"/>
          </w:tcPr>
          <w:p>
            <w:pPr>
              <w:pStyle w:val="MDPI42tablebody"/>
              <w:jc w:val="left"/>
            </w:pPr>
            <w:r>
              <w:rPr>
                <w:sz w:val="14"/>
              </w:rPr>
              <w:t>10.1007/s00415-020-10240-8</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Bet et al. (2021) [41]</w:t>
            </w:r>
          </w:p>
        </w:tc>
        <w:tc>
          <w:tcPr>
            <w:tcW w:type="dxa" w:w="1407"/>
            <w:tcW w:w="1900" w:type="dxa"/>
          </w:tcPr>
          <w:p>
            <w:pPr>
              <w:pStyle w:val="MDPI42tablebody"/>
              <w:jc w:val="left"/>
            </w:pPr>
            <w:r>
              <w:rPr>
                <w:sz w:val="14"/>
              </w:rPr>
              <w:t>10.1016/j.exger.2020.111139</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Mehdizadeh et al. (2021) [42]</w:t>
            </w:r>
          </w:p>
        </w:tc>
        <w:tc>
          <w:tcPr>
            <w:tcW w:type="dxa" w:w="1407"/>
            <w:tcW w:w="1900" w:type="dxa"/>
          </w:tcPr>
          <w:p>
            <w:pPr>
              <w:pStyle w:val="MDPI42tablebody"/>
              <w:jc w:val="left"/>
            </w:pPr>
            <w:r>
              <w:rPr>
                <w:sz w:val="14"/>
              </w:rPr>
              <w:t>10.1016/j.jamda.2020.07.030</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Lockhart et al. (2021) [43]</w:t>
            </w:r>
          </w:p>
        </w:tc>
        <w:tc>
          <w:tcPr>
            <w:tcW w:type="dxa" w:w="1407"/>
            <w:tcW w:w="1900" w:type="dxa"/>
          </w:tcPr>
          <w:p>
            <w:pPr>
              <w:pStyle w:val="MDPI42tablebody"/>
              <w:jc w:val="left"/>
            </w:pPr>
            <w:r>
              <w:rPr>
                <w:sz w:val="14"/>
              </w:rPr>
              <w:t>10.1038/s41598-021-00458-5</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H</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5900" w:type="dxa"/>
          </w:tcPr>
          <w:p>
            <w:pPr>
              <w:pStyle w:val="MDPI42tablebody"/>
              <w:jc w:val="left"/>
            </w:pPr>
            <w:r>
              <w:rPr>
                <w:sz w:val="14"/>
              </w:rPr>
              <w:t>Development: participants/data were applicable to the target population; the wearable/vision gait predictor was within scope; the development target or reported performance did not align cleanly with prospective falls. Evaluation: participants/data were applicable to the target population; the wearable/vision gait predictor was within scope; the prospective fall outcome was within scope.</w:t>
            </w:r>
          </w:p>
        </w:tc>
      </w:tr>
      <w:tr>
        <w:tc>
          <w:tcPr>
            <w:tcW w:type="dxa" w:w="1407"/>
            <w:tcW w:w="1500" w:type="dxa"/>
          </w:tcPr>
          <w:p>
            <w:pPr>
              <w:pStyle w:val="MDPI42tablebody"/>
              <w:jc w:val="left"/>
            </w:pPr>
            <w:r>
              <w:rPr>
                <w:sz w:val="14"/>
              </w:rPr>
              <w:t>Roshdibenam et al. (2021) [44]</w:t>
            </w:r>
          </w:p>
        </w:tc>
        <w:tc>
          <w:tcPr>
            <w:tcW w:type="dxa" w:w="1407"/>
            <w:tcW w:w="1900" w:type="dxa"/>
          </w:tcPr>
          <w:p>
            <w:pPr>
              <w:pStyle w:val="MDPI42tablebody"/>
              <w:jc w:val="left"/>
            </w:pPr>
            <w:r>
              <w:rPr>
                <w:sz w:val="14"/>
              </w:rPr>
              <w:t>10.3390/s21103481</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H</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H</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development target or reported performance did not align cleanly with prospective falls.</w:t>
            </w:r>
          </w:p>
        </w:tc>
      </w:tr>
      <w:tr>
        <w:tc>
          <w:tcPr>
            <w:tcW w:type="dxa" w:w="1407"/>
            <w:tcW w:w="1500" w:type="dxa"/>
          </w:tcPr>
          <w:p>
            <w:pPr>
              <w:pStyle w:val="MDPI42tablebody"/>
              <w:jc w:val="left"/>
            </w:pPr>
            <w:r>
              <w:rPr>
                <w:sz w:val="14"/>
              </w:rPr>
              <w:t>Greene et al. (2022) [45]</w:t>
            </w:r>
          </w:p>
        </w:tc>
        <w:tc>
          <w:tcPr>
            <w:tcW w:type="dxa" w:w="1407"/>
            <w:tcW w:w="1900" w:type="dxa"/>
          </w:tcPr>
          <w:p>
            <w:pPr>
              <w:pStyle w:val="MDPI42tablebody"/>
              <w:jc w:val="left"/>
            </w:pPr>
            <w:r>
              <w:rPr>
                <w:sz w:val="14"/>
              </w:rPr>
              <w:t>10.3390/s22010054</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Kelly et al. (2022) [46]</w:t>
            </w:r>
          </w:p>
        </w:tc>
        <w:tc>
          <w:tcPr>
            <w:tcW w:type="dxa" w:w="1407"/>
            <w:tcW w:w="1900" w:type="dxa"/>
          </w:tcPr>
          <w:p>
            <w:pPr>
              <w:pStyle w:val="MDPI42tablebody"/>
              <w:jc w:val="left"/>
            </w:pPr>
            <w:r>
              <w:rPr>
                <w:sz w:val="14"/>
              </w:rPr>
              <w:t>10.1016/j.jbi.2022.104116</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Dierick et al. (2022) [47]</w:t>
            </w:r>
          </w:p>
        </w:tc>
        <w:tc>
          <w:tcPr>
            <w:tcW w:type="dxa" w:w="1407"/>
            <w:tcW w:w="1900" w:type="dxa"/>
          </w:tcPr>
          <w:p>
            <w:pPr>
              <w:pStyle w:val="MDPI42tablebody"/>
              <w:jc w:val="left"/>
            </w:pPr>
            <w:r>
              <w:rPr>
                <w:sz w:val="14"/>
              </w:rPr>
              <w:t>10.3390/s22062339</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Ma et al. (2022) [48]</w:t>
            </w:r>
          </w:p>
        </w:tc>
        <w:tc>
          <w:tcPr>
            <w:tcW w:type="dxa" w:w="1407"/>
            <w:tcW w:w="1900" w:type="dxa"/>
          </w:tcPr>
          <w:p>
            <w:pPr>
              <w:pStyle w:val="MDPI42tablebody"/>
              <w:jc w:val="left"/>
            </w:pPr>
            <w:r>
              <w:rPr>
                <w:sz w:val="14"/>
              </w:rPr>
              <w:t>10.1080/00207454.2020.1849189</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U</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U</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predictor implementation was insufficiently reproducible for a low-concern judgment; the prospective fall outcome was within scope.</w:t>
            </w:r>
          </w:p>
        </w:tc>
      </w:tr>
      <w:tr>
        <w:tc>
          <w:tcPr>
            <w:tcW w:type="dxa" w:w="1407"/>
            <w:tcW w:w="1500" w:type="dxa"/>
          </w:tcPr>
          <w:p>
            <w:pPr>
              <w:pStyle w:val="MDPI42tablebody"/>
              <w:jc w:val="left"/>
            </w:pPr>
            <w:r>
              <w:rPr>
                <w:sz w:val="14"/>
              </w:rPr>
              <w:t>Dasgupta et al. (2022) [49]</w:t>
            </w:r>
          </w:p>
        </w:tc>
        <w:tc>
          <w:tcPr>
            <w:tcW w:type="dxa" w:w="1407"/>
            <w:tcW w:w="1900" w:type="dxa"/>
          </w:tcPr>
          <w:p>
            <w:pPr>
              <w:pStyle w:val="MDPI42tablebody"/>
              <w:jc w:val="left"/>
            </w:pPr>
            <w:r>
              <w:rPr>
                <w:sz w:val="14"/>
              </w:rPr>
              <w:t>10.1016/j.ajem.2021.12.071</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Caronni et al. (2023) [50]</w:t>
            </w:r>
          </w:p>
        </w:tc>
        <w:tc>
          <w:tcPr>
            <w:tcW w:type="dxa" w:w="1407"/>
            <w:tcW w:w="1900" w:type="dxa"/>
          </w:tcPr>
          <w:p>
            <w:pPr>
              <w:pStyle w:val="MDPI42tablebody"/>
              <w:jc w:val="left"/>
            </w:pPr>
            <w:r>
              <w:rPr>
                <w:sz w:val="14"/>
              </w:rPr>
              <w:t>10.3389/fneur.2023.1228302</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Horak et al. (2023) [51]</w:t>
            </w:r>
          </w:p>
        </w:tc>
        <w:tc>
          <w:tcPr>
            <w:tcW w:type="dxa" w:w="1407"/>
            <w:tcW w:w="1900" w:type="dxa"/>
          </w:tcPr>
          <w:p>
            <w:pPr>
              <w:pStyle w:val="MDPI42tablebody"/>
              <w:jc w:val="left"/>
            </w:pPr>
            <w:r>
              <w:rPr>
                <w:sz w:val="14"/>
              </w:rPr>
              <w:t>10.1007/s11357-022-00675-4</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Ullrich et al. (2023) [52]</w:t>
            </w:r>
          </w:p>
        </w:tc>
        <w:tc>
          <w:tcPr>
            <w:tcW w:type="dxa" w:w="1407"/>
            <w:tcW w:w="1900" w:type="dxa"/>
          </w:tcPr>
          <w:p>
            <w:pPr>
              <w:pStyle w:val="MDPI42tablebody"/>
              <w:jc w:val="left"/>
            </w:pPr>
            <w:r>
              <w:rPr>
                <w:sz w:val="14"/>
              </w:rPr>
              <w:t>10.1109/JBHI.2022.3215921</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Al Abiad et al. (2023) [53]</w:t>
            </w:r>
          </w:p>
        </w:tc>
        <w:tc>
          <w:tcPr>
            <w:tcW w:type="dxa" w:w="1407"/>
            <w:tcW w:w="1900" w:type="dxa"/>
          </w:tcPr>
          <w:p>
            <w:pPr>
              <w:pStyle w:val="MDPI42tablebody"/>
              <w:jc w:val="left"/>
            </w:pPr>
            <w:r>
              <w:rPr>
                <w:sz w:val="14"/>
              </w:rPr>
              <w:t>10.2196/49587</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5900" w:type="dxa"/>
          </w:tcPr>
          <w:p>
            <w:pPr>
              <w:pStyle w:val="MDPI42tablebody"/>
              <w:jc w:val="left"/>
            </w:pPr>
            <w:r>
              <w:rPr>
                <w:sz w:val="14"/>
              </w:rPr>
              <w:t>participants/data were applicable to the target population; the wearable/vision gait predictor was within scope; the prospective fall outcome was within scope.</w:t>
            </w:r>
          </w:p>
        </w:tc>
      </w:tr>
      <w:tr>
        <w:tc>
          <w:tcPr>
            <w:tcW w:type="dxa" w:w="1407"/>
            <w:tcW w:w="1500" w:type="dxa"/>
          </w:tcPr>
          <w:p>
            <w:pPr>
              <w:pStyle w:val="MDPI42tablebody"/>
              <w:jc w:val="left"/>
            </w:pPr>
            <w:r>
              <w:rPr>
                <w:sz w:val="14"/>
              </w:rPr>
              <w:t>Adeli et al. (2023) [54]</w:t>
            </w:r>
          </w:p>
        </w:tc>
        <w:tc>
          <w:tcPr>
            <w:tcW w:type="dxa" w:w="1407"/>
            <w:tcW w:w="1900" w:type="dxa"/>
          </w:tcPr>
          <w:p>
            <w:pPr>
              <w:pStyle w:val="MDPI42tablebody"/>
              <w:jc w:val="left"/>
            </w:pPr>
            <w:r>
              <w:rPr>
                <w:sz w:val="14"/>
              </w:rPr>
              <w:t>10.1109/JBHI.2023.3267039</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Shah et al. (2023) [55]</w:t>
            </w:r>
          </w:p>
        </w:tc>
        <w:tc>
          <w:tcPr>
            <w:tcW w:type="dxa" w:w="1407"/>
            <w:tcW w:w="1900" w:type="dxa"/>
          </w:tcPr>
          <w:p>
            <w:pPr>
              <w:pStyle w:val="MDPI42tablebody"/>
              <w:jc w:val="left"/>
            </w:pPr>
            <w:r>
              <w:rPr>
                <w:sz w:val="14"/>
              </w:rPr>
              <w:t>10.3389/fneur.2023.1096401</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Sotirakis et al. (2024) [56]</w:t>
            </w:r>
          </w:p>
        </w:tc>
        <w:tc>
          <w:tcPr>
            <w:tcW w:type="dxa" w:w="1407"/>
            <w:tcW w:w="1900" w:type="dxa"/>
          </w:tcPr>
          <w:p>
            <w:pPr>
              <w:pStyle w:val="MDPI42tablebody"/>
              <w:jc w:val="left"/>
            </w:pPr>
            <w:r>
              <w:rPr>
                <w:sz w:val="14"/>
              </w:rPr>
              <w:t>10.1038/s41746-024-01311-5</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Zhang et al. (2024) [57]</w:t>
            </w:r>
          </w:p>
        </w:tc>
        <w:tc>
          <w:tcPr>
            <w:tcW w:type="dxa" w:w="1407"/>
            <w:tcW w:w="1900" w:type="dxa"/>
          </w:tcPr>
          <w:p>
            <w:pPr>
              <w:pStyle w:val="MDPI42tablebody"/>
              <w:jc w:val="left"/>
            </w:pPr>
            <w:r>
              <w:rPr>
                <w:sz w:val="14"/>
              </w:rPr>
              <w:t>10.1109/TNSRE.2024.3510300</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Maiora et al. (2024) [58]</w:t>
            </w:r>
          </w:p>
        </w:tc>
        <w:tc>
          <w:tcPr>
            <w:tcW w:type="dxa" w:w="1407"/>
            <w:tcW w:w="1900" w:type="dxa"/>
          </w:tcPr>
          <w:p>
            <w:pPr>
              <w:pStyle w:val="MDPI42tablebody"/>
              <w:jc w:val="left"/>
            </w:pPr>
            <w:r>
              <w:rPr>
                <w:sz w:val="14"/>
              </w:rPr>
              <w:t>10.3390/bioengineering11101000</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Zhang et al. (2024) [59]</w:t>
            </w:r>
          </w:p>
        </w:tc>
        <w:tc>
          <w:tcPr>
            <w:tcW w:type="dxa" w:w="1407"/>
            <w:tcW w:w="1900" w:type="dxa"/>
          </w:tcPr>
          <w:p>
            <w:pPr>
              <w:pStyle w:val="MDPI42tablebody"/>
              <w:jc w:val="left"/>
            </w:pPr>
            <w:r>
              <w:rPr>
                <w:sz w:val="14"/>
              </w:rPr>
              <w:t>10.1016/j.jamda.2024.105107</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Development: participants/data were applicable to the target population; the wearable/vision gait predictor was within scope; the prospective fall outcome was within scope. Evaluation: participants/data were applicable to the target population; predictor reconstruction or measurement differed materially from development; the prospective fall outcome was within scope.</w:t>
            </w:r>
          </w:p>
        </w:tc>
      </w:tr>
      <w:tr>
        <w:tc>
          <w:tcPr>
            <w:tcW w:type="dxa" w:w="1407"/>
            <w:tcW w:w="1500" w:type="dxa"/>
          </w:tcPr>
          <w:p>
            <w:pPr>
              <w:pStyle w:val="MDPI42tablebody"/>
              <w:jc w:val="left"/>
            </w:pPr>
            <w:r>
              <w:rPr>
                <w:sz w:val="14"/>
              </w:rPr>
              <w:t>Lai et al. (2025) [60]</w:t>
            </w:r>
          </w:p>
        </w:tc>
        <w:tc>
          <w:tcPr>
            <w:tcW w:type="dxa" w:w="1407"/>
            <w:tcW w:w="1900" w:type="dxa"/>
          </w:tcPr>
          <w:p>
            <w:pPr>
              <w:pStyle w:val="MDPI42tablebody"/>
              <w:jc w:val="left"/>
            </w:pPr>
            <w:r>
              <w:rPr>
                <w:sz w:val="14"/>
              </w:rPr>
              <w:t>10.3390/s25082516</w:t>
            </w:r>
          </w:p>
        </w:tc>
        <w:tc>
          <w:tcPr>
            <w:tcW w:type="dxa" w:w="1407"/>
            <w:tcW w:w="600" w:type="dxa"/>
          </w:tcPr>
          <w:p>
            <w:pPr>
              <w:pStyle w:val="MDPI42tablebody"/>
              <w:jc w:val="left"/>
            </w:pPr>
            <w:r>
              <w:rPr>
                <w:sz w:val="14"/>
              </w:rPr>
              <w:t>NA</w:t>
            </w:r>
          </w:p>
        </w:tc>
        <w:tc>
          <w:tcPr>
            <w:tcW w:type="dxa" w:w="1407"/>
            <w:tcW w:w="600" w:type="dxa"/>
          </w:tcPr>
          <w:p>
            <w:pPr>
              <w:pStyle w:val="MDPI42tablebody"/>
              <w:jc w:val="left"/>
            </w:pPr>
            <w:r>
              <w:rPr>
                <w:sz w:val="14"/>
              </w:rPr>
              <w:t>NA</w:t>
            </w:r>
          </w:p>
        </w:tc>
        <w:tc>
          <w:tcPr>
            <w:tcW w:type="dxa" w:w="1407"/>
            <w:tcW w:w="600" w:type="dxa"/>
          </w:tcPr>
          <w:p>
            <w:pPr>
              <w:pStyle w:val="MDPI42tablebody"/>
              <w:jc w:val="left"/>
            </w:pPr>
            <w:r>
              <w:rPr>
                <w:sz w:val="14"/>
              </w:rPr>
              <w:t>NA</w:t>
            </w:r>
          </w:p>
        </w:tc>
        <w:tc>
          <w:tcPr>
            <w:tcW w:type="dxa" w:w="1407"/>
            <w:tcW w:w="660" w:type="dxa"/>
          </w:tcPr>
          <w:p>
            <w:pPr>
              <w:pStyle w:val="MDPI42tablebody"/>
              <w:jc w:val="left"/>
            </w:pPr>
            <w:r>
              <w:rPr>
                <w:sz w:val="14"/>
              </w:rPr>
              <w:t>NA</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U</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U</w:t>
            </w:r>
          </w:p>
        </w:tc>
        <w:tc>
          <w:tcPr>
            <w:tcW w:type="dxa" w:w="1407"/>
            <w:tcW w:w="5900" w:type="dxa"/>
          </w:tcPr>
          <w:p>
            <w:pPr>
              <w:pStyle w:val="MDPI42tablebody"/>
              <w:jc w:val="left"/>
            </w:pPr>
            <w:r>
              <w:rPr>
                <w:sz w:val="14"/>
              </w:rPr>
              <w:t>Development: Part A applicability was not applicable because the report did not develop or update a model. Evaluation: participants/data were applicable to the target population; predictor implementation was insufficiently reproducible for a low-concern judgment; the prospective fall outcome was within scope.</w:t>
            </w:r>
          </w:p>
        </w:tc>
      </w:tr>
      <w:tr>
        <w:tc>
          <w:tcPr>
            <w:tcW w:type="dxa" w:w="1407"/>
            <w:tcW w:w="1500" w:type="dxa"/>
          </w:tcPr>
          <w:p>
            <w:pPr>
              <w:pStyle w:val="MDPI42tablebody"/>
              <w:jc w:val="left"/>
            </w:pPr>
            <w:r>
              <w:rPr>
                <w:sz w:val="14"/>
              </w:rPr>
              <w:t>Giardini et al. (2025) [61]</w:t>
            </w:r>
          </w:p>
        </w:tc>
        <w:tc>
          <w:tcPr>
            <w:tcW w:type="dxa" w:w="1407"/>
            <w:tcW w:w="1900" w:type="dxa"/>
          </w:tcPr>
          <w:p>
            <w:pPr>
              <w:pStyle w:val="MDPI42tablebody"/>
              <w:jc w:val="left"/>
            </w:pPr>
            <w:r>
              <w:rPr>
                <w:sz w:val="14"/>
              </w:rPr>
              <w:t>10.1016/j.gaitpost.2025.08.074</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U</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U</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predictor implementation was insufficiently reproducible for a low-concern judgment; the prospective fall outcome was within scope.</w:t>
            </w:r>
          </w:p>
        </w:tc>
      </w:tr>
      <w:tr>
        <w:tc>
          <w:tcPr>
            <w:tcW w:type="dxa" w:w="1407"/>
            <w:tcW w:w="1500" w:type="dxa"/>
          </w:tcPr>
          <w:p>
            <w:pPr>
              <w:pStyle w:val="MDPI42tablebody"/>
              <w:jc w:val="left"/>
            </w:pPr>
            <w:r>
              <w:rPr>
                <w:sz w:val="14"/>
              </w:rPr>
              <w:t>Guan et al. (2025) [62]</w:t>
            </w:r>
          </w:p>
        </w:tc>
        <w:tc>
          <w:tcPr>
            <w:tcW w:type="dxa" w:w="1407"/>
            <w:tcW w:w="1900" w:type="dxa"/>
          </w:tcPr>
          <w:p>
            <w:pPr>
              <w:pStyle w:val="MDPI42tablebody"/>
              <w:jc w:val="left"/>
            </w:pPr>
            <w:r>
              <w:rPr>
                <w:sz w:val="14"/>
              </w:rPr>
              <w:t>10.1109/TNSRE.2025.3623129</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r>
        <w:tc>
          <w:tcPr>
            <w:tcW w:type="dxa" w:w="1407"/>
            <w:tcW w:w="1500" w:type="dxa"/>
          </w:tcPr>
          <w:p>
            <w:pPr>
              <w:pStyle w:val="MDPI42tablebody"/>
              <w:jc w:val="left"/>
            </w:pPr>
            <w:r>
              <w:rPr>
                <w:sz w:val="14"/>
              </w:rPr>
              <w:t>Suffoletto et al. (2026) [15]</w:t>
            </w:r>
          </w:p>
        </w:tc>
        <w:tc>
          <w:tcPr>
            <w:tcW w:type="dxa" w:w="1407"/>
            <w:tcW w:w="1900" w:type="dxa"/>
          </w:tcPr>
          <w:p>
            <w:pPr>
              <w:pStyle w:val="MDPI42tablebody"/>
              <w:jc w:val="left"/>
            </w:pPr>
            <w:r>
              <w:rPr>
                <w:sz w:val="14"/>
              </w:rPr>
              <w:t>10.1111/acem.70259</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600" w:type="dxa"/>
          </w:tcPr>
          <w:p>
            <w:pPr>
              <w:pStyle w:val="MDPI42tablebody"/>
              <w:jc w:val="left"/>
            </w:pPr>
            <w:r>
              <w:rPr>
                <w:sz w:val="14"/>
              </w:rPr>
              <w:t>H</w:t>
            </w:r>
          </w:p>
        </w:tc>
        <w:tc>
          <w:tcPr>
            <w:tcW w:type="dxa" w:w="1407"/>
            <w:tcW w:w="600" w:type="dxa"/>
          </w:tcPr>
          <w:p>
            <w:pPr>
              <w:pStyle w:val="MDPI42tablebody"/>
              <w:jc w:val="left"/>
            </w:pPr>
            <w:r>
              <w:rPr>
                <w:sz w:val="14"/>
              </w:rPr>
              <w:t>L</w:t>
            </w:r>
          </w:p>
        </w:tc>
        <w:tc>
          <w:tcPr>
            <w:tcW w:type="dxa" w:w="1407"/>
            <w:tcW w:w="600" w:type="dxa"/>
          </w:tcPr>
          <w:p>
            <w:pPr>
              <w:pStyle w:val="MDPI42tablebody"/>
              <w:jc w:val="left"/>
            </w:pPr>
            <w:r>
              <w:rPr>
                <w:sz w:val="14"/>
              </w:rPr>
              <w:t>L</w:t>
            </w:r>
          </w:p>
        </w:tc>
        <w:tc>
          <w:tcPr>
            <w:tcW w:type="dxa" w:w="1407"/>
            <w:tcW w:w="660" w:type="dxa"/>
          </w:tcPr>
          <w:p>
            <w:pPr>
              <w:pStyle w:val="MDPI42tablebody"/>
              <w:jc w:val="left"/>
            </w:pPr>
            <w:r>
              <w:rPr>
                <w:sz w:val="14"/>
              </w:rPr>
              <w:t>H</w:t>
            </w:r>
          </w:p>
        </w:tc>
        <w:tc>
          <w:tcPr>
            <w:tcW w:type="dxa" w:w="1407"/>
            <w:tcW w:w="5900" w:type="dxa"/>
          </w:tcPr>
          <w:p>
            <w:pPr>
              <w:pStyle w:val="MDPI42tablebody"/>
              <w:jc w:val="left"/>
            </w:pPr>
            <w:r>
              <w:rPr>
                <w:sz w:val="14"/>
              </w:rPr>
              <w:t>participants/data were restricted relative to a broad older-adult target population; the wearable/vision gait predictor was within scope; the prospective fall outcome was within scope.</w:t>
            </w:r>
          </w:p>
        </w:tc>
      </w:tr>
    </w:tbl>
    <w:p>
      <w:pPr>
        <w:pStyle w:val="MDPI32textnoindent"/>
      </w:pPr>
      <w:r>
        <w:rPr>
          <w:sz w:val="17"/>
        </w:rPr>
        <w:t>Applicability was judged against the review question: prediction of subsequent falls in a broadly defined older-adult population using wearable- or vision-derived gait predictors. Considerations included age, sex, ethnicity where reported, disease, care setting, and reproducibility of the complete sensor-to-model pipeline. Abbreviations as in Table S5.</w:t>
      </w:r>
    </w:p>
    <w:sectPr w:rsidR="00842AB7">
      <w:headerReference w:type="even" r:id="rId7"/>
      <w:headerReference w:type="default" r:id="rId8"/>
      <w:footerReference w:type="even" r:id="rId9"/>
      <w:footerReference w:type="default" r:id="rId10"/>
      <w:headerReference w:type="first" r:id="rId11"/>
      <w:footerReference w:type="first" r:id="rId12"/>
      <w:pgSz w:w="16838" w:h="11906" w:orient="landscape" w:code="9"/>
      <w:pgMar w:top="680" w:right="680" w:bottom="680" w:left="680" w:header="720" w:footer="612" w:gutter="0"/>
      <w:lnNumType w:countBy="1" w:distance="255" w:restart="continuous"/>
      <w:cols w:space="425"/>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E156E" w14:textId="77777777" w:rsidR="000E3C18" w:rsidRDefault="000E3C18">
      <w:pPr>
        <w:spacing w:line="240" w:lineRule="auto"/>
      </w:pPr>
      <w:r>
        <w:separator/>
      </w:r>
    </w:p>
  </w:endnote>
  <w:endnote w:type="continuationSeparator" w:id="0">
    <w:p w14:paraId="5B1CAE18" w14:textId="77777777" w:rsidR="000E3C18" w:rsidRDefault="000E3C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A0EE" w14:textId="77777777" w:rsidR="00842AB7" w:rsidRDefault="00842A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6F6C6" w14:textId="77777777" w:rsidR="00842AB7" w:rsidRDefault="00842AB7">
    <w:pPr>
      <w:pStyle w:val="Foote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9F8CC" w14:textId="77777777" w:rsidR="00842AB7" w:rsidRDefault="00842AB7">
    <w:pPr>
      <w:pBdr>
        <w:top w:val="single" w:sz="4" w:space="0" w:color="000000"/>
      </w:pBdr>
      <w:adjustRightInd w:val="0"/>
      <w:snapToGrid w:val="0"/>
      <w:spacing w:before="480" w:line="100" w:lineRule="exact"/>
      <w:rPr>
        <w:i/>
        <w:sz w:val="16"/>
        <w:szCs w:val="16"/>
      </w:rPr>
    </w:pPr>
  </w:p>
  <w:p w14:paraId="084A8C0B" w14:textId="77777777" w:rsidR="00842AB7" w:rsidRDefault="00000000">
    <w:pPr>
      <w:tabs>
        <w:tab w:val="right" w:pos="10466"/>
      </w:tabs>
      <w:spacing w:line="240" w:lineRule="auto"/>
      <w:rPr>
        <w:sz w:val="16"/>
        <w:szCs w:val="16"/>
        <w:lang w:val="nb-NO"/>
      </w:rPr>
    </w:pPr>
    <w:r>
      <w:rPr>
        <w:i/>
        <w:sz w:val="16"/>
        <w:szCs w:val="16"/>
        <w:lang w:val="nb-NO"/>
      </w:rPr>
      <w:t>Diagnostics</w:t>
    </w:r>
    <w:r>
      <w:rPr>
        <w:sz w:val="16"/>
        <w:szCs w:val="16"/>
        <w:lang w:val="nb-NO"/>
      </w:rPr>
      <w:t xml:space="preserve"> </w:t>
    </w:r>
    <w:r>
      <w:rPr>
        <w:b/>
        <w:sz w:val="16"/>
        <w:szCs w:val="16"/>
        <w:lang w:val="nb-NO"/>
      </w:rPr>
      <w:t>2026</w:t>
    </w:r>
    <w:r>
      <w:rPr>
        <w:sz w:val="16"/>
        <w:szCs w:val="16"/>
        <w:lang w:val="nb-NO"/>
      </w:rPr>
      <w:t>,</w:t>
    </w:r>
    <w:r>
      <w:rPr>
        <w:i/>
        <w:sz w:val="16"/>
        <w:szCs w:val="16"/>
        <w:lang w:val="nb-NO"/>
      </w:rPr>
      <w:t xml:space="preserve"> 16</w:t>
    </w:r>
    <w:r>
      <w:rPr>
        <w:sz w:val="16"/>
        <w:szCs w:val="16"/>
        <w:lang w:val="nb-NO"/>
      </w:rPr>
      <w:t>, x</w:t>
    </w:r>
    <w:r>
      <w:rPr>
        <w:sz w:val="16"/>
        <w:szCs w:val="16"/>
        <w:lang w:val="nb-NO"/>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79B56" w14:textId="77777777" w:rsidR="000E3C18" w:rsidRDefault="000E3C18">
      <w:pPr>
        <w:spacing w:line="240" w:lineRule="auto"/>
      </w:pPr>
      <w:r>
        <w:separator/>
      </w:r>
    </w:p>
  </w:footnote>
  <w:footnote w:type="continuationSeparator" w:id="0">
    <w:p w14:paraId="5083AE75" w14:textId="77777777" w:rsidR="000E3C18" w:rsidRDefault="000E3C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FB560" w14:textId="77777777" w:rsidR="00842AB7" w:rsidRDefault="00842AB7">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5D33D" w14:textId="77777777" w:rsidR="00842AB7" w:rsidRDefault="00000000">
    <w:pPr>
      <w:tabs>
        <w:tab w:val="right" w:pos="10466"/>
      </w:tabs>
      <w:adjustRightInd w:val="0"/>
      <w:snapToGrid w:val="0"/>
      <w:spacing w:line="240" w:lineRule="auto"/>
      <w:rPr>
        <w:sz w:val="16"/>
      </w:rPr>
    </w:pPr>
    <w:r>
      <w:rPr>
        <w:i/>
        <w:sz w:val="16"/>
      </w:rPr>
      <w:t xml:space="preserve">Diagnostics </w:t>
    </w:r>
    <w:r>
      <w:rPr>
        <w:b/>
        <w:sz w:val="16"/>
      </w:rPr>
      <w:t>2026</w:t>
    </w:r>
    <w:r>
      <w:rPr>
        <w:sz w:val="16"/>
      </w:rPr>
      <w:t>,</w:t>
    </w:r>
    <w:r>
      <w:rPr>
        <w:i/>
        <w:sz w:val="16"/>
      </w:rPr>
      <w:t xml:space="preserve"> 16</w:t>
    </w:r>
    <w:r>
      <w:rPr>
        <w:sz w:val="16"/>
      </w:rPr>
      <w:t>, x 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7</w:t>
    </w:r>
    <w:r>
      <w:rPr>
        <w:sz w:val="16"/>
      </w:rPr>
      <w:fldChar w:fldCharType="end"/>
    </w:r>
  </w:p>
  <w:p w14:paraId="3B458FB8" w14:textId="77777777" w:rsidR="00842AB7" w:rsidRDefault="00842AB7">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842AB7" w14:paraId="0355CED1" w14:textId="77777777">
      <w:trPr>
        <w:trHeight w:val="686"/>
      </w:trPr>
      <w:tc>
        <w:tcPr>
          <w:tcW w:w="3679" w:type="dxa"/>
          <w:vAlign w:val="center"/>
        </w:tcPr>
        <w:p w14:paraId="3CF74995" w14:textId="77777777" w:rsidR="00842AB7" w:rsidRDefault="00000000">
          <w:pPr>
            <w:pStyle w:val="Header"/>
            <w:pBdr>
              <w:bottom w:val="none" w:sz="0" w:space="0" w:color="auto"/>
            </w:pBdr>
            <w:jc w:val="left"/>
            <w:rPr>
              <w:rFonts w:eastAsia="DengXian"/>
              <w:b/>
              <w:bCs/>
            </w:rPr>
          </w:pPr>
          <w:r>
            <w:rPr>
              <w:rFonts w:ascii="Palatino Linotype" w:hAnsi="Palatino Linotype"/>
              <w:b/>
              <w:i/>
              <w:color w:val="1F4E79"/>
              <w:sz w:val="40"/>
            </w:rPr>
            <w:t>Diagnostics</w:t>
          </w:r>
        </w:p>
      </w:tc>
      <w:tc>
        <w:tcPr>
          <w:tcW w:w="4535" w:type="dxa"/>
          <w:vAlign w:val="center"/>
        </w:tcPr>
        <w:p w14:paraId="75CEB79C" w14:textId="77777777" w:rsidR="00842AB7" w:rsidRDefault="00842AB7">
          <w:pPr>
            <w:pStyle w:val="Header"/>
            <w:pBdr>
              <w:bottom w:val="none" w:sz="0" w:space="0" w:color="auto"/>
            </w:pBdr>
            <w:rPr>
              <w:rFonts w:eastAsia="DengXian"/>
              <w:b/>
              <w:bCs/>
            </w:rPr>
          </w:pPr>
        </w:p>
      </w:tc>
      <w:tc>
        <w:tcPr>
          <w:tcW w:w="2273" w:type="dxa"/>
          <w:vAlign w:val="center"/>
        </w:tcPr>
        <w:p w14:paraId="1666DDC0" w14:textId="77777777" w:rsidR="00842AB7" w:rsidRDefault="00000000">
          <w:pPr>
            <w:pStyle w:val="Header"/>
            <w:pBdr>
              <w:bottom w:val="none" w:sz="0" w:space="0" w:color="auto"/>
            </w:pBdr>
            <w:jc w:val="right"/>
            <w:rPr>
              <w:rFonts w:eastAsia="DengXian"/>
              <w:b/>
              <w:bCs/>
            </w:rPr>
          </w:pPr>
          <w:r>
            <w:rPr>
              <w:rFonts w:eastAsia="DengXian"/>
              <w:b/>
              <w:bCs/>
              <w:noProof/>
            </w:rPr>
            <w:drawing>
              <wp:inline distT="0" distB="0" distL="0" distR="0" wp14:anchorId="5B389264" wp14:editId="328F8706">
                <wp:extent cx="540000" cy="360000"/>
                <wp:effectExtent l="0" t="0" r="0" b="2540"/>
                <wp:docPr id="2033905018" name="Picture 1" descr="MDPI publisher logo" title="MDPI publisher logo"/>
                <wp:cNvGraphicFramePr/>
                <a:graphic xmlns:a="http://schemas.openxmlformats.org/drawingml/2006/main">
                  <a:graphicData uri="http://schemas.openxmlformats.org/drawingml/2006/picture">
                    <pic:pic xmlns:pic="http://schemas.openxmlformats.org/drawingml/2006/picture">
                      <pic:nvPicPr>
                        <pic:cNvPr id="2033905018" name=""/>
                        <pic:cNvPicPr/>
                      </pic:nvPicPr>
                      <pic:blipFill>
                        <a:blip r:embed="rId2"/>
                        <a:stretch>
                          <a:fillRect/>
                        </a:stretch>
                      </pic:blipFill>
                      <pic:spPr>
                        <a:xfrm>
                          <a:off x="0" y="0"/>
                          <a:ext cx="540000" cy="360000"/>
                        </a:xfrm>
                        <a:prstGeom prst="rect">
                          <a:avLst/>
                        </a:prstGeom>
                      </pic:spPr>
                    </pic:pic>
                  </a:graphicData>
                </a:graphic>
              </wp:inline>
            </w:drawing>
          </w:r>
        </w:p>
      </w:tc>
    </w:tr>
  </w:tbl>
  <w:p w14:paraId="0DEBE705" w14:textId="77777777" w:rsidR="00842AB7" w:rsidRDefault="00842AB7">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6A66"/>
    <w:multiLevelType w:val="hybridMultilevel"/>
    <w:tmpl w:val="CEA4112E"/>
    <w:lvl w:ilvl="0" w:tplc="72162196">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 w15:restartNumberingAfterBreak="0">
    <w:nsid w:val="18B468F5"/>
    <w:multiLevelType w:val="hybridMultilevel"/>
    <w:tmpl w:val="62585B20"/>
    <w:lvl w:ilvl="0" w:tplc="964C53A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7A135E"/>
    <w:multiLevelType w:val="hybridMultilevel"/>
    <w:tmpl w:val="C554B7C0"/>
    <w:lvl w:ilvl="0" w:tplc="CFE896BA">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393567DB"/>
    <w:multiLevelType w:val="hybridMultilevel"/>
    <w:tmpl w:val="043A95D6"/>
    <w:lvl w:ilvl="0" w:tplc="6706E808">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1654251">
    <w:abstractNumId w:val="4"/>
  </w:num>
  <w:num w:numId="2" w16cid:durableId="2137333301">
    <w:abstractNumId w:val="7"/>
  </w:num>
  <w:num w:numId="3" w16cid:durableId="320550436">
    <w:abstractNumId w:val="3"/>
  </w:num>
  <w:num w:numId="4" w16cid:durableId="20567369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9157635">
    <w:abstractNumId w:val="5"/>
  </w:num>
  <w:num w:numId="6" w16cid:durableId="1735935483">
    <w:abstractNumId w:val="10"/>
  </w:num>
  <w:num w:numId="7" w16cid:durableId="1050036064">
    <w:abstractNumId w:val="2"/>
  </w:num>
  <w:num w:numId="8" w16cid:durableId="315689290">
    <w:abstractNumId w:val="10"/>
  </w:num>
  <w:num w:numId="9" w16cid:durableId="2033871437">
    <w:abstractNumId w:val="2"/>
  </w:num>
  <w:num w:numId="10" w16cid:durableId="1059474275">
    <w:abstractNumId w:val="10"/>
  </w:num>
  <w:num w:numId="11" w16cid:durableId="1333221269">
    <w:abstractNumId w:val="2"/>
  </w:num>
  <w:num w:numId="12" w16cid:durableId="84570771">
    <w:abstractNumId w:val="11"/>
  </w:num>
  <w:num w:numId="13" w16cid:durableId="1538011042">
    <w:abstractNumId w:val="10"/>
  </w:num>
  <w:num w:numId="14" w16cid:durableId="1382751463">
    <w:abstractNumId w:val="2"/>
  </w:num>
  <w:num w:numId="15" w16cid:durableId="1610353785">
    <w:abstractNumId w:val="1"/>
  </w:num>
  <w:num w:numId="16" w16cid:durableId="220950079">
    <w:abstractNumId w:val="9"/>
  </w:num>
  <w:num w:numId="17" w16cid:durableId="1281034192">
    <w:abstractNumId w:val="0"/>
  </w:num>
  <w:num w:numId="18" w16cid:durableId="2048138815">
    <w:abstractNumId w:val="10"/>
  </w:num>
  <w:num w:numId="19" w16cid:durableId="956067179">
    <w:abstractNumId w:val="2"/>
  </w:num>
  <w:num w:numId="20" w16cid:durableId="1903324207">
    <w:abstractNumId w:val="1"/>
  </w:num>
  <w:num w:numId="21" w16cid:durableId="923341448">
    <w:abstractNumId w:val="6"/>
  </w:num>
  <w:num w:numId="22" w16cid:durableId="1865903494">
    <w:abstractNumId w:val="0"/>
  </w:num>
  <w:num w:numId="23" w16cid:durableId="4615805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CBC"/>
    <w:rsid w:val="000019D8"/>
    <w:rsid w:val="00006F9A"/>
    <w:rsid w:val="0001560B"/>
    <w:rsid w:val="000302D9"/>
    <w:rsid w:val="00041D95"/>
    <w:rsid w:val="00056809"/>
    <w:rsid w:val="00065CFE"/>
    <w:rsid w:val="00085770"/>
    <w:rsid w:val="000A7316"/>
    <w:rsid w:val="000B7CBD"/>
    <w:rsid w:val="000C0FC2"/>
    <w:rsid w:val="000C6424"/>
    <w:rsid w:val="000D1DE9"/>
    <w:rsid w:val="000E2866"/>
    <w:rsid w:val="000E3C18"/>
    <w:rsid w:val="00123D92"/>
    <w:rsid w:val="00152D96"/>
    <w:rsid w:val="00152F6D"/>
    <w:rsid w:val="001710B7"/>
    <w:rsid w:val="00172385"/>
    <w:rsid w:val="00177AA9"/>
    <w:rsid w:val="00180583"/>
    <w:rsid w:val="001818DF"/>
    <w:rsid w:val="0018413D"/>
    <w:rsid w:val="0018766B"/>
    <w:rsid w:val="00191917"/>
    <w:rsid w:val="001A3B7F"/>
    <w:rsid w:val="001B385B"/>
    <w:rsid w:val="001C2C3C"/>
    <w:rsid w:val="001C4EF2"/>
    <w:rsid w:val="001C7284"/>
    <w:rsid w:val="001D1C27"/>
    <w:rsid w:val="001D25D3"/>
    <w:rsid w:val="001D3612"/>
    <w:rsid w:val="001E2AEB"/>
    <w:rsid w:val="001E5960"/>
    <w:rsid w:val="001E6B6B"/>
    <w:rsid w:val="001F462D"/>
    <w:rsid w:val="00211CBC"/>
    <w:rsid w:val="0024597C"/>
    <w:rsid w:val="00274D95"/>
    <w:rsid w:val="00280C3D"/>
    <w:rsid w:val="00280F25"/>
    <w:rsid w:val="00280FC4"/>
    <w:rsid w:val="00287BE6"/>
    <w:rsid w:val="0029303F"/>
    <w:rsid w:val="00295161"/>
    <w:rsid w:val="002A55EA"/>
    <w:rsid w:val="002B5FEA"/>
    <w:rsid w:val="002C1762"/>
    <w:rsid w:val="002C5B08"/>
    <w:rsid w:val="002C74FC"/>
    <w:rsid w:val="002E235C"/>
    <w:rsid w:val="00314B6E"/>
    <w:rsid w:val="003207B3"/>
    <w:rsid w:val="00321374"/>
    <w:rsid w:val="00325CF8"/>
    <w:rsid w:val="00326141"/>
    <w:rsid w:val="0034278A"/>
    <w:rsid w:val="0034365E"/>
    <w:rsid w:val="00347363"/>
    <w:rsid w:val="00347FE7"/>
    <w:rsid w:val="00352354"/>
    <w:rsid w:val="00357C8D"/>
    <w:rsid w:val="00362F34"/>
    <w:rsid w:val="003977A3"/>
    <w:rsid w:val="003A2C19"/>
    <w:rsid w:val="003C1183"/>
    <w:rsid w:val="003D37C7"/>
    <w:rsid w:val="003D4857"/>
    <w:rsid w:val="003D55AB"/>
    <w:rsid w:val="003E2823"/>
    <w:rsid w:val="003E2FD7"/>
    <w:rsid w:val="003F2DA1"/>
    <w:rsid w:val="003F4ECB"/>
    <w:rsid w:val="00401D30"/>
    <w:rsid w:val="00412261"/>
    <w:rsid w:val="004142C7"/>
    <w:rsid w:val="00415875"/>
    <w:rsid w:val="004225B0"/>
    <w:rsid w:val="0045182C"/>
    <w:rsid w:val="00454A4A"/>
    <w:rsid w:val="0046295C"/>
    <w:rsid w:val="0047318D"/>
    <w:rsid w:val="0048179C"/>
    <w:rsid w:val="004A7534"/>
    <w:rsid w:val="004B1358"/>
    <w:rsid w:val="004B7429"/>
    <w:rsid w:val="004D54CC"/>
    <w:rsid w:val="004D5F4D"/>
    <w:rsid w:val="004E15DD"/>
    <w:rsid w:val="004F5B4C"/>
    <w:rsid w:val="005123DF"/>
    <w:rsid w:val="00545B32"/>
    <w:rsid w:val="00546ED1"/>
    <w:rsid w:val="00547A54"/>
    <w:rsid w:val="005577F2"/>
    <w:rsid w:val="005645B8"/>
    <w:rsid w:val="005963C5"/>
    <w:rsid w:val="005A06CB"/>
    <w:rsid w:val="005D4C88"/>
    <w:rsid w:val="005F6FAE"/>
    <w:rsid w:val="00610A30"/>
    <w:rsid w:val="00616F82"/>
    <w:rsid w:val="00622838"/>
    <w:rsid w:val="006300CB"/>
    <w:rsid w:val="00637CD2"/>
    <w:rsid w:val="0064208E"/>
    <w:rsid w:val="006532ED"/>
    <w:rsid w:val="00664C48"/>
    <w:rsid w:val="00667913"/>
    <w:rsid w:val="00685F96"/>
    <w:rsid w:val="0068785F"/>
    <w:rsid w:val="00691DEB"/>
    <w:rsid w:val="00692393"/>
    <w:rsid w:val="00694025"/>
    <w:rsid w:val="006A11B0"/>
    <w:rsid w:val="006A5D76"/>
    <w:rsid w:val="006C3990"/>
    <w:rsid w:val="006D3297"/>
    <w:rsid w:val="006E1776"/>
    <w:rsid w:val="007018DC"/>
    <w:rsid w:val="00705D61"/>
    <w:rsid w:val="00706D77"/>
    <w:rsid w:val="00717134"/>
    <w:rsid w:val="0076659D"/>
    <w:rsid w:val="00770821"/>
    <w:rsid w:val="0079312A"/>
    <w:rsid w:val="007B2F20"/>
    <w:rsid w:val="007C2CFD"/>
    <w:rsid w:val="008022F9"/>
    <w:rsid w:val="008120B2"/>
    <w:rsid w:val="00816BBE"/>
    <w:rsid w:val="00821EF1"/>
    <w:rsid w:val="008337EC"/>
    <w:rsid w:val="008427EA"/>
    <w:rsid w:val="00842AB7"/>
    <w:rsid w:val="00844F18"/>
    <w:rsid w:val="00851192"/>
    <w:rsid w:val="00853B85"/>
    <w:rsid w:val="00865A31"/>
    <w:rsid w:val="00865AC6"/>
    <w:rsid w:val="008676DA"/>
    <w:rsid w:val="00880013"/>
    <w:rsid w:val="008837DF"/>
    <w:rsid w:val="008C237F"/>
    <w:rsid w:val="008D0B41"/>
    <w:rsid w:val="008E1045"/>
    <w:rsid w:val="008E63F1"/>
    <w:rsid w:val="008F1228"/>
    <w:rsid w:val="008F3CDC"/>
    <w:rsid w:val="008F6E8C"/>
    <w:rsid w:val="009035B8"/>
    <w:rsid w:val="00904B95"/>
    <w:rsid w:val="00907249"/>
    <w:rsid w:val="00914275"/>
    <w:rsid w:val="00915CAE"/>
    <w:rsid w:val="00936D19"/>
    <w:rsid w:val="00943EE6"/>
    <w:rsid w:val="00945A8C"/>
    <w:rsid w:val="009565C8"/>
    <w:rsid w:val="00965381"/>
    <w:rsid w:val="00970559"/>
    <w:rsid w:val="00970888"/>
    <w:rsid w:val="009709FF"/>
    <w:rsid w:val="009902C9"/>
    <w:rsid w:val="00995F53"/>
    <w:rsid w:val="00996419"/>
    <w:rsid w:val="009C0E7F"/>
    <w:rsid w:val="009C5893"/>
    <w:rsid w:val="009D3806"/>
    <w:rsid w:val="009F70E6"/>
    <w:rsid w:val="00A13B6B"/>
    <w:rsid w:val="00A26758"/>
    <w:rsid w:val="00A32004"/>
    <w:rsid w:val="00A637A9"/>
    <w:rsid w:val="00A7114A"/>
    <w:rsid w:val="00A7185F"/>
    <w:rsid w:val="00A73B50"/>
    <w:rsid w:val="00A9737D"/>
    <w:rsid w:val="00AB088B"/>
    <w:rsid w:val="00AB2F7D"/>
    <w:rsid w:val="00AC3FDF"/>
    <w:rsid w:val="00AD3640"/>
    <w:rsid w:val="00AD4E9B"/>
    <w:rsid w:val="00AE0F2C"/>
    <w:rsid w:val="00AF63F6"/>
    <w:rsid w:val="00AF66CF"/>
    <w:rsid w:val="00B10693"/>
    <w:rsid w:val="00B24D42"/>
    <w:rsid w:val="00B27BDC"/>
    <w:rsid w:val="00B5727C"/>
    <w:rsid w:val="00B71BC2"/>
    <w:rsid w:val="00B7644F"/>
    <w:rsid w:val="00B774F1"/>
    <w:rsid w:val="00B84BC1"/>
    <w:rsid w:val="00BB2253"/>
    <w:rsid w:val="00BB303A"/>
    <w:rsid w:val="00BB7AA1"/>
    <w:rsid w:val="00BC2D10"/>
    <w:rsid w:val="00BD0510"/>
    <w:rsid w:val="00BD5379"/>
    <w:rsid w:val="00BE4E1F"/>
    <w:rsid w:val="00BE4E95"/>
    <w:rsid w:val="00BF5D96"/>
    <w:rsid w:val="00BF6F8B"/>
    <w:rsid w:val="00C06920"/>
    <w:rsid w:val="00C078B3"/>
    <w:rsid w:val="00C1439D"/>
    <w:rsid w:val="00C144B6"/>
    <w:rsid w:val="00C17D2C"/>
    <w:rsid w:val="00C33459"/>
    <w:rsid w:val="00C61F4B"/>
    <w:rsid w:val="00C76749"/>
    <w:rsid w:val="00C95CAC"/>
    <w:rsid w:val="00CA6FBF"/>
    <w:rsid w:val="00CA7151"/>
    <w:rsid w:val="00CB1E4E"/>
    <w:rsid w:val="00CB3CFA"/>
    <w:rsid w:val="00CB5986"/>
    <w:rsid w:val="00CC4494"/>
    <w:rsid w:val="00CD1107"/>
    <w:rsid w:val="00CF3152"/>
    <w:rsid w:val="00D03F63"/>
    <w:rsid w:val="00D0452F"/>
    <w:rsid w:val="00D06DB4"/>
    <w:rsid w:val="00D15FBD"/>
    <w:rsid w:val="00D235B1"/>
    <w:rsid w:val="00D30707"/>
    <w:rsid w:val="00D537C4"/>
    <w:rsid w:val="00D62E6F"/>
    <w:rsid w:val="00D72E82"/>
    <w:rsid w:val="00D76EFE"/>
    <w:rsid w:val="00D924E1"/>
    <w:rsid w:val="00D96060"/>
    <w:rsid w:val="00DB5D84"/>
    <w:rsid w:val="00DB65CB"/>
    <w:rsid w:val="00DB6C37"/>
    <w:rsid w:val="00DC2CB2"/>
    <w:rsid w:val="00DC5308"/>
    <w:rsid w:val="00DF354B"/>
    <w:rsid w:val="00E02289"/>
    <w:rsid w:val="00E548E8"/>
    <w:rsid w:val="00E571F9"/>
    <w:rsid w:val="00E62446"/>
    <w:rsid w:val="00E6298A"/>
    <w:rsid w:val="00E63ABE"/>
    <w:rsid w:val="00E917EF"/>
    <w:rsid w:val="00E9417E"/>
    <w:rsid w:val="00EA0B97"/>
    <w:rsid w:val="00EA792D"/>
    <w:rsid w:val="00EB0ACA"/>
    <w:rsid w:val="00EB730D"/>
    <w:rsid w:val="00EC2CB7"/>
    <w:rsid w:val="00ED5509"/>
    <w:rsid w:val="00ED64FF"/>
    <w:rsid w:val="00EE3D95"/>
    <w:rsid w:val="00F03498"/>
    <w:rsid w:val="00F11025"/>
    <w:rsid w:val="00F1352D"/>
    <w:rsid w:val="00F159D6"/>
    <w:rsid w:val="00F20DC0"/>
    <w:rsid w:val="00F23BA9"/>
    <w:rsid w:val="00F3422F"/>
    <w:rsid w:val="00F34FEE"/>
    <w:rsid w:val="00F3667D"/>
    <w:rsid w:val="00F41D77"/>
    <w:rsid w:val="00F42B79"/>
    <w:rsid w:val="00F46A0C"/>
    <w:rsid w:val="00F50105"/>
    <w:rsid w:val="00F61547"/>
    <w:rsid w:val="00F733DC"/>
    <w:rsid w:val="00F75F58"/>
    <w:rsid w:val="00FA2DB6"/>
    <w:rsid w:val="00FA4695"/>
    <w:rsid w:val="00FA4EE0"/>
    <w:rsid w:val="00FC70BF"/>
    <w:rsid w:val="00FD0403"/>
    <w:rsid w:val="00FD4789"/>
    <w:rsid w:val="00FD6CA7"/>
    <w:rsid w:val="00FD76C7"/>
    <w:rsid w:val="00FE6943"/>
    <w:rsid w:val="00FF158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FBA8EF"/>
  <w15:chartTrackingRefBased/>
  <w15:docId w15:val="{CC0B4CFD-1A61-4C87-BCDB-78CDF4399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943"/>
    <w:pPr>
      <w:spacing w:line="280" w:lineRule="atLeast"/>
      <w:jc w:val="both"/>
    </w:pPr>
    <w:rPr>
      <w:rFonts w:ascii="Palatino Linotype" w:eastAsia="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E6943"/>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E6943"/>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E6943"/>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E6943"/>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E6943"/>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E6943"/>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E6943"/>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E6943"/>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Footer">
    <w:name w:val="footer"/>
    <w:basedOn w:val="Normal"/>
    <w:link w:val="FooterChar"/>
    <w:uiPriority w:val="99"/>
    <w:rsid w:val="00FE6943"/>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E6943"/>
    <w:rPr>
      <w:rFonts w:ascii="Palatino Linotype" w:hAnsi="Palatino Linotype"/>
      <w:noProof/>
      <w:color w:val="000000"/>
      <w:szCs w:val="18"/>
    </w:rPr>
  </w:style>
  <w:style w:type="paragraph" w:styleId="Header">
    <w:name w:val="header"/>
    <w:basedOn w:val="Normal"/>
    <w:link w:val="HeaderChar"/>
    <w:uiPriority w:val="99"/>
    <w:rsid w:val="00FE6943"/>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E6943"/>
    <w:rPr>
      <w:rFonts w:ascii="Palatino Linotype" w:hAnsi="Palatino Linotype"/>
      <w:noProof/>
      <w:color w:val="000000"/>
      <w:szCs w:val="18"/>
    </w:rPr>
  </w:style>
  <w:style w:type="paragraph" w:customStyle="1" w:styleId="MDPI32textnoindent">
    <w:name w:val="MDPI_3.2_text_no_indent"/>
    <w:basedOn w:val="MDPI31text"/>
    <w:qFormat/>
    <w:rsid w:val="00FE6943"/>
    <w:pPr>
      <w:ind w:firstLine="0"/>
    </w:pPr>
  </w:style>
  <w:style w:type="paragraph" w:customStyle="1" w:styleId="MDPI31text">
    <w:name w:val="MDPI_3.1_text"/>
    <w:qFormat/>
    <w:rsid w:val="00AC3FDF"/>
    <w:pPr>
      <w:adjustRightInd w:val="0"/>
      <w:snapToGrid w:val="0"/>
      <w:spacing w:line="280" w:lineRule="atLeast"/>
      <w:ind w:left="2608" w:firstLine="425"/>
      <w:jc w:val="both"/>
    </w:pPr>
    <w:rPr>
      <w:rFonts w:ascii="Palatino Linotype" w:eastAsia="Palatino Linotype" w:hAnsi="Palatino Linotype"/>
      <w:snapToGrid w:val="0"/>
      <w:color w:val="000000"/>
      <w:szCs w:val="22"/>
      <w:lang w:eastAsia="de-DE" w:bidi="en-US"/>
    </w:rPr>
  </w:style>
  <w:style w:type="paragraph" w:customStyle="1" w:styleId="MDPI33textspaceafter">
    <w:name w:val="MDPI_3.3_text_space_after"/>
    <w:qFormat/>
    <w:rsid w:val="00FE6943"/>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FE6943"/>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E6943"/>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E6943"/>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D235B1"/>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D235B1"/>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E6943"/>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E6943"/>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E6943"/>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4B7429"/>
    <w:pPr>
      <w:adjustRightInd w:val="0"/>
      <w:snapToGrid w:val="0"/>
      <w:spacing w:line="260" w:lineRule="atLeast"/>
      <w:jc w:val="center"/>
    </w:pPr>
    <w:rPr>
      <w:rFonts w:ascii="Palatino Linotype" w:eastAsia="Palatino Linotype" w:hAnsi="Palatino Linotype"/>
      <w:snapToGrid w:val="0"/>
      <w:color w:val="000000"/>
      <w:sz w:val="15"/>
      <w:lang w:eastAsia="de-DE" w:bidi="en-US"/>
    </w:rPr>
  </w:style>
  <w:style w:type="paragraph" w:customStyle="1" w:styleId="MDPI43tablefooter">
    <w:name w:val="MDPI_4.3_table_footer"/>
    <w:next w:val="MDPI31text"/>
    <w:qFormat/>
    <w:rsid w:val="00FE6943"/>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E6943"/>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E6943"/>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FE6943"/>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E6943"/>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FE6943"/>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E6943"/>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E6943"/>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022F9"/>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E6943"/>
    <w:rPr>
      <w:rFonts w:cs="Tahoma"/>
      <w:szCs w:val="18"/>
    </w:rPr>
  </w:style>
  <w:style w:type="character" w:customStyle="1" w:styleId="BalloonTextChar">
    <w:name w:val="Balloon Text Char"/>
    <w:link w:val="BalloonText"/>
    <w:uiPriority w:val="99"/>
    <w:rsid w:val="00FE6943"/>
    <w:rPr>
      <w:rFonts w:ascii="Palatino Linotype" w:hAnsi="Palatino Linotype" w:cs="Tahoma"/>
      <w:noProof/>
      <w:color w:val="000000"/>
      <w:szCs w:val="18"/>
    </w:rPr>
  </w:style>
  <w:style w:type="character" w:styleId="LineNumber">
    <w:name w:val="line number"/>
    <w:uiPriority w:val="99"/>
    <w:rsid w:val="00F20DC0"/>
    <w:rPr>
      <w:rFonts w:ascii="Palatino Linotype" w:hAnsi="Palatino Linotype"/>
      <w:sz w:val="16"/>
    </w:rPr>
  </w:style>
  <w:style w:type="table" w:customStyle="1" w:styleId="MDPI41threelinetable">
    <w:name w:val="MDPI_4.1_three_line_table"/>
    <w:basedOn w:val="TableNormal"/>
    <w:uiPriority w:val="99"/>
    <w:rsid w:val="00FE6943"/>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E6943"/>
    <w:rPr>
      <w:color w:val="0000FF"/>
      <w:u w:val="single"/>
    </w:rPr>
  </w:style>
  <w:style w:type="character" w:styleId="UnresolvedMention">
    <w:name w:val="Unresolved Mention"/>
    <w:uiPriority w:val="99"/>
    <w:semiHidden/>
    <w:unhideWhenUsed/>
    <w:rsid w:val="0034278A"/>
    <w:rPr>
      <w:color w:val="605E5C"/>
      <w:shd w:val="clear" w:color="auto" w:fill="E1DFDD"/>
    </w:rPr>
  </w:style>
  <w:style w:type="table" w:styleId="TableGrid">
    <w:name w:val="Table Grid"/>
    <w:basedOn w:val="TableNormal"/>
    <w:uiPriority w:val="59"/>
    <w:rsid w:val="00FE6943"/>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53B8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FE6943"/>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E6943"/>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E6943"/>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532ED"/>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E6943"/>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E6943"/>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F3667D"/>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FE6943"/>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E6943"/>
  </w:style>
  <w:style w:type="paragraph" w:styleId="Bibliography">
    <w:name w:val="Bibliography"/>
    <w:basedOn w:val="Normal"/>
    <w:next w:val="Normal"/>
    <w:uiPriority w:val="37"/>
    <w:semiHidden/>
    <w:unhideWhenUsed/>
    <w:rsid w:val="00FE6943"/>
  </w:style>
  <w:style w:type="paragraph" w:styleId="BodyText">
    <w:name w:val="Body Text"/>
    <w:link w:val="BodyTextChar"/>
    <w:rsid w:val="00FE6943"/>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E6943"/>
    <w:rPr>
      <w:rFonts w:ascii="Palatino Linotype" w:hAnsi="Palatino Linotype"/>
      <w:color w:val="000000"/>
      <w:sz w:val="24"/>
      <w:lang w:eastAsia="de-DE"/>
    </w:rPr>
  </w:style>
  <w:style w:type="character" w:styleId="CommentReference">
    <w:name w:val="annotation reference"/>
    <w:rsid w:val="00FE6943"/>
    <w:rPr>
      <w:sz w:val="21"/>
      <w:szCs w:val="21"/>
    </w:rPr>
  </w:style>
  <w:style w:type="paragraph" w:styleId="CommentText">
    <w:name w:val="annotation text"/>
    <w:basedOn w:val="Normal"/>
    <w:link w:val="CommentTextChar"/>
    <w:rsid w:val="00FE6943"/>
  </w:style>
  <w:style w:type="character" w:customStyle="1" w:styleId="CommentTextChar">
    <w:name w:val="Comment Text Char"/>
    <w:link w:val="CommentText"/>
    <w:rsid w:val="00FE6943"/>
    <w:rPr>
      <w:rFonts w:ascii="Palatino Linotype" w:hAnsi="Palatino Linotype"/>
      <w:noProof/>
      <w:color w:val="000000"/>
    </w:rPr>
  </w:style>
  <w:style w:type="paragraph" w:styleId="CommentSubject">
    <w:name w:val="annotation subject"/>
    <w:basedOn w:val="CommentText"/>
    <w:next w:val="CommentText"/>
    <w:link w:val="CommentSubjectChar"/>
    <w:rsid w:val="00FE6943"/>
    <w:rPr>
      <w:b/>
      <w:bCs/>
    </w:rPr>
  </w:style>
  <w:style w:type="character" w:customStyle="1" w:styleId="CommentSubjectChar">
    <w:name w:val="Comment Subject Char"/>
    <w:link w:val="CommentSubject"/>
    <w:rsid w:val="00FE6943"/>
    <w:rPr>
      <w:rFonts w:ascii="Palatino Linotype" w:hAnsi="Palatino Linotype"/>
      <w:b/>
      <w:bCs/>
      <w:noProof/>
      <w:color w:val="000000"/>
    </w:rPr>
  </w:style>
  <w:style w:type="character" w:styleId="EndnoteReference">
    <w:name w:val="endnote reference"/>
    <w:rsid w:val="00FE6943"/>
    <w:rPr>
      <w:vertAlign w:val="superscript"/>
    </w:rPr>
  </w:style>
  <w:style w:type="paragraph" w:styleId="EndnoteText">
    <w:name w:val="endnote text"/>
    <w:basedOn w:val="Normal"/>
    <w:link w:val="EndnoteTextChar"/>
    <w:semiHidden/>
    <w:unhideWhenUsed/>
    <w:rsid w:val="00FE6943"/>
    <w:pPr>
      <w:spacing w:line="240" w:lineRule="auto"/>
    </w:pPr>
  </w:style>
  <w:style w:type="character" w:customStyle="1" w:styleId="EndnoteTextChar">
    <w:name w:val="Endnote Text Char"/>
    <w:link w:val="EndnoteText"/>
    <w:semiHidden/>
    <w:rsid w:val="00FE6943"/>
    <w:rPr>
      <w:rFonts w:ascii="Palatino Linotype" w:hAnsi="Palatino Linotype"/>
      <w:noProof/>
      <w:color w:val="000000"/>
    </w:rPr>
  </w:style>
  <w:style w:type="character" w:styleId="FollowedHyperlink">
    <w:name w:val="FollowedHyperlink"/>
    <w:rsid w:val="00FE6943"/>
    <w:rPr>
      <w:color w:val="954F72"/>
      <w:u w:val="single"/>
    </w:rPr>
  </w:style>
  <w:style w:type="paragraph" w:styleId="FootnoteText">
    <w:name w:val="footnote text"/>
    <w:basedOn w:val="Normal"/>
    <w:link w:val="FootnoteTextChar"/>
    <w:semiHidden/>
    <w:unhideWhenUsed/>
    <w:rsid w:val="00FE6943"/>
    <w:pPr>
      <w:spacing w:line="240" w:lineRule="auto"/>
    </w:pPr>
  </w:style>
  <w:style w:type="character" w:customStyle="1" w:styleId="FootnoteTextChar">
    <w:name w:val="Footnote Text Char"/>
    <w:link w:val="FootnoteText"/>
    <w:semiHidden/>
    <w:rsid w:val="00FE6943"/>
    <w:rPr>
      <w:rFonts w:ascii="Palatino Linotype" w:hAnsi="Palatino Linotype"/>
      <w:noProof/>
      <w:color w:val="000000"/>
    </w:rPr>
  </w:style>
  <w:style w:type="paragraph" w:styleId="NormalWeb">
    <w:name w:val="Normal (Web)"/>
    <w:basedOn w:val="Normal"/>
    <w:uiPriority w:val="99"/>
    <w:rsid w:val="00FE6943"/>
    <w:rPr>
      <w:szCs w:val="24"/>
    </w:rPr>
  </w:style>
  <w:style w:type="paragraph" w:customStyle="1" w:styleId="MsoFootnoteText0">
    <w:name w:val="MsoFootnoteText"/>
    <w:basedOn w:val="NormalWeb"/>
    <w:qFormat/>
    <w:rsid w:val="00FE6943"/>
    <w:rPr>
      <w:rFonts w:ascii="Times New Roman" w:hAnsi="Times New Roman"/>
    </w:rPr>
  </w:style>
  <w:style w:type="character" w:styleId="PageNumber">
    <w:name w:val="page number"/>
    <w:rsid w:val="00FE6943"/>
  </w:style>
  <w:style w:type="character" w:styleId="PlaceholderText">
    <w:name w:val="Placeholder Text"/>
    <w:uiPriority w:val="99"/>
    <w:semiHidden/>
    <w:rsid w:val="00FE6943"/>
    <w:rPr>
      <w:color w:val="808080"/>
    </w:rPr>
  </w:style>
  <w:style w:type="paragraph" w:customStyle="1" w:styleId="MDPI71footnotes">
    <w:name w:val="MDPI_7.1_footnotes"/>
    <w:qFormat/>
    <w:rsid w:val="002C1762"/>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B764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28</Pages>
  <Words>8597</Words>
  <Characters>49006</Characters>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Majed S. Alsanea; Yosef Hasan Jbara; Alshimaa Hamdy Ismail; Farha Mujeeb Ahmed Shaikh; Mohammed Gh. Alzahrani</dc:creator>
  <cp:keywords/>
  <dc:description/>
  <dcterms:created xsi:type="dcterms:W3CDTF">2026-07-30T14:41:00Z</dcterms:created>
  <dcterms:modified xsi:type="dcterms:W3CDTF">2026-09-22T09:00:00Z</dcterms:modified>
  <dc:title>Supplementary Materials: Are Digital Gait Biomarkers Ready to Predict Falls? A Systematic Review and PROBAST+AI Appraisal of Wearable and Vision-Based Prognostic Models in Older Adults</dc:title>
  <cp:lastModifiedBy>Yosef Hasan Jbara</cp:lastModifiedBy>
</cp:coreProperties>
</file>