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1A94E" w14:textId="77777777" w:rsidR="007C1CDA" w:rsidRPr="001A0468" w:rsidRDefault="007C1CDA" w:rsidP="007C1CDA">
      <w:pPr>
        <w:pStyle w:val="MDPI11articletype"/>
      </w:pPr>
      <w:r>
        <w:t>Systematic Review</w:t>
      </w:r>
    </w:p>
    <w:p w14:paraId="5C78DA91" w14:textId="77777777" w:rsidR="007C1CDA" w:rsidRPr="001A0468" w:rsidRDefault="007C1CDA" w:rsidP="007C1CDA">
      <w:pPr>
        <w:pStyle w:val="MDPI12title"/>
      </w:pPr>
      <w:r>
        <w:t>Are Digital Gait Biomarkers Ready to Predict Falls? A Systematic Review and PROBAST+AI Appraisal of Wearable and Vision-Based Prognostic Models in Older Adults</w:t>
      </w:r>
    </w:p>
    <w:p w14:paraId="2365E696" w14:textId="77777777" w:rsidR="00643C8E" w:rsidRPr="001A0468" w:rsidRDefault="007C1CDA" w:rsidP="007C1CDA">
      <w:pPr>
        <w:pStyle w:val="MDPI13authornames"/>
      </w:pPr>
      <w:r>
        <w:t xml:space="preserve">Majed S. Alsanea </w:t>
      </w:r>
      <w:r>
        <w:rPr>
          <w:vertAlign w:val="superscript"/>
        </w:rPr>
        <w:t>1</w:t>
      </w:r>
      <w:r>
        <w:t xml:space="preserve">, Yosef Hasan Jbara </w:t>
      </w:r>
      <w:r>
        <w:rPr>
          <w:vertAlign w:val="superscript"/>
        </w:rPr>
        <w:t>2,3,</w:t>
      </w:r>
      <w:r>
        <w:t xml:space="preserve">*, Alshimaa Hamdy Ismail </w:t>
      </w:r>
      <w:r>
        <w:rPr>
          <w:vertAlign w:val="superscript"/>
        </w:rPr>
        <w:t>3,4</w:t>
      </w:r>
      <w:r>
        <w:t xml:space="preserve">, Farha Mujeeb Ahmed Shaikh </w:t>
      </w:r>
      <w:r>
        <w:rPr>
          <w:vertAlign w:val="superscript"/>
        </w:rPr>
        <w:t>5</w:t>
      </w:r>
      <w:r>
        <w:t xml:space="preserve"> and Mohammed Gh. Alzahrani </w:t>
      </w:r>
      <w:r>
        <w:rPr>
          <w:vertAlign w:val="superscript"/>
        </w:rPr>
        <w:t>6</w:t>
      </w:r>
    </w:p>
    <w:tbl>
      <w:tblPr>
        <w:tblpPr w:leftFromText="198" w:rightFromText="198" w:vertAnchor="page" w:horzAnchor="margin" w:tblpY="11461"/>
        <w:tblW w:w="2410" w:type="dxa"/>
        <w:tblLayout w:type="fixed"/>
        <w:tblCellMar>
          <w:left w:w="0" w:type="dxa"/>
          <w:right w:w="0" w:type="dxa"/>
        </w:tblCellMar>
        <w:tblLook w:val="04A0" w:firstRow="1" w:lastRow="0" w:firstColumn="1" w:lastColumn="0" w:noHBand="0" w:noVBand="1"/>
      </w:tblPr>
      <w:tblGrid>
        <w:gridCol w:w="2410"/>
      </w:tblGrid>
      <w:tr w:rsidR="00643C8E" w:rsidRPr="001A0468" w14:paraId="4D77FB33" w14:textId="77777777" w:rsidTr="000D20E3">
        <w:tc>
          <w:tcPr>
            <w:tcW w:w="2410" w:type="dxa"/>
          </w:tcPr>
          <w:p w14:paraId="174BD047" w14:textId="77777777" w:rsidR="00643C8E" w:rsidRPr="001A0468" w:rsidRDefault="00643C8E" w:rsidP="000D20E3">
            <w:pPr>
              <w:pStyle w:val="MDPI15academiceditor"/>
              <w:spacing w:before="0" w:after="120"/>
            </w:pPr>
            <w:r w:rsidRPr="001A0468">
              <w:t>Academic Editor: To be assigned</w:t>
            </w:r>
          </w:p>
          <w:p w14:paraId="5281E7B8" w14:textId="77777777" w:rsidR="00643C8E" w:rsidRPr="001A0468" w:rsidRDefault="00643C8E" w:rsidP="000D20E3">
            <w:pPr>
              <w:pStyle w:val="MDPI14history"/>
              <w:spacing w:before="120"/>
            </w:pPr>
            <w:r w:rsidRPr="001A0468">
              <w:t>Received: date</w:t>
            </w:r>
          </w:p>
          <w:p w14:paraId="5CA352F6" w14:textId="77777777" w:rsidR="00643C8E" w:rsidRPr="001A0468" w:rsidRDefault="00643C8E" w:rsidP="000D20E3">
            <w:pPr>
              <w:pStyle w:val="MDPI14history"/>
            </w:pPr>
            <w:r w:rsidRPr="001A0468">
              <w:t>Revised: date</w:t>
            </w:r>
          </w:p>
          <w:p w14:paraId="00B28E66" w14:textId="77777777" w:rsidR="00643C8E" w:rsidRPr="001A0468" w:rsidRDefault="00643C8E" w:rsidP="000D20E3">
            <w:pPr>
              <w:pStyle w:val="MDPI14history"/>
            </w:pPr>
            <w:r w:rsidRPr="001A0468">
              <w:t>Accepted: date</w:t>
            </w:r>
          </w:p>
          <w:p w14:paraId="5D0D892A" w14:textId="77777777" w:rsidR="00643C8E" w:rsidRPr="001A0468" w:rsidRDefault="00643C8E" w:rsidP="000D20E3">
            <w:pPr>
              <w:pStyle w:val="MDPI14history"/>
              <w:spacing w:after="120"/>
            </w:pPr>
            <w:r w:rsidRPr="001A0468">
              <w:t>Published: date</w:t>
            </w:r>
          </w:p>
          <w:p w14:paraId="6B53ED3E" w14:textId="77777777" w:rsidR="00643C8E" w:rsidRPr="001A0468" w:rsidRDefault="00643C8E" w:rsidP="000D20E3">
            <w:pPr>
              <w:pStyle w:val="MDPI61citation"/>
              <w:rPr>
                <w:lang w:bidi="en-US"/>
              </w:rPr>
            </w:pPr>
            <w:r w:rsidRPr="001A0468">
              <w:rPr>
                <w:b/>
                <w:lang w:bidi="en-US"/>
              </w:rPr>
              <w:t xml:space="preserve">Citation: </w:t>
            </w:r>
            <w:r w:rsidRPr="001A0468">
              <w:rPr>
                <w:lang w:bidi="en-US"/>
              </w:rPr>
              <w:t>To be added by editorial staff during production.</w:t>
            </w:r>
          </w:p>
          <w:p w14:paraId="0DC158CA" w14:textId="77777777" w:rsidR="00643C8E" w:rsidRPr="001A0468" w:rsidRDefault="00643C8E" w:rsidP="000D20E3">
            <w:pPr>
              <w:pStyle w:val="MDPI72copyright"/>
              <w:rPr>
                <w:rFonts w:eastAsia="DengXian"/>
                <w:noProof w:val="0"/>
                <w:lang w:val="en-US" w:bidi="en-US"/>
              </w:rPr>
            </w:pPr>
            <w:r w:rsidRPr="001A0468">
              <w:rPr>
                <w:rFonts w:eastAsia="DengXian"/>
                <w:b/>
                <w:noProof w:val="0"/>
                <w:lang w:val="en-US" w:bidi="en-US"/>
              </w:rPr>
              <w:t>Copyright:</w:t>
            </w:r>
            <w:r w:rsidRPr="001A0468">
              <w:rPr>
                <w:rFonts w:eastAsia="DengXian"/>
                <w:noProof w:val="0"/>
                <w:lang w:val="en-US" w:bidi="en-US"/>
              </w:rPr>
              <w:t xml:space="preserve"> © 2026 by the authors. Submitted for possible open access publication under the terms and conditions of the Creative Commons Attribution (CC BY) license (https://creativecommons.org/licenses/by/4.0/).</w:t>
            </w:r>
          </w:p>
        </w:tc>
      </w:tr>
    </w:tbl>
    <w:p w14:paraId="0EECA7C0" w14:textId="77777777" w:rsidR="007C1CDA" w:rsidRPr="001A0468" w:rsidRDefault="00491E1B" w:rsidP="007C1CDA">
      <w:pPr>
        <w:pStyle w:val="MDPI16affiliation"/>
      </w:pPr>
      <w:r>
        <w:rPr>
          <w:vertAlign w:val="superscript"/>
        </w:rPr>
        <w:t>1</w:t>
      </w:r>
      <w:r>
        <w:tab/>
        <w:t>Alnahda College, Al Munsiyah District, Riyadh 13255, Saudi Arabia; majed.alsanea@alnahda.edu.sa</w:t>
      </w:r>
    </w:p>
    <w:p w14:paraId="0EECA7C0" w14:textId="77777777" w:rsidR="007C1CDA" w:rsidRPr="001A0468" w:rsidRDefault="00491E1B" w:rsidP="007C1CDA">
      <w:pPr>
        <w:pStyle w:val="MDPI16affiliation"/>
      </w:pPr>
      <w:r>
        <w:rPr>
          <w:vertAlign w:val="superscript"/>
        </w:rPr>
        <w:t>2</w:t>
      </w:r>
      <w:r>
        <w:tab/>
        <w:t>Computer Engineering Department, College of Engineering &amp; Information Technology, Buraydah Colleges, Buraydah, Saudi Arabia; yosef.hasan@bpc.edu.sa</w:t>
      </w:r>
    </w:p>
    <w:p w14:paraId="0EECA7C0" w14:textId="77777777" w:rsidR="007C1CDA" w:rsidRPr="001A0468" w:rsidRDefault="00491E1B" w:rsidP="007C1CDA">
      <w:pPr>
        <w:pStyle w:val="MDPI16affiliation"/>
      </w:pPr>
      <w:r>
        <w:rPr>
          <w:vertAlign w:val="superscript"/>
        </w:rPr>
        <w:t>3</w:t>
      </w:r>
      <w:r>
        <w:tab/>
        <w:t>King Salman Center for Disability Research, Riyadh, Saudi Arabia</w:t>
      </w:r>
    </w:p>
    <w:p w14:paraId="0EECA7C0" w14:textId="77777777" w:rsidR="007C1CDA" w:rsidRPr="001A0468" w:rsidRDefault="00491E1B" w:rsidP="007C1CDA">
      <w:pPr>
        <w:pStyle w:val="MDPI16affiliation"/>
      </w:pPr>
      <w:r>
        <w:rPr>
          <w:vertAlign w:val="superscript"/>
        </w:rPr>
        <w:t>4</w:t>
      </w:r>
      <w:r>
        <w:tab/>
        <w:t>Department of Computer Science, College of Engineering and Information Technology, Onaizah Colleges, Qassim 56447, Saudi Arabia; aismail@oc.edu.sa</w:t>
      </w:r>
    </w:p>
    <w:p w14:paraId="0EECA7C0" w14:textId="77777777" w:rsidR="007C1CDA" w:rsidRPr="001A0468" w:rsidRDefault="00491E1B" w:rsidP="007C1CDA">
      <w:pPr>
        <w:pStyle w:val="MDPI16affiliation"/>
      </w:pPr>
      <w:r>
        <w:rPr>
          <w:vertAlign w:val="superscript"/>
        </w:rPr>
        <w:t>5</w:t>
      </w:r>
      <w:r>
        <w:tab/>
        <w:t>Department of Basic Medical Science, College of Medicine, AlMaarefa University, Diriyah, Riyadh 13713, Saudi Arabia; fshaikh@um.edu.sa</w:t>
      </w:r>
    </w:p>
    <w:p w14:paraId="0EECA7C0" w14:textId="77777777" w:rsidR="007C1CDA" w:rsidRPr="001A0468" w:rsidRDefault="00491E1B" w:rsidP="007C1CDA">
      <w:pPr>
        <w:pStyle w:val="MDPI16affiliation"/>
      </w:pPr>
      <w:r>
        <w:rPr>
          <w:vertAlign w:val="superscript"/>
        </w:rPr>
        <w:t>6</w:t>
      </w:r>
      <w:r>
        <w:tab/>
        <w:t>Department of Respiratory Care, College of Medical Sciences, AlMaarefa University, Diriyah, Riyadh 13713, Saudi Arabia; mzahrani@um.edu.sa</w:t>
      </w:r>
    </w:p>
    <w:p w14:paraId="0EECA7C0" w14:textId="77777777" w:rsidR="007C1CDA" w:rsidRPr="001A0468" w:rsidRDefault="00491E1B" w:rsidP="007C1CDA">
      <w:pPr>
        <w:pStyle w:val="MDPI16affiliation"/>
      </w:pPr>
      <w:r>
        <w:t>*</w:t>
      </w:r>
      <w:r>
        <w:tab/>
        <w:t>Correspondence: yosef.hasan@bpc.edu.sa</w:t>
      </w:r>
    </w:p>
    <w:p w14:paraId="5D5C8F3A" w14:textId="77777777" w:rsidR="00C2125A" w:rsidRPr="00C2125A" w:rsidRDefault="00054A98" w:rsidP="00C2125A">
      <w:pPr>
        <w:pStyle w:val="MDPI17abstract"/>
        <w:jc w:val="left"/>
        <w:rPr>
          <w:b/>
          <w:szCs w:val="18"/>
        </w:rPr>
      </w:pPr>
      <w:r>
        <w:rPr>
          <w:b/>
        </w:rPr>
        <w:t>Abstract</w:t>
      </w:r>
    </w:p>
    <w:p w14:paraId="42EF91C4" w14:textId="77777777" w:rsidR="00054A98" w:rsidRPr="001A0468" w:rsidRDefault="00054A98" w:rsidP="00C2125A">
      <w:pPr>
        <w:pStyle w:val="MDPI17abstract"/>
        <w:spacing w:before="0" w:after="0"/>
        <w:rPr>
          <w:rFonts w:eastAsiaTheme="minorEastAsia"/>
          <w:szCs w:val="18"/>
          <w:lang w:eastAsia="zh-CN"/>
        </w:rPr>
      </w:pPr>
      <w:r>
        <w:rPr>
          <w:b/>
        </w:rPr>
        <w:t>Background/Objectives:</w:t>
      </w:r>
      <w:r>
        <w:t xml:space="preserve"> Wearable and vision-based gait analysis is increasingly proposed for fall-risk screening, but published models often mix retrospective faller classification with prediction and report performance in development samples. We appraised the validity and clinical readiness of gait-based models that predict future falls in older adults.</w:t>
      </w:r>
      <w:r>
        <w:t xml:space="preserve"> </w:t>
      </w:r>
      <w:r>
        <w:rPr>
          <w:b/>
        </w:rPr>
        <w:t>Methods:</w:t>
      </w:r>
      <w:r>
        <w:t xml:space="preserve"> Nine databases, Google Scholar, registries, and citation sources were searched from January 2000 to 20 July 2026 (PROSPERO CRD420261502037). Eligible studies measured gait with wearable or vision sensors in adults aged ≥60 years before fall follow-up and reported individualized model performance. Overlapping reports were grouped into cohort families, risk of bias was assessed with PROBAST+AI, and results were synthesized narratively.</w:t>
      </w:r>
      <w:r>
        <w:t xml:space="preserve"> </w:t>
      </w:r>
      <w:r>
        <w:rPr>
          <w:b/>
        </w:rPr>
        <w:t>Results:</w:t>
      </w:r>
      <w:r>
        <w:t xml:space="preserve"> Forty-seven reports from 37 cohort families (15–1705 participants; horizons 7 days to 5 years) were included; 11 were assessed from abstracts and other accessible primary material. The median representative area under the curve (AUC) was 0.76 (interquartile range 0.72–0.84; 24 families; 0.72–0.79 under alternative selections), with the highest values in small development samples. The only independent-cohort evaluation of published models yielded AUCs of 0.49–0.59. One report estimated calibration intercept and slope, and none assessed clinical utility. Forty-five of 47 evaluations were at high and two at unclear risk of bias, mainly because calibration was not assessed and estimates based on few fallers were imprecise.</w:t>
      </w:r>
      <w:r>
        <w:t xml:space="preserve"> </w:t>
      </w:r>
      <w:r>
        <w:rPr>
          <w:b/>
        </w:rPr>
        <w:t>Conclusions:</w:t>
      </w:r>
      <w:r>
        <w:t xml:space="preserve"> Gait-derived measures discriminated future fallers in development and internal-validation studies, but confidence in these estimates is low, and the evidence does not establish readiness for routine clinical use. Adequately powered, independent, multisite validation with calibration and decision-analytic evaluation is required.</w:t>
      </w:r>
    </w:p>
    <w:p w14:paraId="7BB7E30B" w14:textId="77777777" w:rsidR="007C1CDA" w:rsidRPr="001A0468" w:rsidRDefault="007C1CDA" w:rsidP="006D1F3D">
      <w:pPr>
        <w:pStyle w:val="MDPI18keywords"/>
        <w:rPr>
          <w:szCs w:val="18"/>
        </w:rPr>
      </w:pPr>
      <w:r>
        <w:rPr>
          <w:b/>
        </w:rPr>
        <w:t>Keywords:</w:t>
      </w:r>
      <w:r>
        <w:t xml:space="preserve"> accidental falls; older adults; gait analysis; wearable sensors; computer vision; prognostic model; machine learning; external validation; PROBAST+AI; digital biomarkers</w:t>
      </w:r>
    </w:p>
    <w:p w14:paraId="588E0AD7" w14:textId="77777777" w:rsidR="007C1CDA" w:rsidRPr="001A0468" w:rsidRDefault="007C1CDA" w:rsidP="006D1F3D">
      <w:pPr>
        <w:pStyle w:val="MDPI19line"/>
      </w:pPr>
    </w:p>
    <w:p>
      <w:pPr>
        <w:pStyle w:val="MDPI21heading1"/>
      </w:pPr>
      <w:r>
        <w:t>1. Introduction</w:t>
      </w:r>
    </w:p>
    <w:p>
      <w:pPr>
        <w:pStyle w:val="MDPI31text"/>
      </w:pPr>
      <w:r>
        <w:t>Falls are a leading cause of injury, loss of independence, and injury-related death in older adults, and their frequency rises steeply with age, frailty, and multimorbidity [1,2]. The World Guidelines for Falls Prevention and Management recommend opportunistic case finding followed by multifactorial assessment of those at high risk, with gait and balance evaluation at its core [2]. In practice, risk stratification relies largely on fall history, clinical questions, and brief performance tests, which are episodic, depend on the setting and examiner, and have limited predictive accuracy when used alone [2]. An objective, repeatable, and scalable estimate of an individual’s probability of falling over a defined period would therefore be clinically valuable, provided that it is accurate, calibrated, and transportable to the settings in which it will be used.</w:t>
      </w:r>
    </w:p>
    <w:p>
      <w:pPr>
        <w:pStyle w:val="MDPI31text"/>
      </w:pPr>
      <w:r>
        <w:t>Gait is a biologically plausible source of such information because walking integrates musculoskeletal, neurological, sensory, cardiovascular, and cognitive function. Slower speed, reduced rhythm, and greater stride-to-stride variability have been prospectively associated with incident falls [3]. Inertial measurement units (IMUs), pressure-sensing insoles, smartphones, and wrist devices can quantify these features during structured tests or during days of free-living activity, and depth or video cameras can estimate gait without a body-worn device [4–6]. Such digital gait biomarkers are increasingly promoted as diagnostic and prognostic tools for fall-risk screening.</w:t>
      </w:r>
    </w:p>
    <w:p>
      <w:pPr>
        <w:pStyle w:val="MDPI31text"/>
      </w:pPr>
      <w:r>
        <w:t>Whether these technologies are ready for clinical decisions is less clear. Three analytically distinct tasks are often labelled “fall prediction”: detection of a fall as it occurs, classification of people according to their past falls, and prediction of falls that occur after the measurement. Only the third is prognostic. Even among prospective studies, optimism can arise when repeated windows from the same participant enter both training and test sets, when feature selection precedes cross-validation, or when many candidate features are evaluated relative to the number of fallers [7,8]. Existing syntheses have combined retrospective and prospective designs, pooled reconstructed accuracy data across heterogeneous models, or predated the recent expansion of machine learning and computer vision [4,5,7,9]. None has appraised this literature with PROBAST+AI, the 2025 update of the Prediction model Risk Of Bias ASsessment Tool for models developed with regression or artificial intelligence methods [10], and none has systematically accounted for repeated publication from the same cohorts.</w:t>
      </w:r>
    </w:p>
    <w:p>
      <w:pPr>
        <w:pStyle w:val="MDPI31text"/>
      </w:pPr>
      <w:r>
        <w:t>Clinical use of a prediction model requires more than discrimination. It requires a defined target population and index time, a stated prediction horizon, calibrated probabilities, performance that holds in new participants and settings, and evidence that decisions based on the model improve outcomes [10,11]. For sensor-based models, transportability depends on the entire measurement pipeline—hardware, placement, acquisition protocol, signal processing, feature construction, and classifier—not on the final algorithm alone [6,10].</w:t>
      </w:r>
    </w:p>
    <w:p>
      <w:pPr>
        <w:pStyle w:val="MDPI31text"/>
      </w:pPr>
      <w:r>
        <w:t>We therefore conducted a systematic review of prognostic models that use wearable- or vision-derived gait measurements to predict future falls in older adults. The objectives were to (1) characterize populations, sensing technologies, gait domains, outcomes, and prediction horizons; (2) distinguish apparent, internally validated, prospectively evaluated, and independently evaluated performance; (3) describe discrimination, calibration, incremental value over clinical predictors, and clinical utility; (4) assess risk of bias and applicability with PROBAST+AI; and (5) summarize the evidence available against explicit criteria for clinical readiness. To our knowledge, this is the first review to restrict the evidence to strictly prospective individualized prediction, to cluster overlapping cohorts, to include vision-based as well as wearable sensing, and to apply PROBAST+AI to this field.</w:t>
      </w:r>
    </w:p>
    <w:p>
      <w:pPr>
        <w:pStyle w:val="MDPI21heading1"/>
      </w:pPr>
      <w:r>
        <w:t>2. Materials and Methods</w:t>
      </w:r>
    </w:p>
    <w:p>
      <w:pPr>
        <w:pStyle w:val="MDPI22heading2"/>
      </w:pPr>
      <w:r>
        <w:t>2.1. Protocol Registration and Reporting</w:t>
      </w:r>
    </w:p>
    <w:p>
      <w:pPr>
        <w:pStyle w:val="MDPI31text"/>
      </w:pPr>
      <w:r>
        <w:t>The review protocol was registered in PROSPERO (CRD420261502037; https://www.crd.york.ac.uk/PROSPERO/view/CRD420261502037). Reporting follows the Preferred Reporting Items for Systematic Reviews and Meta-Analyses (PRISMA) 2020 statement [12]; the completed PRISMA 2020 checklist is provided with the Supplementary Materials. Prediction-model items were reported according to TRIPOD-SRMA [13], and data items were based on the CHARMS checklist [14]. The review question was as follows: in older adults, how valid, transportable, and clinically ready are models that use wearable- or vision-derived gait measurements, obtained before follow-up, to predict subsequent falls? Deviations from the registered protocol are reported in Section 2.10.</w:t>
      </w:r>
    </w:p>
    <w:p>
      <w:pPr>
        <w:pStyle w:val="MDPI22heading2"/>
      </w:pPr>
      <w:r>
        <w:t>2.2. Eligibility Criteria</w:t>
      </w:r>
    </w:p>
    <w:p>
      <w:pPr>
        <w:pStyle w:val="MDPI31text"/>
      </w:pPr>
      <w:r>
        <w:t>Eligibility was defined using the population, index model, comparator, outcome, timing, and setting (PICOTS) framework (Table 1). Eligible reports studied an older-adult population (minimum, mean, or median age ≥60 years, or separately reported older-adult results) in any community, clinical, or residential setting, including disease-specific populations such as people with Parkinson disease or dementia; quantified gait with a body-worn or portable sensor or a camera-based vision system; completed predictor measurement before the fall-outcome window; ascertained actual subsequent falls; and reported individualized model performance (discrimination, calibration, or classification accuracy). Models could use gait alone or combine gait with clinical predictors, and development, internal validation, temporal testing, updating, and external validation studies were all eligible. Fixed commercial scores were eligible when their inputs included sensor-derived gait and they were evaluated against prospectively ascertained falls.</w:t>
      </w:r>
    </w:p>
    <w:p>
      <w:pPr>
        <w:pStyle w:val="MDPI31text"/>
      </w:pPr>
      <w:r>
        <w:t>We excluded studies of retrospective or concurrent faller classification, real-time fall detection, prognostic-factor associations without individualized performance, surrogate fall-risk scores as the outcome, measurement-validation studies without future falls, intervention-effect studies, and non-gait sensor models. English-language peer-reviewed journal reports published from 1 January 2000 to 20 July 2026 were considered; the lower limit reflects the introduction of the digital wearable and computer-vision pipelines that are the focus of this review. Reports were never excluded because performance was poor or incompletely reported.</w:t>
      </w:r>
    </w:p>
    <w:p>
      <w:pPr>
        <w:pStyle w:val="MDPI41tablecaption"/>
      </w:pPr>
      <w:r>
        <w:rPr>
          <w:b/>
        </w:rPr>
        <w:t>Table 1.</w:t>
      </w:r>
      <w:r>
        <w:t xml:space="preserve"> Eligibility criteria (PICOTS framework).</w:t>
      </w:r>
    </w:p>
    <w:tbl>
      <w:tblPr>
        <w:tblStyle w:val="MDPI41threelinetable"/>
        <w:tblW w:type="dxa" w:w="7857"/>
        <w:tblLook w:firstColumn="1" w:firstRow="1" w:lastColumn="0" w:lastRow="0" w:noHBand="0" w:noVBand="1" w:val="04A0"/>
        <w:tblInd w:w="2608" w:type="dxa"/>
        <w:tblLayout w:type="fixed"/>
      </w:tblPr>
      <w:tblGrid>
        <w:gridCol w:w="1318"/>
        <w:gridCol w:w="3269"/>
        <w:gridCol w:w="3270"/>
      </w:tblGrid>
      <w:tr>
        <w:trPr>
          <w:tblHeader/>
        </w:trPr>
        <w:tc>
          <w:tcPr>
            <w:tcW w:type="dxa" w:w="1318"/>
          </w:tcPr>
          <w:p>
            <w:pPr>
              <w:pStyle w:val="MDPI42tablebody"/>
              <w:jc w:val="left"/>
            </w:pPr>
            <w:r>
              <w:rPr>
                <w:b/>
                <w:sz w:val="18"/>
              </w:rPr>
              <w:t>Element</w:t>
            </w:r>
          </w:p>
        </w:tc>
        <w:tc>
          <w:tcPr>
            <w:tcW w:type="dxa" w:w="3269"/>
          </w:tcPr>
          <w:p>
            <w:pPr>
              <w:pStyle w:val="MDPI42tablebody"/>
            </w:pPr>
            <w:r>
              <w:rPr>
                <w:b/>
                <w:sz w:val="18"/>
              </w:rPr>
              <w:t>Included</w:t>
            </w:r>
          </w:p>
        </w:tc>
        <w:tc>
          <w:tcPr>
            <w:tcW w:type="dxa" w:w="3270"/>
          </w:tcPr>
          <w:p>
            <w:pPr>
              <w:pStyle w:val="MDPI42tablebody"/>
            </w:pPr>
            <w:r>
              <w:rPr>
                <w:b/>
                <w:sz w:val="18"/>
              </w:rPr>
              <w:t>Excluded</w:t>
            </w:r>
          </w:p>
        </w:tc>
      </w:tr>
      <w:tr>
        <w:tc>
          <w:tcPr>
            <w:tcW w:type="dxa" w:w="1318"/>
          </w:tcPr>
          <w:p>
            <w:pPr>
              <w:pStyle w:val="MDPI42tablebody"/>
              <w:jc w:val="left"/>
            </w:pPr>
            <w:r>
              <w:rPr>
                <w:sz w:val="18"/>
              </w:rPr>
              <w:t>Population</w:t>
            </w:r>
          </w:p>
        </w:tc>
        <w:tc>
          <w:tcPr>
            <w:tcW w:type="dxa" w:w="3269"/>
          </w:tcPr>
          <w:p>
            <w:pPr>
              <w:pStyle w:val="MDPI42tablebody"/>
            </w:pPr>
            <w:r>
              <w:rPr>
                <w:sz w:val="18"/>
              </w:rPr>
              <w:t>Older adults: minimum, mean, or median age ≥60 years, or separately reported older-adult results</w:t>
            </w:r>
          </w:p>
        </w:tc>
        <w:tc>
          <w:tcPr>
            <w:tcW w:type="dxa" w:w="3270"/>
          </w:tcPr>
          <w:p>
            <w:pPr>
              <w:pStyle w:val="MDPI42tablebody"/>
            </w:pPr>
            <w:r>
              <w:rPr>
                <w:sz w:val="18"/>
              </w:rPr>
              <w:t>Younger or mixed-age cohorts without separable older-adult results</w:t>
            </w:r>
          </w:p>
        </w:tc>
      </w:tr>
      <w:tr>
        <w:tc>
          <w:tcPr>
            <w:tcW w:type="dxa" w:w="1318"/>
          </w:tcPr>
          <w:p>
            <w:pPr>
              <w:pStyle w:val="MDPI42tablebody"/>
              <w:jc w:val="left"/>
            </w:pPr>
            <w:r>
              <w:rPr>
                <w:sz w:val="18"/>
              </w:rPr>
              <w:t>Index model</w:t>
            </w:r>
          </w:p>
        </w:tc>
        <w:tc>
          <w:tcPr>
            <w:tcW w:type="dxa" w:w="3269"/>
          </w:tcPr>
          <w:p>
            <w:pPr>
              <w:pStyle w:val="MDPI42tablebody"/>
            </w:pPr>
            <w:r>
              <w:rPr>
                <w:sz w:val="18"/>
              </w:rPr>
              <w:t>≥1 gait measure from a wearable/portable sensor or camera-based vision system, alone or combined with clinical predictors</w:t>
            </w:r>
          </w:p>
        </w:tc>
        <w:tc>
          <w:tcPr>
            <w:tcW w:type="dxa" w:w="3270"/>
          </w:tcPr>
          <w:p>
            <w:pPr>
              <w:pStyle w:val="MDPI42tablebody"/>
            </w:pPr>
            <w:r>
              <w:rPr>
                <w:sz w:val="18"/>
              </w:rPr>
              <w:t>Clinical observation only; instrumented walkway only; activity-only or non-gait sensor models</w:t>
            </w:r>
          </w:p>
        </w:tc>
      </w:tr>
      <w:tr>
        <w:tc>
          <w:tcPr>
            <w:tcW w:type="dxa" w:w="1318"/>
          </w:tcPr>
          <w:p>
            <w:pPr>
              <w:pStyle w:val="MDPI42tablebody"/>
              <w:jc w:val="left"/>
            </w:pPr>
            <w:r>
              <w:rPr>
                <w:sz w:val="18"/>
              </w:rPr>
              <w:t>Comparator</w:t>
            </w:r>
          </w:p>
        </w:tc>
        <w:tc>
          <w:tcPr>
            <w:tcW w:type="dxa" w:w="3269"/>
          </w:tcPr>
          <w:p>
            <w:pPr>
              <w:pStyle w:val="MDPI42tablebody"/>
            </w:pPr>
            <w:r>
              <w:rPr>
                <w:sz w:val="18"/>
              </w:rPr>
              <w:t>Not required; clinical-only or non-gait models extracted when reported</w:t>
            </w:r>
          </w:p>
        </w:tc>
        <w:tc>
          <w:tcPr>
            <w:tcW w:type="dxa" w:w="3270"/>
          </w:tcPr>
          <w:p>
            <w:pPr>
              <w:pStyle w:val="MDPI42tablebody"/>
            </w:pPr>
            <w:r>
              <w:rPr>
                <w:sz w:val="18"/>
              </w:rPr>
              <w:t>—</w:t>
            </w:r>
          </w:p>
        </w:tc>
      </w:tr>
      <w:tr>
        <w:tc>
          <w:tcPr>
            <w:tcW w:type="dxa" w:w="1318"/>
          </w:tcPr>
          <w:p>
            <w:pPr>
              <w:pStyle w:val="MDPI42tablebody"/>
              <w:jc w:val="left"/>
            </w:pPr>
            <w:r>
              <w:rPr>
                <w:sz w:val="18"/>
              </w:rPr>
              <w:t>Outcome</w:t>
            </w:r>
          </w:p>
        </w:tc>
        <w:tc>
          <w:tcPr>
            <w:tcW w:type="dxa" w:w="3269"/>
          </w:tcPr>
          <w:p>
            <w:pPr>
              <w:pStyle w:val="MDPI42tablebody"/>
            </w:pPr>
            <w:r>
              <w:rPr>
                <w:sz w:val="18"/>
              </w:rPr>
              <w:t>Actual subsequent falls: any, recurrent, injurious, count, or time to first fall</w:t>
            </w:r>
          </w:p>
        </w:tc>
        <w:tc>
          <w:tcPr>
            <w:tcW w:type="dxa" w:w="3270"/>
          </w:tcPr>
          <w:p>
            <w:pPr>
              <w:pStyle w:val="MDPI42tablebody"/>
            </w:pPr>
            <w:r>
              <w:rPr>
                <w:sz w:val="18"/>
              </w:rPr>
              <w:t>Surrogate fall-risk scales, fear of falling, balance decline, or measurement validity only</w:t>
            </w:r>
          </w:p>
        </w:tc>
      </w:tr>
      <w:tr>
        <w:tc>
          <w:tcPr>
            <w:tcW w:type="dxa" w:w="1318"/>
          </w:tcPr>
          <w:p>
            <w:pPr>
              <w:pStyle w:val="MDPI42tablebody"/>
              <w:jc w:val="left"/>
            </w:pPr>
            <w:r>
              <w:rPr>
                <w:sz w:val="18"/>
              </w:rPr>
              <w:t>Timing</w:t>
            </w:r>
          </w:p>
        </w:tc>
        <w:tc>
          <w:tcPr>
            <w:tcW w:type="dxa" w:w="3269"/>
          </w:tcPr>
          <w:p>
            <w:pPr>
              <w:pStyle w:val="MDPI42tablebody"/>
            </w:pPr>
            <w:r>
              <w:rPr>
                <w:sz w:val="18"/>
              </w:rPr>
              <w:t>Gait measurement completed before the fall-outcome window; horizon reported or derivable</w:t>
            </w:r>
          </w:p>
        </w:tc>
        <w:tc>
          <w:tcPr>
            <w:tcW w:type="dxa" w:w="3270"/>
          </w:tcPr>
          <w:p>
            <w:pPr>
              <w:pStyle w:val="MDPI42tablebody"/>
            </w:pPr>
            <w:r>
              <w:rPr>
                <w:sz w:val="18"/>
              </w:rPr>
              <w:t>Retrospective or concurrent faller classification; real-time or pre-impact fall detection</w:t>
            </w:r>
          </w:p>
        </w:tc>
      </w:tr>
      <w:tr>
        <w:tc>
          <w:tcPr>
            <w:tcW w:type="dxa" w:w="1318"/>
          </w:tcPr>
          <w:p>
            <w:pPr>
              <w:pStyle w:val="MDPI42tablebody"/>
              <w:jc w:val="left"/>
            </w:pPr>
            <w:r>
              <w:rPr>
                <w:sz w:val="18"/>
              </w:rPr>
              <w:t>Setting</w:t>
            </w:r>
          </w:p>
        </w:tc>
        <w:tc>
          <w:tcPr>
            <w:tcW w:type="dxa" w:w="3269"/>
          </w:tcPr>
          <w:p>
            <w:pPr>
              <w:pStyle w:val="MDPI42tablebody"/>
            </w:pPr>
            <w:r>
              <w:rPr>
                <w:sz w:val="18"/>
              </w:rPr>
              <w:t>Community, outpatient, inpatient, emergency, post-acute, nursing-home, or long-term-care settings</w:t>
            </w:r>
          </w:p>
        </w:tc>
        <w:tc>
          <w:tcPr>
            <w:tcW w:type="dxa" w:w="3270"/>
          </w:tcPr>
          <w:p>
            <w:pPr>
              <w:pStyle w:val="MDPI42tablebody"/>
            </w:pPr>
            <w:r>
              <w:rPr>
                <w:sz w:val="18"/>
              </w:rPr>
              <w:t>Simulated or non-human settings</w:t>
            </w:r>
          </w:p>
        </w:tc>
      </w:tr>
      <w:tr>
        <w:tc>
          <w:tcPr>
            <w:tcW w:type="dxa" w:w="1318"/>
          </w:tcPr>
          <w:p>
            <w:pPr>
              <w:pStyle w:val="MDPI42tablebody"/>
              <w:jc w:val="left"/>
            </w:pPr>
            <w:r>
              <w:rPr>
                <w:sz w:val="18"/>
              </w:rPr>
              <w:t>Model evidence</w:t>
            </w:r>
          </w:p>
        </w:tc>
        <w:tc>
          <w:tcPr>
            <w:tcW w:type="dxa" w:w="3269"/>
          </w:tcPr>
          <w:p>
            <w:pPr>
              <w:pStyle w:val="MDPI42tablebody"/>
            </w:pPr>
            <w:r>
              <w:rPr>
                <w:sz w:val="18"/>
              </w:rPr>
              <w:t>Development, internal validation, updating, or external validation with individualized discrimination, calibration, or classification performance</w:t>
            </w:r>
          </w:p>
        </w:tc>
        <w:tc>
          <w:tcPr>
            <w:tcW w:type="dxa" w:w="3270"/>
          </w:tcPr>
          <w:p>
            <w:pPr>
              <w:pStyle w:val="MDPI42tablebody"/>
            </w:pPr>
            <w:r>
              <w:rPr>
                <w:sz w:val="18"/>
              </w:rPr>
              <w:t>Prognostic-factor associations without individualized performance</w:t>
            </w:r>
          </w:p>
        </w:tc>
      </w:tr>
      <w:tr>
        <w:tc>
          <w:tcPr>
            <w:tcW w:type="dxa" w:w="1318"/>
          </w:tcPr>
          <w:p>
            <w:pPr>
              <w:pStyle w:val="MDPI42tablebody"/>
              <w:jc w:val="left"/>
            </w:pPr>
            <w:r>
              <w:rPr>
                <w:sz w:val="18"/>
              </w:rPr>
              <w:t>Report</w:t>
            </w:r>
          </w:p>
        </w:tc>
        <w:tc>
          <w:tcPr>
            <w:tcW w:type="dxa" w:w="3269"/>
          </w:tcPr>
          <w:p>
            <w:pPr>
              <w:pStyle w:val="MDPI42tablebody"/>
            </w:pPr>
            <w:r>
              <w:rPr>
                <w:sz w:val="18"/>
              </w:rPr>
              <w:t>English-language peer-reviewed journal article, 1 January 2000 to 20 July 2026</w:t>
            </w:r>
          </w:p>
        </w:tc>
        <w:tc>
          <w:tcPr>
            <w:tcW w:type="dxa" w:w="3270"/>
          </w:tcPr>
          <w:p>
            <w:pPr>
              <w:pStyle w:val="MDPI42tablebody"/>
            </w:pPr>
            <w:r>
              <w:rPr>
                <w:sz w:val="18"/>
              </w:rPr>
              <w:t>Conference abstracts, theses, protocols, reviews, and commentaries</w:t>
            </w:r>
          </w:p>
        </w:tc>
      </w:tr>
    </w:tbl>
    <w:p>
      <w:pPr>
        <w:pStyle w:val="MDPI43tablefooter"/>
      </w:pPr>
      <w:r>
        <w:t>PICOTS: population, index model, comparator, outcome, timing, and setting.</w:t>
      </w:r>
    </w:p>
    <w:p>
      <w:pPr>
        <w:pStyle w:val="MDPI22heading2"/>
      </w:pPr>
      <w:r>
        <w:t>2.3. Information Sources and Search Strategy</w:t>
      </w:r>
    </w:p>
    <w:p>
      <w:pPr>
        <w:pStyle w:val="MDPI31text"/>
      </w:pPr>
      <w:r>
        <w:t>MEDLINE (PubMed), Embase (Ovid), Scopus, Web of Science Core Collection, IEEE Xplore, CINAHL (EBSCOhost), APA PsycInfo (EBSCOhost), the ACM Digital Library, and the Cochrane Central Register of Controlled Trials (CENTRAL) were searched from 1 January 2000 to 20 July 2026. Google Scholar was searched as a supplementary source, with screening of the first 200 relevance-ranked records. Trial and study registries, ProQuest Dissertations &amp; Theses Global, and the medRxiv and arXiv preprint servers were searched with the same core concepts, and backward and forward citation searching of included reports and relevant reviews was performed. Database strategies combined concept blocks for older adults, gait or walking, wearable, portable, or vision-based sensing, and falls, supplemented by prediction and performance terms; block combinations were adapted to each interface. Supplementary Table S1 reports the database strategies as recorded, presented line by line, with limits, search dates, and yields, together with the aggregate yields of the supplementary sources.</w:t>
      </w:r>
    </w:p>
    <w:p>
      <w:pPr>
        <w:pStyle w:val="MDPI31text"/>
      </w:pPr>
      <w:r>
        <w:t>Because several strategies required a gait or walking term, a known-item and eligibility sensitivity check was performed before the synthesis was finalized, using broader mobility-test terminology (for example, Timed Up and Go, sit-to-stand, turning, stepping, postural, and balance terms) and rechecking citation-linked candidates of the included reports. This check identified one eligible report that had been excluded at title/abstract screening [15]; it was reinstated and is included in all analyses.</w:t>
      </w:r>
    </w:p>
    <w:p>
      <w:pPr>
        <w:pStyle w:val="MDPI22heading2"/>
      </w:pPr>
      <w:r>
        <w:t>2.4. Study Selection and Source Access</w:t>
      </w:r>
    </w:p>
    <w:p>
      <w:pPr>
        <w:pStyle w:val="MDPI31text"/>
      </w:pPr>
      <w:r>
        <w:t>Records were deduplicated using digital object identifiers and normalized titles. Titles and abstracts, and then reports, were assessed against the eligibility criteria. Each record was assessed by one reviewer and every decision was verified by a second reviewer against the source record; all eligibility decisions at the report stage were then cross-checked by the four-member review team, and disagreements were resolved by discussion until consensus was reached. No automation tool excluded records. When several exclusion reasons applied, a prespecified hierarchy (publication type, population, index measurement, temporality/outcome, and analysis type) determined the principal reason. Excluded reports that might appear eligible are listed with reasons in Supplementary Table S4.</w:t>
      </w:r>
    </w:p>
    <w:p>
      <w:pPr>
        <w:pStyle w:val="MDPI31text"/>
      </w:pPr>
      <w:r>
        <w:t>Complete journal articles were sought through publisher websites, institutional subscriptions, and open-access and institutional repositories. Two groups of reports without an accessible complete article are distinguished. First, 11 reports could not be retrieved in any form sufficient to judge eligibility and were not assessed (the “not retrieved” box in Figure 1). Second, 11 further reports were assessed using the indexed abstract and other accessible primary material (for example, publisher abstract pages and online tables or figures) because the complete article could not be obtained, but this material was sufficient to confirm the two decisive eligibility criteria: completion of gait measurement before the fall-outcome window and individualized model performance. All 11 met the criteria and were included. For these reports, eligibility, extraction, and appraisal were restricted to what the accessible material established; related documents such as companion papers, theses, posters, and conference abstracts were not used as substitutes. Methods not described in the accessible material were treated as not reported rather than as absent. Supplementary Table S3 lists each report with its DOI, the material used, the retrieval routes attempted, and the items that could not be verified.</w:t>
      </w:r>
    </w:p>
    <w:p>
      <w:pPr>
        <w:pStyle w:val="MDPI22heading2"/>
      </w:pPr>
      <w:r>
        <w:t>2.5. Data Extraction and Management of Overlapping Cohorts</w:t>
      </w:r>
    </w:p>
    <w:p>
      <w:pPr>
        <w:pStyle w:val="MDPI31text"/>
      </w:pPr>
      <w:r>
        <w:t>A structured form based on CHARMS [14] captured bibliographic details, setting, age, sample size and number of fallers, outcome definition and ascertainment, prediction horizon, gait task, device and placement, candidate predictors, modelling method, validation method, discrimination, classification and calibration measures, measures of uncertainty, and principal limitations. Extraction was performed by one reviewer and verified in full by a second reviewer; all extracted values were then cross-checked by the review team, and internal numerical consistency was checked for every structured field. Information not reported was recorded as not reported (NR). One exception was permitted for plotting: in one report the number of fallers was available only as a rounded percentage of a rounded denominator, and an approximate count (about 10) was derived and labelled as approximate, with the exact count recorded as NR [16]. Uncertainty was extracted as reported and labelled by type: 95% confidence intervals (CIs), standard deviations (SDs) across repeated evaluations, or ranges across resamples; values reported as “±” without definition were reproduced and labelled as such.</w:t>
      </w:r>
    </w:p>
    <w:p>
      <w:pPr>
        <w:pStyle w:val="MDPI31text"/>
      </w:pPr>
      <w:r>
        <w:t>Participant overlap was assessed from recruitment sites, dates, sample sizes, devices, trial identifiers, author groups, and baseline characteristics. Reports sharing participants were assigned to one cohort family and were not treated as independent replications (Supplementary Table S5). Each performance estimate was classified by validation stage: apparent (performance in the development data); internal validation (participant-level resampling or data splitting); prospective fixed-model evaluation (a previously specified model, rule, or commercial score applied to newly followed participants without refitting); target-sample updating (a model refitted or recalibrated in the evaluation sample); and independent-cohort evaluation (previously published models applied with their original coefficients or cut-offs to non-overlapping participants). We distinguished independent-cohort evaluation of a model from faithful replication of its complete sensor-to-model pipeline, which additionally requires that predictors be measured and processed exactly as in development. Results based on observation-level rather than participant-level data splits were retained only to illustrate data leakage.</w:t>
      </w:r>
    </w:p>
    <w:p>
      <w:pPr>
        <w:pStyle w:val="MDPI22heading2"/>
      </w:pPr>
      <w:r>
        <w:t>2.6. Outcomes and Performance Measures</w:t>
      </w:r>
    </w:p>
    <w:p>
      <w:pPr>
        <w:pStyle w:val="MDPI31text"/>
      </w:pPr>
      <w:r>
        <w:t>The primary outcome was any fall occurring after the index measurement. Secondary outcomes were recurrent falls, injurious falls, fall counts, and time to first fall. Prediction horizons were extracted as defined by each report. Discrimination was summarized by the area under the receiver operating characteristic curve (AUC) or concordance statistic (C-index); classification performance by accuracy, sensitivity, specificity, and positive and negative predictive values; calibration by calibration-in-the-large (intercept), calibration slope, observed-to-expected ratios, and calibration plots; overall performance by the Brier score, which combines discrimination and calibration and is not itself a calibration measure; and clinical utility by decision curves and net benefit. Sensitivity, specificity, and predictive values were recalculated only when exact cell counts were published. Apparent, internal, prospective, and independent-cohort estimates were kept separate throughout.</w:t>
      </w:r>
    </w:p>
    <w:p>
      <w:pPr>
        <w:pStyle w:val="MDPI22heading2"/>
      </w:pPr>
      <w:r>
        <w:t>2.7. Risk of Bias and Applicability</w:t>
      </w:r>
    </w:p>
    <w:p>
      <w:pPr>
        <w:pStyle w:val="MDPI31text"/>
      </w:pPr>
      <w:r>
        <w:t>Risk of bias and applicability were assessed with PROBAST+AI [10]. Part A assesses concern about the quality of model development and Part B assesses risk of bias in model evaluation; each covers four domains (participants and data sources, predictors, outcome, and analysis) and applicability. Development and evaluation were appraised separately when a report contained both, for the principal gait-containing model of each report. Consistent with PROBAST+AI, an appropriately conducted internal validation could be rated at low risk of bias; absence of external validation was treated as a limitation of transportability evidence, not as a source of bias. The PROBAST+AI signalling questions were answered for each domain as yes, probably yes, probably no, no, or no information, following the tool’s guidance. A domain was rated high when a signalling question was answered no or probably no on the basis of a reported design or analysis feature, unclear when concerns arose only from information that was not reported, and low otherwise; an overall low judgment required every domain to be low.</w:t>
      </w:r>
    </w:p>
    <w:p>
      <w:pPr>
        <w:pStyle w:val="MDPI31text"/>
      </w:pPr>
      <w:r>
        <w:t>For the sample-size signalling question, adequacy was judged from the precision of the reported performance estimate rather than from a fixed number of events, in line with sample-size guidance for evaluation studies [17]. The expected 95% CI width of the AUC was calculated from the numbers of participants with and without a fall in the evaluation data and the reported AUC (0.75 when no AUC was reported) [18]; widths above 0.20 were considered serious imprecision and widths of 0.10–0.20 moderate imprecision, and moderate imprecision alone did not determine a high rating. For reports assessed without the complete article, items not described in the accessible material were answered “no information”, and a high rating required a feature verifiable from that material. Domain judgments for Parts A and B, the study-specific reasons, the calculated precision, and the DOI of each source are reported in Supplementary Table S7. Applicability was judged against the intended-use population and setting of each model—for example, a Parkinson disease model against people with Parkinson disease—rather than against all older adults; generalizability to the wider older population was recorded separately and descriptively (Supplementary Table S8). Appraisals were performed by one reviewer, verified by a second, and cross-checked by the review team, with disagreements resolved by consensus. Tools designed for intervention effects (RoB 2 and ROBINS-I) and for prognostic-factor studies (QUIPS) were not applicable.</w:t>
      </w:r>
    </w:p>
    <w:p>
      <w:pPr>
        <w:pStyle w:val="MDPI22heading2"/>
      </w:pPr>
      <w:r>
        <w:t>2.8. Synthesis Methods</w:t>
      </w:r>
    </w:p>
    <w:p>
      <w:pPr>
        <w:pStyle w:val="MDPI31text"/>
      </w:pPr>
      <w:r>
        <w:t>Meta-analysis was not appropriate because populations, fall definitions, ascertainment methods, prediction horizons, sensor pipelines, validation stages, and reported metrics were not exchangeable, and several cohorts contributed multiple reports. We therefore performed a structured narrative synthesis organized into five domains: evidence architecture and validation stage; sensing technologies and gait phenotypes; outcomes and horizons; discrimination, incremental value, calibration, and clinical utility; and risk of bias, applicability, and clinical readiness.</w:t>
      </w:r>
    </w:p>
    <w:p>
      <w:pPr>
        <w:pStyle w:val="MDPI31text"/>
      </w:pPr>
      <w:r>
        <w:t>To avoid double counting, one representative AUC was selected per cohort family using a hierarchy defined during analysis (Section 2.10): (1) an independently evaluated gait-containing model for any fall; otherwise (2) a participant-level internally validated gait-containing model; otherwise (3) the principal apparent gait-containing model. Within a level, the earliest prediction horizon with an exact AUC and a matched number of fallers was chosen. When models remained tied, the model with the higher sensitivity was preferred if the alternative had sensitivity below 0.40 (predefined balance rule); otherwise the principal model reported by the authors was chosen. Every selection, with the model, horizon, validation method, number of fallers, and reason, is listed in Supplementary Table S6. Representative AUCs were plotted against the number of participants with the outcome by validation stage, with reported 95% CIs or resampling ranges shown where available, and medians, IQRs, and ranges were tabulated overall, by validation stage, and by event-count band (≤15, 16–39, and ≥40 fallers). These summaries are descriptive, unweighted, and exploratory; they were not used to infer a causal effect of sample size or validation rigor.</w:t>
      </w:r>
    </w:p>
    <w:p>
      <w:pPr>
        <w:pStyle w:val="MDPI31text"/>
      </w:pPr>
      <w:r>
        <w:t>Robustness was examined in five sensitivity analyses: (1) replacing each representative AUC with the lowest and (2) the highest gait-containing AUC reported by the family; (3) excluding the reports assessed without the complete article from the performance synthesis; (4) using the 24-month rather than 60-month estimate for the one family in which the earlier estimate was reported only as a bound; and (5) repeating the PROBAST+AI summaries without the reports assessed without the complete article, and with all non-analysis domains set to low. A probably overlapping report was also treated as an independent cohort. Formal tests for small-study effects require a pooled estimate and were not performed; reporting bias was assessed qualitatively from sample size, model multiplicity, selective reporting, and the scarcity of null external evaluations.</w:t>
      </w:r>
    </w:p>
    <w:p>
      <w:pPr>
        <w:pStyle w:val="MDPI22heading2"/>
      </w:pPr>
      <w:r>
        <w:t>2.9. Certainty of Evidence and Clinical Readiness</w:t>
      </w:r>
    </w:p>
    <w:p>
      <w:pPr>
        <w:pStyle w:val="MDPI31text"/>
      </w:pPr>
      <w:r>
        <w:t>Formal certainty assessment was not performed. GRADE guidance for the certainty of discrimination estimates applies to a body of validation studies of the same prognostic model [19], and no model had been evaluated in more than one independent cohort. Confidence in performance estimates was therefore described qualitatively from risk of bias, precision, and replication. Clinical readiness was assessed separately, as a descriptive construct distinct from certainty, against criteria derived from PROBAST+AI and TRIPOD+AI [10,11]: predictors measured before the outcome window; performance estimated beyond the development data; prospective evaluation of a fixed model without refitting; independent-cohort evaluation; faithful replication of the complete pipeline; evaluation in two or more independent cohorts; calibration intercept, slope, and plot; decision-curve or net-benefit analysis; low overall risk of bias; and evaluation of clinical impact. For each criterion, the evidence was classified as “satisfied in ≥2 cohort families”, “satisfied in one cohort family only”, “assessed but not satisfied” (attempted without meeting the criterion), or “not assessed in any report”.</w:t>
      </w:r>
    </w:p>
    <w:p>
      <w:pPr>
        <w:pStyle w:val="MDPI22heading2"/>
      </w:pPr>
      <w:r>
        <w:t>2.10. Deviations from the Registered Protocol</w:t>
      </w:r>
    </w:p>
    <w:p>
      <w:pPr>
        <w:pStyle w:val="MDPI31text"/>
      </w:pPr>
      <w:r>
        <w:t>Three analytical elements were specified during analysis rather than in the protocol: the representative-result hierarchy used to select one estimate per cohort family, the descriptive event-count bands, and the sensitivity analyses restricted to reports with complete-article access. They were introduced to prevent double counting of overlapping cohorts and to test robustness, and they did not alter eligibility or appraisal decisions. Their influence is quantified by the sensitivity analyses in Table 3.</w:t>
      </w:r>
    </w:p>
    <w:p>
      <w:pPr>
        <w:pStyle w:val="MDPI21heading1"/>
      </w:pPr>
      <w:r>
        <w:t>3. Results</w:t>
      </w:r>
    </w:p>
    <w:p>
      <w:pPr>
        <w:pStyle w:val="MDPI22heading2"/>
      </w:pPr>
      <w:r>
        <w:t>3.1. Study Selection</w:t>
      </w:r>
    </w:p>
    <w:p>
      <w:pPr>
        <w:pStyle w:val="MDPI31text"/>
      </w:pPr>
      <w:r>
        <w:t>The searches identified 14,912 records: 14,667 through databases and registers and 245 through other methods (Supplementary Table S1). After removal of 5433 duplicates, 9479 records were screened and 9127 were excluded. Of 352 reports sought, 11 could not be retrieved and 341 were assessed for eligibility, including 11 assessed from the abstract and other accessible primary material (Figure 1; Supplementary Table S3). Of the 341 reports, 294 were excluded, most commonly because they lacked a prospective fall outcome or valid temporal separation (n = 99), addressed fall detection (n = 53), or reported no individualized performance (n = 44) (Supplementary Table S4). Forty-seven reports representing 37 independent cohort families were included, 36 assessed from the complete article and 11 from abstracts and other accessible primary material [15,16,20–64].</w:t>
      </w:r>
    </w:p>
    <w:p>
      <w:pPr>
        <w:pStyle w:val="MDPI52figure"/>
      </w:pPr>
      <w:r>
        <w:drawing>
          <wp:inline xmlns:a="http://schemas.openxmlformats.org/drawingml/2006/main" xmlns:pic="http://schemas.openxmlformats.org/drawingml/2006/picture">
            <wp:extent cx="4860000" cy="4628177"/>
            <wp:docPr id="1" name="Picture 1"/>
            <wp:cNvGraphicFramePr>
              <a:graphicFrameLocks noChangeAspect="1"/>
            </wp:cNvGraphicFramePr>
            <a:graphic>
              <a:graphicData uri="http://schemas.openxmlformats.org/drawingml/2006/picture">
                <pic:pic>
                  <pic:nvPicPr>
                    <pic:cNvPr id="0" name="Figure1_PRISMA.png"/>
                    <pic:cNvPicPr/>
                  </pic:nvPicPr>
                  <pic:blipFill>
                    <a:blip r:embed="rId17"/>
                    <a:stretch>
                      <a:fillRect/>
                    </a:stretch>
                  </pic:blipFill>
                  <pic:spPr>
                    <a:xfrm>
                      <a:off x="0" y="0"/>
                      <a:ext cx="4860000" cy="4628177"/>
                    </a:xfrm>
                    <a:prstGeom prst="rect"/>
                  </pic:spPr>
                </pic:pic>
              </a:graphicData>
            </a:graphic>
          </wp:inline>
        </w:drawing>
      </w:r>
    </w:p>
    <w:p>
      <w:pPr>
        <w:pStyle w:val="MDPI51figurecaption"/>
      </w:pPr>
      <w:r>
        <w:rPr>
          <w:b/>
        </w:rPr>
        <w:t>Figure 1.</w:t>
      </w:r>
      <w:r>
        <w:t xml:space="preserve"> PRISMA 2020 flow diagram of study selection.</w:t>
      </w:r>
      <w:r>
        <w:t xml:space="preserve"> The 11 reports not retrieved were not assessed; they are distinct from the 11 included reports assessed from the abstract and other accessible primary material.</w:t>
      </w:r>
    </w:p>
    <w:p>
      <w:pPr>
        <w:pStyle w:val="MDPI22heading2"/>
      </w:pPr>
      <w:r>
        <w:t>3.2. Study and Model Characteristics</w:t>
      </w:r>
    </w:p>
    <w:p>
      <w:pPr>
        <w:pStyle w:val="MDPI31text"/>
      </w:pPr>
      <w:r>
        <w:t>Cohort families ranged from 15 to 1705 participants, and 24 of 37 enrolled fewer than 150 participants (Table 2; full extraction in Supplementary Table S2). By intended-use population, 22 reports studied community-dwelling older adults, 12 people with Parkinson disease, dementia, or other neurological conditions, 7 residents of nursing homes or long-term care, 4 hospital or rehabilitation patients, and 2 emergency-department patients. Prediction horizons ranged from 7 days to 5 years, most commonly 6–12 months. Any fall was the dominant outcome; recurrent falls, first falls, and fall counts were modelled less often, and no eligible model predicted injurious falls.</w:t>
      </w:r>
    </w:p>
    <w:p>
      <w:pPr>
        <w:pStyle w:val="MDPI31text"/>
      </w:pPr>
      <w:r>
        <w:t>Forty-five reports used wearable or portable sensors—IMUs on the trunk, waist, shank, or foot; smartphones; instrumented insoles or footwear; and footswitches—and two linked reports from one dementia cohort used ambient computer vision [45,57]. Structured gait tasks predominated, particularly instrumented Timed Up and Go (iTUG) tests and straight walking; free-living monitoring lasted from 24 h to 14 days. Modelling approaches ranged from logistic and survival regression to classification trees, support-vector machines, random forests, and deep neural networks. For three reports, only a separable prospective analysis was eligible: the baseline iTUG model against falls during one month after discharge [16], the participant-level model of new-onset falls at 18 months [38], and the logistic model of falls over 6 months [51].</w:t>
      </w:r>
    </w:p>
    <w:p>
      <w:pPr>
        <w:sectPr w:rsidR="007C1CDA" w:rsidRPr="00A054DE" w:rsidSect="006D1F3D">
          <w:headerReference w:type="even" r:id="rId10"/>
          <w:headerReference w:type="default" r:id="rId11"/>
          <w:footerReference w:type="default" r:id="rId12"/>
          <w:headerReference w:type="first" r:id="rId13"/>
          <w:footerReference w:type="first" r:id="rId14"/>
          <w:type w:val="continuous"/>
          <w:pgSz w:w="11906" w:h="16838" w:code="9"/>
          <w:pgMar w:top="1417" w:right="720" w:bottom="907" w:left="720" w:header="720" w:footer="612" w:gutter="0"/>
          <w:lnNumType w:countBy="1" w:distance="255" w:restart="continuous"/>
          <w:pgNumType w:start="1"/>
          <w:cols w:space="425"/>
          <w:titlePg/>
          <w:bidi/>
          <w:docGrid w:type="lines" w:linePitch="326"/>
        </w:sectPr>
      </w:pPr>
    </w:p>
    <w:p>
      <w:pPr>
        <w:pStyle w:val="MDPI41tablecaption"/>
      </w:pPr>
      <w:r>
        <w:rPr>
          <w:b/>
        </w:rPr>
        <w:t>Table 2.</w:t>
      </w:r>
      <w:r>
        <w:t xml:space="preserve"> Characteristics and principal results of the 47 included reports.</w:t>
      </w:r>
    </w:p>
    <w:tbl>
      <w:tblPr>
        <w:tblStyle w:val="MDPI41threelinetable"/>
        <w:tblW w:type="dxa" w:w="14850"/>
        <w:tblLook w:firstColumn="1" w:firstRow="1" w:lastColumn="0" w:lastRow="0" w:noHBand="0" w:noVBand="1" w:val="04A0"/>
        <w:jc w:val="center"/>
        <w:tblLayout w:type="fixed"/>
      </w:tblPr>
      <w:tblGrid>
        <w:gridCol w:w="1650"/>
        <w:gridCol w:w="2500"/>
        <w:gridCol w:w="2450"/>
        <w:gridCol w:w="1650"/>
        <w:gridCol w:w="2450"/>
        <w:gridCol w:w="3300"/>
        <w:gridCol w:w="850"/>
      </w:tblGrid>
      <w:tr>
        <w:trPr>
          <w:tblHeader/>
        </w:trPr>
        <w:tc>
          <w:tcPr>
            <w:tcW w:type="dxa" w:w="1650"/>
          </w:tcPr>
          <w:p>
            <w:pPr>
              <w:pStyle w:val="MDPI42tablebody"/>
              <w:jc w:val="left"/>
            </w:pPr>
            <w:r>
              <w:rPr>
                <w:b/>
                <w:sz w:val="15"/>
              </w:rPr>
              <w:t>Study</w:t>
            </w:r>
          </w:p>
        </w:tc>
        <w:tc>
          <w:tcPr>
            <w:tcW w:type="dxa" w:w="2500"/>
          </w:tcPr>
          <w:p>
            <w:pPr>
              <w:pStyle w:val="MDPI42tablebody"/>
              <w:jc w:val="left"/>
            </w:pPr>
            <w:r>
              <w:rPr>
                <w:b/>
                <w:sz w:val="15"/>
              </w:rPr>
              <w:t>Population; n (fallers)</w:t>
            </w:r>
          </w:p>
        </w:tc>
        <w:tc>
          <w:tcPr>
            <w:tcW w:type="dxa" w:w="2450"/>
          </w:tcPr>
          <w:p>
            <w:pPr>
              <w:pStyle w:val="MDPI42tablebody"/>
              <w:jc w:val="left"/>
            </w:pPr>
            <w:r>
              <w:rPr>
                <w:b/>
                <w:sz w:val="15"/>
              </w:rPr>
              <w:t>Sensor; gait task</w:t>
            </w:r>
          </w:p>
        </w:tc>
        <w:tc>
          <w:tcPr>
            <w:tcW w:type="dxa" w:w="1650"/>
          </w:tcPr>
          <w:p>
            <w:pPr>
              <w:pStyle w:val="MDPI42tablebody"/>
              <w:jc w:val="left"/>
            </w:pPr>
            <w:r>
              <w:rPr>
                <w:b/>
                <w:sz w:val="15"/>
              </w:rPr>
              <w:t>Outcome; horizon</w:t>
            </w:r>
          </w:p>
        </w:tc>
        <w:tc>
          <w:tcPr>
            <w:tcW w:type="dxa" w:w="2450"/>
          </w:tcPr>
          <w:p>
            <w:pPr>
              <w:pStyle w:val="MDPI42tablebody"/>
              <w:jc w:val="left"/>
            </w:pPr>
            <w:r>
              <w:rPr>
                <w:b/>
                <w:sz w:val="15"/>
              </w:rPr>
              <w:t>Model; validation stage</w:t>
            </w:r>
          </w:p>
        </w:tc>
        <w:tc>
          <w:tcPr>
            <w:tcW w:type="dxa" w:w="3300"/>
          </w:tcPr>
          <w:p>
            <w:pPr>
              <w:pStyle w:val="MDPI42tablebody"/>
              <w:jc w:val="left"/>
            </w:pPr>
            <w:r>
              <w:rPr>
                <w:b/>
                <w:sz w:val="15"/>
              </w:rPr>
              <w:t>Principal performance</w:t>
            </w:r>
          </w:p>
        </w:tc>
        <w:tc>
          <w:tcPr>
            <w:tcW w:type="dxa" w:w="850"/>
          </w:tcPr>
          <w:p>
            <w:pPr>
              <w:pStyle w:val="MDPI42tablebody"/>
              <w:jc w:val="left"/>
            </w:pPr>
            <w:r>
              <w:rPr>
                <w:b/>
                <w:sz w:val="15"/>
              </w:rPr>
              <w:t>RoB (D/E)</w:t>
            </w:r>
          </w:p>
        </w:tc>
      </w:tr>
      <w:tr>
        <w:tc>
          <w:tcPr>
            <w:tcW w:type="dxa" w:w="1650"/>
          </w:tcPr>
          <w:p>
            <w:pPr>
              <w:pStyle w:val="MDPI42tablebody"/>
              <w:jc w:val="left"/>
            </w:pPr>
            <w:r>
              <w:rPr>
                <w:sz w:val="15"/>
              </w:rPr>
              <w:t>Marschollek et al. 2011 [20]†</w:t>
            </w:r>
          </w:p>
        </w:tc>
        <w:tc>
          <w:tcPr>
            <w:tcW w:type="dxa" w:w="2500"/>
          </w:tcPr>
          <w:p>
            <w:pPr>
              <w:pStyle w:val="MDPI42tablebody"/>
              <w:jc w:val="left"/>
            </w:pPr>
            <w:r>
              <w:rPr>
                <w:sz w:val="15"/>
              </w:rPr>
              <w:t>Geriatric inpatients; 119 enrolled, 50 followed (NR)</w:t>
            </w:r>
          </w:p>
        </w:tc>
        <w:tc>
          <w:tcPr>
            <w:tcW w:type="dxa" w:w="2450"/>
          </w:tcPr>
          <w:p>
            <w:pPr>
              <w:pStyle w:val="MDPI42tablebody"/>
              <w:jc w:val="left"/>
            </w:pPr>
            <w:r>
              <w:rPr>
                <w:sz w:val="15"/>
              </w:rPr>
              <w:t>Waist accelerometer; TUG and 20-m walk</w:t>
            </w:r>
          </w:p>
        </w:tc>
        <w:tc>
          <w:tcPr>
            <w:tcW w:type="dxa" w:w="1650"/>
          </w:tcPr>
          <w:p>
            <w:pPr>
              <w:pStyle w:val="MDPI42tablebody"/>
              <w:jc w:val="left"/>
            </w:pPr>
            <w:r>
              <w:rPr>
                <w:sz w:val="15"/>
              </w:rPr>
              <w:t>Any fall; 12 mo</w:t>
            </w:r>
          </w:p>
        </w:tc>
        <w:tc>
          <w:tcPr>
            <w:tcW w:type="dxa" w:w="2450"/>
          </w:tcPr>
          <w:p>
            <w:pPr>
              <w:pStyle w:val="MDPI42tablebody"/>
              <w:jc w:val="left"/>
            </w:pPr>
            <w:r>
              <w:rPr>
                <w:sz w:val="15"/>
              </w:rPr>
              <w:t>Classification tree, LR; Int (10 × 10-fold CV)</w:t>
            </w:r>
          </w:p>
        </w:tc>
        <w:tc>
          <w:tcPr>
            <w:tcW w:type="dxa" w:w="3300"/>
          </w:tcPr>
          <w:p>
            <w:pPr>
              <w:pStyle w:val="MDPI42tablebody"/>
              <w:jc w:val="left"/>
            </w:pPr>
            <w:r>
              <w:rPr>
                <w:sz w:val="15"/>
              </w:rPr>
              <w:t>Tree AUC 0.87; LR AUC 0.72; Brier 0.14</w:t>
            </w:r>
          </w:p>
        </w:tc>
        <w:tc>
          <w:tcPr>
            <w:tcW w:type="dxa" w:w="850"/>
          </w:tcPr>
          <w:p>
            <w:pPr>
              <w:pStyle w:val="MDPI42tablebody"/>
              <w:jc w:val="left"/>
            </w:pPr>
            <w:r>
              <w:rPr>
                <w:sz w:val="15"/>
              </w:rPr>
              <w:t>H/H</w:t>
            </w:r>
          </w:p>
        </w:tc>
      </w:tr>
      <w:tr>
        <w:tc>
          <w:tcPr>
            <w:tcW w:type="dxa" w:w="1650"/>
          </w:tcPr>
          <w:p>
            <w:pPr>
              <w:pStyle w:val="MDPI42tablebody"/>
              <w:jc w:val="left"/>
            </w:pPr>
            <w:r>
              <w:rPr>
                <w:sz w:val="15"/>
              </w:rPr>
              <w:t>Marschollek et al. 2011 [21]</w:t>
            </w:r>
          </w:p>
        </w:tc>
        <w:tc>
          <w:tcPr>
            <w:tcW w:type="dxa" w:w="2500"/>
          </w:tcPr>
          <w:p>
            <w:pPr>
              <w:pStyle w:val="MDPI42tablebody"/>
              <w:jc w:val="left"/>
            </w:pPr>
            <w:r>
              <w:rPr>
                <w:sz w:val="15"/>
              </w:rPr>
              <w:t>Geriatric inpatients; 46 complete (19)</w:t>
            </w:r>
          </w:p>
        </w:tc>
        <w:tc>
          <w:tcPr>
            <w:tcW w:type="dxa" w:w="2450"/>
          </w:tcPr>
          <w:p>
            <w:pPr>
              <w:pStyle w:val="MDPI42tablebody"/>
              <w:jc w:val="left"/>
            </w:pPr>
            <w:r>
              <w:rPr>
                <w:sz w:val="15"/>
              </w:rPr>
              <w:t>Waist accelerometer; TUG and 20-m walk</w:t>
            </w:r>
          </w:p>
        </w:tc>
        <w:tc>
          <w:tcPr>
            <w:tcW w:type="dxa" w:w="1650"/>
          </w:tcPr>
          <w:p>
            <w:pPr>
              <w:pStyle w:val="MDPI42tablebody"/>
              <w:jc w:val="left"/>
            </w:pPr>
            <w:r>
              <w:rPr>
                <w:sz w:val="15"/>
              </w:rPr>
              <w:t>Any fall; 12 mo</w:t>
            </w:r>
          </w:p>
        </w:tc>
        <w:tc>
          <w:tcPr>
            <w:tcW w:type="dxa" w:w="2450"/>
          </w:tcPr>
          <w:p>
            <w:pPr>
              <w:pStyle w:val="MDPI42tablebody"/>
              <w:jc w:val="left"/>
            </w:pPr>
            <w:r>
              <w:rPr>
                <w:sz w:val="15"/>
              </w:rPr>
              <w:t>Wrapper-selected LR; Int (10 × 10-fold CV)</w:t>
            </w:r>
          </w:p>
        </w:tc>
        <w:tc>
          <w:tcPr>
            <w:tcW w:type="dxa" w:w="3300"/>
          </w:tcPr>
          <w:p>
            <w:pPr>
              <w:pStyle w:val="MDPI42tablebody"/>
              <w:jc w:val="left"/>
            </w:pPr>
            <w:r>
              <w:rPr>
                <w:sz w:val="15"/>
              </w:rPr>
              <w:t>AUC 0.72 (conventional assessment 0.74); Se 58%, Sp 78%</w:t>
            </w:r>
          </w:p>
        </w:tc>
        <w:tc>
          <w:tcPr>
            <w:tcW w:type="dxa" w:w="850"/>
          </w:tcPr>
          <w:p>
            <w:pPr>
              <w:pStyle w:val="MDPI42tablebody"/>
              <w:jc w:val="left"/>
            </w:pPr>
            <w:r>
              <w:rPr>
                <w:sz w:val="15"/>
              </w:rPr>
              <w:t>H/H</w:t>
            </w:r>
          </w:p>
        </w:tc>
      </w:tr>
      <w:tr>
        <w:tc>
          <w:tcPr>
            <w:tcW w:type="dxa" w:w="1650"/>
          </w:tcPr>
          <w:p>
            <w:pPr>
              <w:pStyle w:val="MDPI42tablebody"/>
              <w:jc w:val="left"/>
            </w:pPr>
            <w:r>
              <w:rPr>
                <w:sz w:val="15"/>
              </w:rPr>
              <w:t>Greene et al. 2012 [22]†</w:t>
            </w:r>
          </w:p>
        </w:tc>
        <w:tc>
          <w:tcPr>
            <w:tcW w:type="dxa" w:w="2500"/>
          </w:tcPr>
          <w:p>
            <w:pPr>
              <w:pStyle w:val="MDPI42tablebody"/>
              <w:jc w:val="left"/>
            </w:pPr>
            <w:r>
              <w:rPr>
                <w:sz w:val="15"/>
              </w:rPr>
              <w:t>Community; 226 (83)</w:t>
            </w:r>
          </w:p>
        </w:tc>
        <w:tc>
          <w:tcPr>
            <w:tcW w:type="dxa" w:w="2450"/>
          </w:tcPr>
          <w:p>
            <w:pPr>
              <w:pStyle w:val="MDPI42tablebody"/>
              <w:jc w:val="left"/>
            </w:pPr>
            <w:r>
              <w:rPr>
                <w:sz w:val="15"/>
              </w:rPr>
              <w:t>Shank IMUs; iTUG</w:t>
            </w:r>
          </w:p>
        </w:tc>
        <w:tc>
          <w:tcPr>
            <w:tcW w:type="dxa" w:w="1650"/>
          </w:tcPr>
          <w:p>
            <w:pPr>
              <w:pStyle w:val="MDPI42tablebody"/>
              <w:jc w:val="left"/>
            </w:pPr>
            <w:r>
              <w:rPr>
                <w:sz w:val="15"/>
              </w:rPr>
              <w:t>Any fall; 2 y</w:t>
            </w:r>
          </w:p>
        </w:tc>
        <w:tc>
          <w:tcPr>
            <w:tcW w:type="dxa" w:w="2450"/>
          </w:tcPr>
          <w:p>
            <w:pPr>
              <w:pStyle w:val="MDPI42tablebody"/>
              <w:jc w:val="left"/>
            </w:pPr>
            <w:r>
              <w:rPr>
                <w:sz w:val="15"/>
              </w:rPr>
              <w:t>Regularized discriminant classifier; Int (repeated 10-fold CV)</w:t>
            </w:r>
          </w:p>
        </w:tc>
        <w:tc>
          <w:tcPr>
            <w:tcW w:type="dxa" w:w="3300"/>
          </w:tcPr>
          <w:p>
            <w:pPr>
              <w:pStyle w:val="MDPI42tablebody"/>
              <w:jc w:val="left"/>
            </w:pPr>
            <w:r>
              <w:rPr>
                <w:sz w:val="15"/>
              </w:rPr>
              <w:t>AUC 0.78; accuracy 79.7% (95% CI across shuffles 77.1–82.3%); Se 73.1%, Sp 82.6%</w:t>
            </w:r>
          </w:p>
        </w:tc>
        <w:tc>
          <w:tcPr>
            <w:tcW w:type="dxa" w:w="850"/>
          </w:tcPr>
          <w:p>
            <w:pPr>
              <w:pStyle w:val="MDPI42tablebody"/>
              <w:jc w:val="left"/>
            </w:pPr>
            <w:r>
              <w:rPr>
                <w:sz w:val="15"/>
              </w:rPr>
              <w:t>H/H</w:t>
            </w:r>
          </w:p>
        </w:tc>
      </w:tr>
      <w:tr>
        <w:tc>
          <w:tcPr>
            <w:tcW w:type="dxa" w:w="1650"/>
          </w:tcPr>
          <w:p>
            <w:pPr>
              <w:pStyle w:val="MDPI42tablebody"/>
              <w:jc w:val="left"/>
            </w:pPr>
            <w:r>
              <w:rPr>
                <w:sz w:val="15"/>
              </w:rPr>
              <w:t>Weiss et al. 2013 [23]</w:t>
            </w:r>
          </w:p>
        </w:tc>
        <w:tc>
          <w:tcPr>
            <w:tcW w:type="dxa" w:w="2500"/>
          </w:tcPr>
          <w:p>
            <w:pPr>
              <w:pStyle w:val="MDPI42tablebody"/>
              <w:jc w:val="left"/>
            </w:pPr>
            <w:r>
              <w:rPr>
                <w:sz w:val="15"/>
              </w:rPr>
              <w:t>Community; 57 (12 recurrent)</w:t>
            </w:r>
          </w:p>
        </w:tc>
        <w:tc>
          <w:tcPr>
            <w:tcW w:type="dxa" w:w="2450"/>
          </w:tcPr>
          <w:p>
            <w:pPr>
              <w:pStyle w:val="MDPI42tablebody"/>
              <w:jc w:val="left"/>
            </w:pPr>
            <w:r>
              <w:rPr>
                <w:sz w:val="15"/>
              </w:rPr>
              <w:t>Lower-back accelerometer, 3 days; daily life</w:t>
            </w:r>
          </w:p>
        </w:tc>
        <w:tc>
          <w:tcPr>
            <w:tcW w:type="dxa" w:w="1650"/>
          </w:tcPr>
          <w:p>
            <w:pPr>
              <w:pStyle w:val="MDPI42tablebody"/>
              <w:jc w:val="left"/>
            </w:pPr>
            <w:r>
              <w:rPr>
                <w:sz w:val="15"/>
              </w:rPr>
              <w:t>Recurrent falls; 6 mo</w:t>
            </w:r>
          </w:p>
        </w:tc>
        <w:tc>
          <w:tcPr>
            <w:tcW w:type="dxa" w:w="2450"/>
          </w:tcPr>
          <w:p>
            <w:pPr>
              <w:pStyle w:val="MDPI42tablebody"/>
              <w:jc w:val="left"/>
            </w:pPr>
            <w:r>
              <w:rPr>
                <w:sz w:val="15"/>
              </w:rPr>
              <w:t>Multifeature classifier; Int (scheme NR)</w:t>
            </w:r>
          </w:p>
        </w:tc>
        <w:tc>
          <w:tcPr>
            <w:tcW w:type="dxa" w:w="3300"/>
          </w:tcPr>
          <w:p>
            <w:pPr>
              <w:pStyle w:val="MDPI42tablebody"/>
              <w:jc w:val="left"/>
            </w:pPr>
            <w:r>
              <w:rPr>
                <w:sz w:val="15"/>
              </w:rPr>
              <w:t>Accuracy 94.7% vs. 84.2% for clinical tests; AUC NR</w:t>
            </w:r>
          </w:p>
        </w:tc>
        <w:tc>
          <w:tcPr>
            <w:tcW w:type="dxa" w:w="850"/>
          </w:tcPr>
          <w:p>
            <w:pPr>
              <w:pStyle w:val="MDPI42tablebody"/>
              <w:jc w:val="left"/>
            </w:pPr>
            <w:r>
              <w:rPr>
                <w:sz w:val="15"/>
              </w:rPr>
              <w:t>H/H</w:t>
            </w:r>
          </w:p>
        </w:tc>
      </w:tr>
      <w:tr>
        <w:tc>
          <w:tcPr>
            <w:tcW w:type="dxa" w:w="1650"/>
          </w:tcPr>
          <w:p>
            <w:pPr>
              <w:pStyle w:val="MDPI42tablebody"/>
              <w:jc w:val="left"/>
            </w:pPr>
            <w:r>
              <w:rPr>
                <w:sz w:val="15"/>
              </w:rPr>
              <w:t>Schwesig et al. 2013 [24]†</w:t>
            </w:r>
          </w:p>
        </w:tc>
        <w:tc>
          <w:tcPr>
            <w:tcW w:type="dxa" w:w="2500"/>
          </w:tcPr>
          <w:p>
            <w:pPr>
              <w:pStyle w:val="MDPI42tablebody"/>
              <w:jc w:val="left"/>
            </w:pPr>
            <w:r>
              <w:rPr>
                <w:sz w:val="15"/>
              </w:rPr>
              <w:t>Nursing home; 146 (17 recurrent)</w:t>
            </w:r>
          </w:p>
        </w:tc>
        <w:tc>
          <w:tcPr>
            <w:tcW w:type="dxa" w:w="2450"/>
          </w:tcPr>
          <w:p>
            <w:pPr>
              <w:pStyle w:val="MDPI42tablebody"/>
              <w:jc w:val="left"/>
            </w:pPr>
            <w:r>
              <w:rPr>
                <w:sz w:val="15"/>
              </w:rPr>
              <w:t>Mobile gait system and posturography</w:t>
            </w:r>
          </w:p>
        </w:tc>
        <w:tc>
          <w:tcPr>
            <w:tcW w:type="dxa" w:w="1650"/>
          </w:tcPr>
          <w:p>
            <w:pPr>
              <w:pStyle w:val="MDPI42tablebody"/>
              <w:jc w:val="left"/>
            </w:pPr>
            <w:r>
              <w:rPr>
                <w:sz w:val="15"/>
              </w:rPr>
              <w:t>≥3 falls; 12 mo</w:t>
            </w:r>
          </w:p>
        </w:tc>
        <w:tc>
          <w:tcPr>
            <w:tcW w:type="dxa" w:w="2450"/>
          </w:tcPr>
          <w:p>
            <w:pPr>
              <w:pStyle w:val="MDPI42tablebody"/>
              <w:jc w:val="left"/>
            </w:pPr>
            <w:r>
              <w:rPr>
                <w:sz w:val="15"/>
              </w:rPr>
              <w:t>Prior-parameter rule, then same-sample updating; PFE/TSU</w:t>
            </w:r>
          </w:p>
        </w:tc>
        <w:tc>
          <w:tcPr>
            <w:tcW w:type="dxa" w:w="3300"/>
          </w:tcPr>
          <w:p>
            <w:pPr>
              <w:pStyle w:val="MDPI42tablebody"/>
              <w:jc w:val="left"/>
            </w:pPr>
            <w:r>
              <w:rPr>
                <w:sz w:val="15"/>
              </w:rPr>
              <w:t>Se 47% (prior parameters); updated rule PPV 12%, NPV 88%</w:t>
            </w:r>
          </w:p>
        </w:tc>
        <w:tc>
          <w:tcPr>
            <w:tcW w:type="dxa" w:w="850"/>
          </w:tcPr>
          <w:p>
            <w:pPr>
              <w:pStyle w:val="MDPI42tablebody"/>
              <w:jc w:val="left"/>
            </w:pPr>
            <w:r>
              <w:rPr>
                <w:sz w:val="15"/>
              </w:rPr>
              <w:t>H/H</w:t>
            </w:r>
          </w:p>
        </w:tc>
      </w:tr>
      <w:tr>
        <w:tc>
          <w:tcPr>
            <w:tcW w:type="dxa" w:w="1650"/>
          </w:tcPr>
          <w:p>
            <w:pPr>
              <w:pStyle w:val="MDPI42tablebody"/>
              <w:jc w:val="left"/>
            </w:pPr>
            <w:r>
              <w:rPr>
                <w:sz w:val="15"/>
              </w:rPr>
              <w:t>Doi et al. 2013 [25]</w:t>
            </w:r>
          </w:p>
        </w:tc>
        <w:tc>
          <w:tcPr>
            <w:tcW w:type="dxa" w:w="2500"/>
          </w:tcPr>
          <w:p>
            <w:pPr>
              <w:pStyle w:val="MDPI42tablebody"/>
              <w:jc w:val="left"/>
            </w:pPr>
            <w:r>
              <w:rPr>
                <w:sz w:val="15"/>
              </w:rPr>
              <w:t>Community; 73 (16)</w:t>
            </w:r>
          </w:p>
        </w:tc>
        <w:tc>
          <w:tcPr>
            <w:tcW w:type="dxa" w:w="2450"/>
          </w:tcPr>
          <w:p>
            <w:pPr>
              <w:pStyle w:val="MDPI42tablebody"/>
              <w:jc w:val="left"/>
            </w:pPr>
            <w:r>
              <w:rPr>
                <w:sz w:val="15"/>
              </w:rPr>
              <w:t>Trunk accelerometers; usual-pace walk</w:t>
            </w:r>
          </w:p>
        </w:tc>
        <w:tc>
          <w:tcPr>
            <w:tcW w:type="dxa" w:w="1650"/>
          </w:tcPr>
          <w:p>
            <w:pPr>
              <w:pStyle w:val="MDPI42tablebody"/>
              <w:jc w:val="left"/>
            </w:pPr>
            <w:r>
              <w:rPr>
                <w:sz w:val="15"/>
              </w:rPr>
              <w:t>Any fall; 12 mo</w:t>
            </w:r>
          </w:p>
        </w:tc>
        <w:tc>
          <w:tcPr>
            <w:tcW w:type="dxa" w:w="2450"/>
          </w:tcPr>
          <w:p>
            <w:pPr>
              <w:pStyle w:val="MDPI42tablebody"/>
              <w:jc w:val="left"/>
            </w:pPr>
            <w:r>
              <w:rPr>
                <w:sz w:val="15"/>
              </w:rPr>
              <w:t>Multivariable LR; App</w:t>
            </w:r>
          </w:p>
        </w:tc>
        <w:tc>
          <w:tcPr>
            <w:tcW w:type="dxa" w:w="3300"/>
          </w:tcPr>
          <w:p>
            <w:pPr>
              <w:pStyle w:val="MDPI42tablebody"/>
              <w:jc w:val="left"/>
            </w:pPr>
            <w:r>
              <w:rPr>
                <w:sz w:val="15"/>
              </w:rPr>
              <w:t>AUC 0.81 (95% CI 0.69–0.93)</w:t>
            </w:r>
          </w:p>
        </w:tc>
        <w:tc>
          <w:tcPr>
            <w:tcW w:type="dxa" w:w="850"/>
          </w:tcPr>
          <w:p>
            <w:pPr>
              <w:pStyle w:val="MDPI42tablebody"/>
              <w:jc w:val="left"/>
            </w:pPr>
            <w:r>
              <w:rPr>
                <w:sz w:val="15"/>
              </w:rPr>
              <w:t>H/H</w:t>
            </w:r>
          </w:p>
        </w:tc>
      </w:tr>
      <w:tr>
        <w:tc>
          <w:tcPr>
            <w:tcW w:type="dxa" w:w="1650"/>
          </w:tcPr>
          <w:p>
            <w:pPr>
              <w:pStyle w:val="MDPI42tablebody"/>
              <w:jc w:val="left"/>
            </w:pPr>
            <w:r>
              <w:rPr>
                <w:sz w:val="15"/>
              </w:rPr>
              <w:t>Mignardot et al. 2014 [26]</w:t>
            </w:r>
          </w:p>
        </w:tc>
        <w:tc>
          <w:tcPr>
            <w:tcW w:type="dxa" w:w="2500"/>
          </w:tcPr>
          <w:p>
            <w:pPr>
              <w:pStyle w:val="MDPI42tablebody"/>
              <w:jc w:val="left"/>
            </w:pPr>
            <w:r>
              <w:rPr>
                <w:sz w:val="15"/>
              </w:rPr>
              <w:t>Community, no prior falls; 256 (20 at 0–6 mo)</w:t>
            </w:r>
          </w:p>
        </w:tc>
        <w:tc>
          <w:tcPr>
            <w:tcW w:type="dxa" w:w="2450"/>
          </w:tcPr>
          <w:p>
            <w:pPr>
              <w:pStyle w:val="MDPI42tablebody"/>
              <w:jc w:val="left"/>
            </w:pPr>
            <w:r>
              <w:rPr>
                <w:sz w:val="15"/>
              </w:rPr>
              <w:t>Accelerometric gait system; four walking tests</w:t>
            </w:r>
          </w:p>
        </w:tc>
        <w:tc>
          <w:tcPr>
            <w:tcW w:type="dxa" w:w="1650"/>
          </w:tcPr>
          <w:p>
            <w:pPr>
              <w:pStyle w:val="MDPI42tablebody"/>
              <w:jc w:val="left"/>
            </w:pPr>
            <w:r>
              <w:rPr>
                <w:sz w:val="15"/>
              </w:rPr>
              <w:t>Time to first fall; 24 mo</w:t>
            </w:r>
          </w:p>
        </w:tc>
        <w:tc>
          <w:tcPr>
            <w:tcW w:type="dxa" w:w="2450"/>
          </w:tcPr>
          <w:p>
            <w:pPr>
              <w:pStyle w:val="MDPI42tablebody"/>
              <w:jc w:val="left"/>
            </w:pPr>
            <w:r>
              <w:rPr>
                <w:sz w:val="15"/>
              </w:rPr>
              <w:t>PCA-derived markers; App</w:t>
            </w:r>
          </w:p>
        </w:tc>
        <w:tc>
          <w:tcPr>
            <w:tcW w:type="dxa" w:w="3300"/>
          </w:tcPr>
          <w:p>
            <w:pPr>
              <w:pStyle w:val="MDPI42tablebody"/>
              <w:jc w:val="left"/>
            </w:pPr>
            <w:r>
              <w:rPr>
                <w:sz w:val="15"/>
              </w:rPr>
              <w:t>AUC 0.70 (95% CI 0.64–0.75; 0–6 mo), 0.67 (6–12 mo); no signal &gt;12 mo</w:t>
            </w:r>
          </w:p>
        </w:tc>
        <w:tc>
          <w:tcPr>
            <w:tcW w:type="dxa" w:w="850"/>
          </w:tcPr>
          <w:p>
            <w:pPr>
              <w:pStyle w:val="MDPI42tablebody"/>
              <w:jc w:val="left"/>
            </w:pPr>
            <w:r>
              <w:rPr>
                <w:sz w:val="15"/>
              </w:rPr>
              <w:t>H/H</w:t>
            </w:r>
          </w:p>
        </w:tc>
      </w:tr>
      <w:tr>
        <w:tc>
          <w:tcPr>
            <w:tcW w:type="dxa" w:w="1650"/>
          </w:tcPr>
          <w:p>
            <w:pPr>
              <w:pStyle w:val="MDPI42tablebody"/>
              <w:jc w:val="left"/>
            </w:pPr>
            <w:r>
              <w:rPr>
                <w:sz w:val="15"/>
              </w:rPr>
              <w:t>Schwenk et al. 2014 [27]</w:t>
            </w:r>
          </w:p>
        </w:tc>
        <w:tc>
          <w:tcPr>
            <w:tcW w:type="dxa" w:w="2500"/>
          </w:tcPr>
          <w:p>
            <w:pPr>
              <w:pStyle w:val="MDPI42tablebody"/>
              <w:jc w:val="left"/>
            </w:pPr>
            <w:r>
              <w:rPr>
                <w:sz w:val="15"/>
              </w:rPr>
              <w:t>Dementia after rehabilitation; 77 (28)</w:t>
            </w:r>
          </w:p>
        </w:tc>
        <w:tc>
          <w:tcPr>
            <w:tcW w:type="dxa" w:w="2450"/>
          </w:tcPr>
          <w:p>
            <w:pPr>
              <w:pStyle w:val="MDPI42tablebody"/>
              <w:jc w:val="left"/>
            </w:pPr>
            <w:r>
              <w:rPr>
                <w:sz w:val="15"/>
              </w:rPr>
              <w:t>Body-worn motion sensor, 24 h; daily life</w:t>
            </w:r>
          </w:p>
        </w:tc>
        <w:tc>
          <w:tcPr>
            <w:tcW w:type="dxa" w:w="1650"/>
          </w:tcPr>
          <w:p>
            <w:pPr>
              <w:pStyle w:val="MDPI42tablebody"/>
              <w:jc w:val="left"/>
            </w:pPr>
            <w:r>
              <w:rPr>
                <w:sz w:val="15"/>
              </w:rPr>
              <w:t>Any fall; 3 mo</w:t>
            </w:r>
          </w:p>
        </w:tc>
        <w:tc>
          <w:tcPr>
            <w:tcW w:type="dxa" w:w="2450"/>
          </w:tcPr>
          <w:p>
            <w:pPr>
              <w:pStyle w:val="MDPI42tablebody"/>
              <w:jc w:val="left"/>
            </w:pPr>
            <w:r>
              <w:rPr>
                <w:sz w:val="15"/>
              </w:rPr>
              <w:t>Multivariable LR; App</w:t>
            </w:r>
          </w:p>
        </w:tc>
        <w:tc>
          <w:tcPr>
            <w:tcW w:type="dxa" w:w="3300"/>
          </w:tcPr>
          <w:p>
            <w:pPr>
              <w:pStyle w:val="MDPI42tablebody"/>
              <w:jc w:val="left"/>
            </w:pPr>
            <w:r>
              <w:rPr>
                <w:sz w:val="15"/>
              </w:rPr>
              <w:t>AUC 0.771 (fall history + walking-bout duration)</w:t>
            </w:r>
          </w:p>
        </w:tc>
        <w:tc>
          <w:tcPr>
            <w:tcW w:type="dxa" w:w="850"/>
          </w:tcPr>
          <w:p>
            <w:pPr>
              <w:pStyle w:val="MDPI42tablebody"/>
              <w:jc w:val="left"/>
            </w:pPr>
            <w:r>
              <w:rPr>
                <w:sz w:val="15"/>
              </w:rPr>
              <w:t>H/H</w:t>
            </w:r>
          </w:p>
        </w:tc>
      </w:tr>
      <w:tr>
        <w:tc>
          <w:tcPr>
            <w:tcW w:type="dxa" w:w="1650"/>
          </w:tcPr>
          <w:p>
            <w:pPr>
              <w:pStyle w:val="MDPI42tablebody"/>
              <w:jc w:val="left"/>
            </w:pPr>
            <w:r>
              <w:rPr>
                <w:sz w:val="15"/>
              </w:rPr>
              <w:t>van Schooten et al. 2015 [28]</w:t>
            </w:r>
          </w:p>
        </w:tc>
        <w:tc>
          <w:tcPr>
            <w:tcW w:type="dxa" w:w="2500"/>
          </w:tcPr>
          <w:p>
            <w:pPr>
              <w:pStyle w:val="MDPI42tablebody"/>
              <w:jc w:val="left"/>
            </w:pPr>
            <w:r>
              <w:rPr>
                <w:sz w:val="15"/>
              </w:rPr>
              <w:t>Community (FARAO); 169 (59)</w:t>
            </w:r>
          </w:p>
        </w:tc>
        <w:tc>
          <w:tcPr>
            <w:tcW w:type="dxa" w:w="2450"/>
          </w:tcPr>
          <w:p>
            <w:pPr>
              <w:pStyle w:val="MDPI42tablebody"/>
              <w:jc w:val="left"/>
            </w:pPr>
            <w:r>
              <w:rPr>
                <w:sz w:val="15"/>
              </w:rPr>
              <w:t>Trunk accelerometer, 1 week; daily life</w:t>
            </w:r>
          </w:p>
        </w:tc>
        <w:tc>
          <w:tcPr>
            <w:tcW w:type="dxa" w:w="1650"/>
          </w:tcPr>
          <w:p>
            <w:pPr>
              <w:pStyle w:val="MDPI42tablebody"/>
              <w:jc w:val="left"/>
            </w:pPr>
            <w:r>
              <w:rPr>
                <w:sz w:val="15"/>
              </w:rPr>
              <w:t>Any fall; 6 mo</w:t>
            </w:r>
          </w:p>
        </w:tc>
        <w:tc>
          <w:tcPr>
            <w:tcW w:type="dxa" w:w="2450"/>
          </w:tcPr>
          <w:p>
            <w:pPr>
              <w:pStyle w:val="MDPI42tablebody"/>
              <w:jc w:val="left"/>
            </w:pPr>
            <w:r>
              <w:rPr>
                <w:sz w:val="15"/>
              </w:rPr>
              <w:t>Multivariable LR; App</w:t>
            </w:r>
          </w:p>
        </w:tc>
        <w:tc>
          <w:tcPr>
            <w:tcW w:type="dxa" w:w="3300"/>
          </w:tcPr>
          <w:p>
            <w:pPr>
              <w:pStyle w:val="MDPI42tablebody"/>
              <w:jc w:val="left"/>
            </w:pPr>
            <w:r>
              <w:rPr>
                <w:sz w:val="15"/>
              </w:rPr>
              <w:t>AUC 0.82 (95% CI 0.75–0.89) combined vs. 0.68 clinical</w:t>
            </w:r>
          </w:p>
        </w:tc>
        <w:tc>
          <w:tcPr>
            <w:tcW w:type="dxa" w:w="850"/>
          </w:tcPr>
          <w:p>
            <w:pPr>
              <w:pStyle w:val="MDPI42tablebody"/>
              <w:jc w:val="left"/>
            </w:pPr>
            <w:r>
              <w:rPr>
                <w:sz w:val="15"/>
              </w:rPr>
              <w:t>H/H</w:t>
            </w:r>
          </w:p>
        </w:tc>
      </w:tr>
      <w:tr>
        <w:tc>
          <w:tcPr>
            <w:tcW w:type="dxa" w:w="1650"/>
          </w:tcPr>
          <w:p>
            <w:pPr>
              <w:pStyle w:val="MDPI42tablebody"/>
              <w:jc w:val="left"/>
            </w:pPr>
            <w:r>
              <w:rPr>
                <w:sz w:val="15"/>
              </w:rPr>
              <w:t>van Schooten et al. 2016 [29]</w:t>
            </w:r>
          </w:p>
        </w:tc>
        <w:tc>
          <w:tcPr>
            <w:tcW w:type="dxa" w:w="2500"/>
          </w:tcPr>
          <w:p>
            <w:pPr>
              <w:pStyle w:val="MDPI42tablebody"/>
              <w:jc w:val="left"/>
            </w:pPr>
            <w:r>
              <w:rPr>
                <w:sz w:val="15"/>
              </w:rPr>
              <w:t>Community (FARAO); 294 (134)</w:t>
            </w:r>
          </w:p>
        </w:tc>
        <w:tc>
          <w:tcPr>
            <w:tcW w:type="dxa" w:w="2450"/>
          </w:tcPr>
          <w:p>
            <w:pPr>
              <w:pStyle w:val="MDPI42tablebody"/>
              <w:jc w:val="left"/>
            </w:pPr>
            <w:r>
              <w:rPr>
                <w:sz w:val="15"/>
              </w:rPr>
              <w:t>Trunk accelerometer, 1 week; daily life</w:t>
            </w:r>
          </w:p>
        </w:tc>
        <w:tc>
          <w:tcPr>
            <w:tcW w:type="dxa" w:w="1650"/>
          </w:tcPr>
          <w:p>
            <w:pPr>
              <w:pStyle w:val="MDPI42tablebody"/>
              <w:jc w:val="left"/>
            </w:pPr>
            <w:r>
              <w:rPr>
                <w:sz w:val="15"/>
              </w:rPr>
              <w:t>Time to first/second fall; 12 mo</w:t>
            </w:r>
          </w:p>
        </w:tc>
        <w:tc>
          <w:tcPr>
            <w:tcW w:type="dxa" w:w="2450"/>
          </w:tcPr>
          <w:p>
            <w:pPr>
              <w:pStyle w:val="MDPI42tablebody"/>
              <w:jc w:val="left"/>
            </w:pPr>
            <w:r>
              <w:rPr>
                <w:sz w:val="15"/>
              </w:rPr>
              <w:t>Survival models; Int (LOOCV)</w:t>
            </w:r>
          </w:p>
        </w:tc>
        <w:tc>
          <w:tcPr>
            <w:tcW w:type="dxa" w:w="3300"/>
          </w:tcPr>
          <w:p>
            <w:pPr>
              <w:pStyle w:val="MDPI42tablebody"/>
              <w:jc w:val="left"/>
            </w:pPr>
            <w:r>
              <w:rPr>
                <w:sz w:val="15"/>
              </w:rPr>
              <w:t>Time-dependent AUC 0.66–0.72 (first fall), 0.69–0.76 (second fall)</w:t>
            </w:r>
          </w:p>
        </w:tc>
        <w:tc>
          <w:tcPr>
            <w:tcW w:type="dxa" w:w="850"/>
          </w:tcPr>
          <w:p>
            <w:pPr>
              <w:pStyle w:val="MDPI42tablebody"/>
              <w:jc w:val="left"/>
            </w:pPr>
            <w:r>
              <w:rPr>
                <w:sz w:val="15"/>
              </w:rPr>
              <w:t>H/H</w:t>
            </w:r>
          </w:p>
        </w:tc>
      </w:tr>
      <w:tr>
        <w:tc>
          <w:tcPr>
            <w:tcW w:type="dxa" w:w="1650"/>
          </w:tcPr>
          <w:p>
            <w:pPr>
              <w:pStyle w:val="MDPI42tablebody"/>
              <w:jc w:val="left"/>
            </w:pPr>
            <w:r>
              <w:rPr>
                <w:sz w:val="15"/>
              </w:rPr>
              <w:t>Howcroft et al. 2017 [30]†</w:t>
            </w:r>
          </w:p>
        </w:tc>
        <w:tc>
          <w:tcPr>
            <w:tcW w:type="dxa" w:w="2500"/>
          </w:tcPr>
          <w:p>
            <w:pPr>
              <w:pStyle w:val="MDPI42tablebody"/>
              <w:jc w:val="left"/>
            </w:pPr>
            <w:r>
              <w:rPr>
                <w:sz w:val="15"/>
              </w:rPr>
              <w:t>Older adults; 75 (28)</w:t>
            </w:r>
          </w:p>
        </w:tc>
        <w:tc>
          <w:tcPr>
            <w:tcW w:type="dxa" w:w="2450"/>
          </w:tcPr>
          <w:p>
            <w:pPr>
              <w:pStyle w:val="MDPI42tablebody"/>
              <w:jc w:val="left"/>
            </w:pPr>
            <w:r>
              <w:rPr>
                <w:sz w:val="15"/>
              </w:rPr>
              <w:t>Insoles and head/pelvis/shank accelerometers; single/dual-task walk</w:t>
            </w:r>
          </w:p>
        </w:tc>
        <w:tc>
          <w:tcPr>
            <w:tcW w:type="dxa" w:w="1650"/>
          </w:tcPr>
          <w:p>
            <w:pPr>
              <w:pStyle w:val="MDPI42tablebody"/>
              <w:jc w:val="left"/>
            </w:pPr>
            <w:r>
              <w:rPr>
                <w:sz w:val="15"/>
              </w:rPr>
              <w:t>Any fall; 6 mo</w:t>
            </w:r>
          </w:p>
        </w:tc>
        <w:tc>
          <w:tcPr>
            <w:tcW w:type="dxa" w:w="2450"/>
          </w:tcPr>
          <w:p>
            <w:pPr>
              <w:pStyle w:val="MDPI42tablebody"/>
              <w:jc w:val="left"/>
            </w:pPr>
            <w:r>
              <w:rPr>
                <w:sz w:val="15"/>
              </w:rPr>
              <w:t>NN, NB, SVM; Int (single 75:25 hold-out)</w:t>
            </w:r>
          </w:p>
        </w:tc>
        <w:tc>
          <w:tcPr>
            <w:tcW w:type="dxa" w:w="3300"/>
          </w:tcPr>
          <w:p>
            <w:pPr>
              <w:pStyle w:val="MDPI42tablebody"/>
              <w:jc w:val="left"/>
            </w:pPr>
            <w:r>
              <w:rPr>
                <w:sz w:val="15"/>
              </w:rPr>
              <w:t>Accuracy 57%; Se 43%, Sp 65%</w:t>
            </w:r>
          </w:p>
        </w:tc>
        <w:tc>
          <w:tcPr>
            <w:tcW w:type="dxa" w:w="850"/>
          </w:tcPr>
          <w:p>
            <w:pPr>
              <w:pStyle w:val="MDPI42tablebody"/>
              <w:jc w:val="left"/>
            </w:pPr>
            <w:r>
              <w:rPr>
                <w:sz w:val="15"/>
              </w:rPr>
              <w:t>H/H</w:t>
            </w:r>
          </w:p>
        </w:tc>
      </w:tr>
      <w:tr>
        <w:tc>
          <w:tcPr>
            <w:tcW w:type="dxa" w:w="1650"/>
          </w:tcPr>
          <w:p>
            <w:pPr>
              <w:pStyle w:val="MDPI42tablebody"/>
              <w:jc w:val="left"/>
            </w:pPr>
            <w:r>
              <w:rPr>
                <w:sz w:val="15"/>
              </w:rPr>
              <w:t>Drover et al. 2017 [31]</w:t>
            </w:r>
          </w:p>
        </w:tc>
        <w:tc>
          <w:tcPr>
            <w:tcW w:type="dxa" w:w="2500"/>
          </w:tcPr>
          <w:p>
            <w:pPr>
              <w:pStyle w:val="MDPI42tablebody"/>
              <w:jc w:val="left"/>
            </w:pPr>
            <w:r>
              <w:rPr>
                <w:sz w:val="15"/>
              </w:rPr>
              <w:t>Older adults; 71 (28)</w:t>
            </w:r>
          </w:p>
        </w:tc>
        <w:tc>
          <w:tcPr>
            <w:tcW w:type="dxa" w:w="2450"/>
          </w:tcPr>
          <w:p>
            <w:pPr>
              <w:pStyle w:val="MDPI42tablebody"/>
              <w:jc w:val="left"/>
            </w:pPr>
            <w:r>
              <w:rPr>
                <w:sz w:val="15"/>
              </w:rPr>
              <w:t>Leg/pelvis accelerometers; 6-min walk</w:t>
            </w:r>
          </w:p>
        </w:tc>
        <w:tc>
          <w:tcPr>
            <w:tcW w:type="dxa" w:w="1650"/>
          </w:tcPr>
          <w:p>
            <w:pPr>
              <w:pStyle w:val="MDPI42tablebody"/>
              <w:jc w:val="left"/>
            </w:pPr>
            <w:r>
              <w:rPr>
                <w:sz w:val="15"/>
              </w:rPr>
              <w:t>Any fall; 6 mo</w:t>
            </w:r>
          </w:p>
        </w:tc>
        <w:tc>
          <w:tcPr>
            <w:tcW w:type="dxa" w:w="2450"/>
          </w:tcPr>
          <w:p>
            <w:pPr>
              <w:pStyle w:val="MDPI42tablebody"/>
              <w:jc w:val="left"/>
            </w:pPr>
            <w:r>
              <w:rPr>
                <w:sz w:val="15"/>
              </w:rPr>
              <w:t>RF and others; Int (repeated subsampling)</w:t>
            </w:r>
          </w:p>
        </w:tc>
        <w:tc>
          <w:tcPr>
            <w:tcW w:type="dxa" w:w="3300"/>
          </w:tcPr>
          <w:p>
            <w:pPr>
              <w:pStyle w:val="MDPI42tablebody"/>
              <w:jc w:val="left"/>
            </w:pPr>
            <w:r>
              <w:rPr>
                <w:sz w:val="15"/>
              </w:rPr>
              <w:t>Accuracy 77.3%; Se 66.1%, Sp 84.7%</w:t>
            </w:r>
          </w:p>
        </w:tc>
        <w:tc>
          <w:tcPr>
            <w:tcW w:type="dxa" w:w="850"/>
          </w:tcPr>
          <w:p>
            <w:pPr>
              <w:pStyle w:val="MDPI42tablebody"/>
              <w:jc w:val="left"/>
            </w:pPr>
            <w:r>
              <w:rPr>
                <w:sz w:val="15"/>
              </w:rPr>
              <w:t>H/H</w:t>
            </w:r>
          </w:p>
        </w:tc>
      </w:tr>
      <w:tr>
        <w:tc>
          <w:tcPr>
            <w:tcW w:type="dxa" w:w="1650"/>
          </w:tcPr>
          <w:p>
            <w:pPr>
              <w:pStyle w:val="MDPI42tablebody"/>
              <w:jc w:val="left"/>
            </w:pPr>
            <w:r>
              <w:rPr>
                <w:sz w:val="15"/>
              </w:rPr>
              <w:t>Greene et al. 2018 [32]</w:t>
            </w:r>
          </w:p>
        </w:tc>
        <w:tc>
          <w:tcPr>
            <w:tcW w:type="dxa" w:w="2500"/>
          </w:tcPr>
          <w:p>
            <w:pPr>
              <w:pStyle w:val="MDPI42tablebody"/>
              <w:jc w:val="left"/>
            </w:pPr>
            <w:r>
              <w:rPr>
                <w:sz w:val="15"/>
              </w:rPr>
              <w:t>Parkinson disease; 15 (4 at 90 d)</w:t>
            </w:r>
          </w:p>
        </w:tc>
        <w:tc>
          <w:tcPr>
            <w:tcW w:type="dxa" w:w="2450"/>
          </w:tcPr>
          <w:p>
            <w:pPr>
              <w:pStyle w:val="MDPI42tablebody"/>
              <w:jc w:val="left"/>
            </w:pPr>
            <w:r>
              <w:rPr>
                <w:sz w:val="15"/>
              </w:rPr>
              <w:t>Shank IMUs; QTUG</w:t>
            </w:r>
          </w:p>
        </w:tc>
        <w:tc>
          <w:tcPr>
            <w:tcW w:type="dxa" w:w="1650"/>
          </w:tcPr>
          <w:p>
            <w:pPr>
              <w:pStyle w:val="MDPI42tablebody"/>
              <w:jc w:val="left"/>
            </w:pPr>
            <w:r>
              <w:rPr>
                <w:sz w:val="15"/>
              </w:rPr>
              <w:t>Any fall; 90/180 d</w:t>
            </w:r>
          </w:p>
        </w:tc>
        <w:tc>
          <w:tcPr>
            <w:tcW w:type="dxa" w:w="2450"/>
          </w:tcPr>
          <w:p>
            <w:pPr>
              <w:pStyle w:val="MDPI42tablebody"/>
              <w:jc w:val="left"/>
            </w:pPr>
            <w:r>
              <w:rPr>
                <w:sz w:val="15"/>
              </w:rPr>
              <w:t>Fixed QTUG algorithm; PFE</w:t>
            </w:r>
          </w:p>
        </w:tc>
        <w:tc>
          <w:tcPr>
            <w:tcW w:type="dxa" w:w="3300"/>
          </w:tcPr>
          <w:p>
            <w:pPr>
              <w:pStyle w:val="MDPI42tablebody"/>
              <w:jc w:val="left"/>
            </w:pPr>
            <w:r>
              <w:rPr>
                <w:sz w:val="15"/>
              </w:rPr>
              <w:t>Accuracy 73.3% (90 d), 58.3% (180 d)</w:t>
            </w:r>
          </w:p>
        </w:tc>
        <w:tc>
          <w:tcPr>
            <w:tcW w:type="dxa" w:w="850"/>
          </w:tcPr>
          <w:p>
            <w:pPr>
              <w:pStyle w:val="MDPI42tablebody"/>
              <w:jc w:val="left"/>
            </w:pPr>
            <w:r>
              <w:rPr>
                <w:sz w:val="15"/>
              </w:rPr>
              <w:t>NA/H</w:t>
            </w:r>
          </w:p>
        </w:tc>
      </w:tr>
      <w:tr>
        <w:tc>
          <w:tcPr>
            <w:tcW w:type="dxa" w:w="1650"/>
          </w:tcPr>
          <w:p>
            <w:pPr>
              <w:pStyle w:val="MDPI42tablebody"/>
              <w:jc w:val="left"/>
            </w:pPr>
            <w:r>
              <w:rPr>
                <w:sz w:val="15"/>
              </w:rPr>
              <w:t>Ihlen et al. 2018 [33]</w:t>
            </w:r>
          </w:p>
        </w:tc>
        <w:tc>
          <w:tcPr>
            <w:tcW w:type="dxa" w:w="2500"/>
          </w:tcPr>
          <w:p>
            <w:pPr>
              <w:pStyle w:val="MDPI42tablebody"/>
              <w:jc w:val="left"/>
            </w:pPr>
            <w:r>
              <w:rPr>
                <w:sz w:val="15"/>
              </w:rPr>
              <w:t>Community (FARAO), nested case–control; 196 (98)</w:t>
            </w:r>
          </w:p>
        </w:tc>
        <w:tc>
          <w:tcPr>
            <w:tcW w:type="dxa" w:w="2450"/>
          </w:tcPr>
          <w:p>
            <w:pPr>
              <w:pStyle w:val="MDPI42tablebody"/>
              <w:jc w:val="left"/>
            </w:pPr>
            <w:r>
              <w:rPr>
                <w:sz w:val="15"/>
              </w:rPr>
              <w:t>Trunk IMU, 1 week; daily life</w:t>
            </w:r>
          </w:p>
        </w:tc>
        <w:tc>
          <w:tcPr>
            <w:tcW w:type="dxa" w:w="1650"/>
          </w:tcPr>
          <w:p>
            <w:pPr>
              <w:pStyle w:val="MDPI42tablebody"/>
              <w:jc w:val="left"/>
            </w:pPr>
            <w:r>
              <w:rPr>
                <w:sz w:val="15"/>
              </w:rPr>
              <w:t>Single/multiple falls; 6 mo</w:t>
            </w:r>
          </w:p>
        </w:tc>
        <w:tc>
          <w:tcPr>
            <w:tcW w:type="dxa" w:w="2450"/>
          </w:tcPr>
          <w:p>
            <w:pPr>
              <w:pStyle w:val="MDPI42tablebody"/>
              <w:jc w:val="left"/>
            </w:pPr>
            <w:r>
              <w:rPr>
                <w:sz w:val="15"/>
              </w:rPr>
              <w:t>PLS regression; Int (non-nested 10-fold CV)</w:t>
            </w:r>
          </w:p>
        </w:tc>
        <w:tc>
          <w:tcPr>
            <w:tcW w:type="dxa" w:w="3300"/>
          </w:tcPr>
          <w:p>
            <w:pPr>
              <w:pStyle w:val="MDPI42tablebody"/>
              <w:jc w:val="left"/>
            </w:pPr>
            <w:r>
              <w:rPr>
                <w:sz w:val="15"/>
              </w:rPr>
              <w:t>Accuracy 0.76 (single), 0.83 (multiple fallers); AUC NR</w:t>
            </w:r>
          </w:p>
        </w:tc>
        <w:tc>
          <w:tcPr>
            <w:tcW w:type="dxa" w:w="850"/>
          </w:tcPr>
          <w:p>
            <w:pPr>
              <w:pStyle w:val="MDPI42tablebody"/>
              <w:jc w:val="left"/>
            </w:pPr>
            <w:r>
              <w:rPr>
                <w:sz w:val="15"/>
              </w:rPr>
              <w:t>H/H</w:t>
            </w:r>
          </w:p>
        </w:tc>
      </w:tr>
      <w:tr>
        <w:tc>
          <w:tcPr>
            <w:tcW w:type="dxa" w:w="1650"/>
          </w:tcPr>
          <w:p>
            <w:pPr>
              <w:pStyle w:val="MDPI42tablebody"/>
              <w:jc w:val="left"/>
            </w:pPr>
            <w:r>
              <w:rPr>
                <w:sz w:val="15"/>
              </w:rPr>
              <w:t>Nait Aicha et al. 2018 [34]</w:t>
            </w:r>
          </w:p>
        </w:tc>
        <w:tc>
          <w:tcPr>
            <w:tcW w:type="dxa" w:w="2500"/>
          </w:tcPr>
          <w:p>
            <w:pPr>
              <w:pStyle w:val="MDPI42tablebody"/>
              <w:jc w:val="left"/>
            </w:pPr>
            <w:r>
              <w:rPr>
                <w:sz w:val="15"/>
              </w:rPr>
              <w:t>Community (FARAO); 296 (101)</w:t>
            </w:r>
          </w:p>
        </w:tc>
        <w:tc>
          <w:tcPr>
            <w:tcW w:type="dxa" w:w="2450"/>
          </w:tcPr>
          <w:p>
            <w:pPr>
              <w:pStyle w:val="MDPI42tablebody"/>
              <w:jc w:val="left"/>
            </w:pPr>
            <w:r>
              <w:rPr>
                <w:sz w:val="15"/>
              </w:rPr>
              <w:t>Trunk accelerometer, 1 week; daily life</w:t>
            </w:r>
          </w:p>
        </w:tc>
        <w:tc>
          <w:tcPr>
            <w:tcW w:type="dxa" w:w="1650"/>
          </w:tcPr>
          <w:p>
            <w:pPr>
              <w:pStyle w:val="MDPI42tablebody"/>
              <w:jc w:val="left"/>
            </w:pPr>
            <w:r>
              <w:rPr>
                <w:sz w:val="15"/>
              </w:rPr>
              <w:t>Any fall; 6 mo</w:t>
            </w:r>
          </w:p>
        </w:tc>
        <w:tc>
          <w:tcPr>
            <w:tcW w:type="dxa" w:w="2450"/>
          </w:tcPr>
          <w:p>
            <w:pPr>
              <w:pStyle w:val="MDPI42tablebody"/>
              <w:jc w:val="left"/>
            </w:pPr>
            <w:r>
              <w:rPr>
                <w:sz w:val="15"/>
              </w:rPr>
              <w:t>CNN, LSTM; Int (participant-level split)</w:t>
            </w:r>
          </w:p>
        </w:tc>
        <w:tc>
          <w:tcPr>
            <w:tcW w:type="dxa" w:w="3300"/>
          </w:tcPr>
          <w:p>
            <w:pPr>
              <w:pStyle w:val="MDPI42tablebody"/>
              <w:jc w:val="left"/>
            </w:pPr>
            <w:r>
              <w:rPr>
                <w:sz w:val="15"/>
              </w:rPr>
              <w:t>AUC 0.65–0.75; 0.94 with sample-level leakage</w:t>
            </w:r>
          </w:p>
        </w:tc>
        <w:tc>
          <w:tcPr>
            <w:tcW w:type="dxa" w:w="850"/>
          </w:tcPr>
          <w:p>
            <w:pPr>
              <w:pStyle w:val="MDPI42tablebody"/>
              <w:jc w:val="left"/>
            </w:pPr>
            <w:r>
              <w:rPr>
                <w:sz w:val="15"/>
              </w:rPr>
              <w:t>H/H</w:t>
            </w:r>
          </w:p>
        </w:tc>
      </w:tr>
      <w:tr>
        <w:tc>
          <w:tcPr>
            <w:tcW w:type="dxa" w:w="1650"/>
          </w:tcPr>
          <w:p>
            <w:pPr>
              <w:pStyle w:val="MDPI42tablebody"/>
              <w:jc w:val="left"/>
            </w:pPr>
            <w:r>
              <w:rPr>
                <w:sz w:val="15"/>
              </w:rPr>
              <w:t>Howcroft et al. 2018 [35]</w:t>
            </w:r>
          </w:p>
        </w:tc>
        <w:tc>
          <w:tcPr>
            <w:tcW w:type="dxa" w:w="2500"/>
          </w:tcPr>
          <w:p>
            <w:pPr>
              <w:pStyle w:val="MDPI42tablebody"/>
              <w:jc w:val="left"/>
            </w:pPr>
            <w:r>
              <w:rPr>
                <w:sz w:val="15"/>
              </w:rPr>
              <w:t>Older adults; 75 (28)</w:t>
            </w:r>
          </w:p>
        </w:tc>
        <w:tc>
          <w:tcPr>
            <w:tcW w:type="dxa" w:w="2450"/>
          </w:tcPr>
          <w:p>
            <w:pPr>
              <w:pStyle w:val="MDPI42tablebody"/>
              <w:jc w:val="left"/>
            </w:pPr>
            <w:r>
              <w:rPr>
                <w:sz w:val="15"/>
              </w:rPr>
              <w:t>Insoles and accelerometers; single/dual-task walk</w:t>
            </w:r>
          </w:p>
        </w:tc>
        <w:tc>
          <w:tcPr>
            <w:tcW w:type="dxa" w:w="1650"/>
          </w:tcPr>
          <w:p>
            <w:pPr>
              <w:pStyle w:val="MDPI42tablebody"/>
              <w:jc w:val="left"/>
            </w:pPr>
            <w:r>
              <w:rPr>
                <w:sz w:val="15"/>
              </w:rPr>
              <w:t>Any fall; 6 mo</w:t>
            </w:r>
          </w:p>
        </w:tc>
        <w:tc>
          <w:tcPr>
            <w:tcW w:type="dxa" w:w="2450"/>
          </w:tcPr>
          <w:p>
            <w:pPr>
              <w:pStyle w:val="MDPI42tablebody"/>
              <w:jc w:val="left"/>
            </w:pPr>
            <w:r>
              <w:rPr>
                <w:sz w:val="15"/>
              </w:rPr>
              <w:t>NB, MLP, SVM with feature selection; Int (repeated hold-outs)</w:t>
            </w:r>
          </w:p>
        </w:tc>
        <w:tc>
          <w:tcPr>
            <w:tcW w:type="dxa" w:w="3300"/>
          </w:tcPr>
          <w:p>
            <w:pPr>
              <w:pStyle w:val="MDPI42tablebody"/>
              <w:jc w:val="left"/>
            </w:pPr>
            <w:r>
              <w:rPr>
                <w:sz w:val="15"/>
              </w:rPr>
              <w:t>Accuracy 65%; Se 59%</w:t>
            </w:r>
          </w:p>
        </w:tc>
        <w:tc>
          <w:tcPr>
            <w:tcW w:type="dxa" w:w="850"/>
          </w:tcPr>
          <w:p>
            <w:pPr>
              <w:pStyle w:val="MDPI42tablebody"/>
              <w:jc w:val="left"/>
            </w:pPr>
            <w:r>
              <w:rPr>
                <w:sz w:val="15"/>
              </w:rPr>
              <w:t>H/H</w:t>
            </w:r>
          </w:p>
        </w:tc>
      </w:tr>
      <w:tr>
        <w:tc>
          <w:tcPr>
            <w:tcW w:type="dxa" w:w="1650"/>
          </w:tcPr>
          <w:p>
            <w:pPr>
              <w:pStyle w:val="MDPI42tablebody"/>
              <w:jc w:val="left"/>
            </w:pPr>
            <w:r>
              <w:rPr>
                <w:sz w:val="15"/>
              </w:rPr>
              <w:t>Bizovska et al. 2018 [36]</w:t>
            </w:r>
          </w:p>
        </w:tc>
        <w:tc>
          <w:tcPr>
            <w:tcW w:type="dxa" w:w="2500"/>
          </w:tcPr>
          <w:p>
            <w:pPr>
              <w:pStyle w:val="MDPI42tablebody"/>
              <w:jc w:val="left"/>
            </w:pPr>
            <w:r>
              <w:rPr>
                <w:sz w:val="15"/>
              </w:rPr>
              <w:t>Community; 96 (15 recurrent)</w:t>
            </w:r>
          </w:p>
        </w:tc>
        <w:tc>
          <w:tcPr>
            <w:tcW w:type="dxa" w:w="2450"/>
          </w:tcPr>
          <w:p>
            <w:pPr>
              <w:pStyle w:val="MDPI42tablebody"/>
              <w:jc w:val="left"/>
            </w:pPr>
            <w:r>
              <w:rPr>
                <w:sz w:val="15"/>
              </w:rPr>
              <w:t>Trunk/shank IMUs; walking</w:t>
            </w:r>
          </w:p>
        </w:tc>
        <w:tc>
          <w:tcPr>
            <w:tcW w:type="dxa" w:w="1650"/>
          </w:tcPr>
          <w:p>
            <w:pPr>
              <w:pStyle w:val="MDPI42tablebody"/>
              <w:jc w:val="left"/>
            </w:pPr>
            <w:r>
              <w:rPr>
                <w:sz w:val="15"/>
              </w:rPr>
              <w:t>Recurrent falls; 12 mo</w:t>
            </w:r>
          </w:p>
        </w:tc>
        <w:tc>
          <w:tcPr>
            <w:tcW w:type="dxa" w:w="2450"/>
          </w:tcPr>
          <w:p>
            <w:pPr>
              <w:pStyle w:val="MDPI42tablebody"/>
              <w:jc w:val="left"/>
            </w:pPr>
            <w:r>
              <w:rPr>
                <w:sz w:val="15"/>
              </w:rPr>
              <w:t>LR combinations; App</w:t>
            </w:r>
          </w:p>
        </w:tc>
        <w:tc>
          <w:tcPr>
            <w:tcW w:type="dxa" w:w="3300"/>
          </w:tcPr>
          <w:p>
            <w:pPr>
              <w:pStyle w:val="MDPI42tablebody"/>
              <w:jc w:val="left"/>
            </w:pPr>
            <w:r>
              <w:rPr>
                <w:sz w:val="15"/>
              </w:rPr>
              <w:t>AUC 0.760 (stability alone 0.673)</w:t>
            </w:r>
          </w:p>
        </w:tc>
        <w:tc>
          <w:tcPr>
            <w:tcW w:type="dxa" w:w="850"/>
          </w:tcPr>
          <w:p>
            <w:pPr>
              <w:pStyle w:val="MDPI42tablebody"/>
              <w:jc w:val="left"/>
            </w:pPr>
            <w:r>
              <w:rPr>
                <w:sz w:val="15"/>
              </w:rPr>
              <w:t>H/H</w:t>
            </w:r>
          </w:p>
        </w:tc>
      </w:tr>
      <w:tr>
        <w:tc>
          <w:tcPr>
            <w:tcW w:type="dxa" w:w="1650"/>
          </w:tcPr>
          <w:p>
            <w:pPr>
              <w:pStyle w:val="MDPI42tablebody"/>
              <w:jc w:val="left"/>
            </w:pPr>
            <w:r>
              <w:rPr>
                <w:sz w:val="15"/>
              </w:rPr>
              <w:t>Marques et al. 2018 [37]†</w:t>
            </w:r>
          </w:p>
        </w:tc>
        <w:tc>
          <w:tcPr>
            <w:tcW w:type="dxa" w:w="2500"/>
          </w:tcPr>
          <w:p>
            <w:pPr>
              <w:pStyle w:val="MDPI42tablebody"/>
              <w:jc w:val="left"/>
            </w:pPr>
            <w:r>
              <w:rPr>
                <w:sz w:val="15"/>
              </w:rPr>
              <w:t>Community; 102 (53)</w:t>
            </w:r>
          </w:p>
        </w:tc>
        <w:tc>
          <w:tcPr>
            <w:tcW w:type="dxa" w:w="2450"/>
          </w:tcPr>
          <w:p>
            <w:pPr>
              <w:pStyle w:val="MDPI42tablebody"/>
              <w:jc w:val="left"/>
            </w:pPr>
            <w:r>
              <w:rPr>
                <w:sz w:val="15"/>
              </w:rPr>
              <w:t>Footswitches; 14-m walkway</w:t>
            </w:r>
          </w:p>
        </w:tc>
        <w:tc>
          <w:tcPr>
            <w:tcW w:type="dxa" w:w="1650"/>
          </w:tcPr>
          <w:p>
            <w:pPr>
              <w:pStyle w:val="MDPI42tablebody"/>
              <w:jc w:val="left"/>
            </w:pPr>
            <w:r>
              <w:rPr>
                <w:sz w:val="15"/>
              </w:rPr>
              <w:t>Any fall; 12 mo</w:t>
            </w:r>
          </w:p>
        </w:tc>
        <w:tc>
          <w:tcPr>
            <w:tcW w:type="dxa" w:w="2450"/>
          </w:tcPr>
          <w:p>
            <w:pPr>
              <w:pStyle w:val="MDPI42tablebody"/>
              <w:jc w:val="left"/>
            </w:pPr>
            <w:r>
              <w:rPr>
                <w:sz w:val="15"/>
              </w:rPr>
              <w:t>Single-predictor cut-offs; App</w:t>
            </w:r>
          </w:p>
        </w:tc>
        <w:tc>
          <w:tcPr>
            <w:tcW w:type="dxa" w:w="3300"/>
          </w:tcPr>
          <w:p>
            <w:pPr>
              <w:pStyle w:val="MDPI42tablebody"/>
              <w:jc w:val="left"/>
            </w:pPr>
            <w:r>
              <w:rPr>
                <w:sz w:val="15"/>
              </w:rPr>
              <w:t>Se &gt;70% for three gait parameters; AUC NR</w:t>
            </w:r>
          </w:p>
        </w:tc>
        <w:tc>
          <w:tcPr>
            <w:tcW w:type="dxa" w:w="850"/>
          </w:tcPr>
          <w:p>
            <w:pPr>
              <w:pStyle w:val="MDPI42tablebody"/>
              <w:jc w:val="left"/>
            </w:pPr>
            <w:r>
              <w:rPr>
                <w:sz w:val="15"/>
              </w:rPr>
              <w:t>U/U</w:t>
            </w:r>
          </w:p>
        </w:tc>
      </w:tr>
      <w:tr>
        <w:tc>
          <w:tcPr>
            <w:tcW w:type="dxa" w:w="1650"/>
          </w:tcPr>
          <w:p>
            <w:pPr>
              <w:pStyle w:val="MDPI42tablebody"/>
              <w:jc w:val="left"/>
            </w:pPr>
            <w:r>
              <w:rPr>
                <w:sz w:val="15"/>
              </w:rPr>
              <w:t>Lo et al. 2019 [38]</w:t>
            </w:r>
          </w:p>
        </w:tc>
        <w:tc>
          <w:tcPr>
            <w:tcW w:type="dxa" w:w="2500"/>
          </w:tcPr>
          <w:p>
            <w:pPr>
              <w:pStyle w:val="MDPI42tablebody"/>
              <w:jc w:val="left"/>
            </w:pPr>
            <w:r>
              <w:rPr>
                <w:sz w:val="15"/>
              </w:rPr>
              <w:t>Early Parkinson disease; 179 (39)</w:t>
            </w:r>
          </w:p>
        </w:tc>
        <w:tc>
          <w:tcPr>
            <w:tcW w:type="dxa" w:w="2450"/>
          </w:tcPr>
          <w:p>
            <w:pPr>
              <w:pStyle w:val="MDPI42tablebody"/>
              <w:jc w:val="left"/>
            </w:pPr>
            <w:r>
              <w:rPr>
                <w:sz w:val="15"/>
              </w:rPr>
              <w:t>Smartphone; 7-min multimodal test</w:t>
            </w:r>
          </w:p>
        </w:tc>
        <w:tc>
          <w:tcPr>
            <w:tcW w:type="dxa" w:w="1650"/>
          </w:tcPr>
          <w:p>
            <w:pPr>
              <w:pStyle w:val="MDPI42tablebody"/>
              <w:jc w:val="left"/>
            </w:pPr>
            <w:r>
              <w:rPr>
                <w:sz w:val="15"/>
              </w:rPr>
              <w:t>New-onset falls; 18 mo</w:t>
            </w:r>
          </w:p>
        </w:tc>
        <w:tc>
          <w:tcPr>
            <w:tcW w:type="dxa" w:w="2450"/>
          </w:tcPr>
          <w:p>
            <w:pPr>
              <w:pStyle w:val="MDPI42tablebody"/>
              <w:jc w:val="left"/>
            </w:pPr>
            <w:r>
              <w:rPr>
                <w:sz w:val="15"/>
              </w:rPr>
              <w:t>ML; Int (leave-one-subject-out CV)</w:t>
            </w:r>
          </w:p>
        </w:tc>
        <w:tc>
          <w:tcPr>
            <w:tcW w:type="dxa" w:w="3300"/>
          </w:tcPr>
          <w:p>
            <w:pPr>
              <w:pStyle w:val="MDPI42tablebody"/>
              <w:jc w:val="left"/>
            </w:pPr>
            <w:r>
              <w:rPr>
                <w:sz w:val="15"/>
              </w:rPr>
              <w:t>AUC 0.79 (participant-level); 0.94 with window-level 10-fold CV</w:t>
            </w:r>
          </w:p>
        </w:tc>
        <w:tc>
          <w:tcPr>
            <w:tcW w:type="dxa" w:w="850"/>
          </w:tcPr>
          <w:p>
            <w:pPr>
              <w:pStyle w:val="MDPI42tablebody"/>
              <w:jc w:val="left"/>
            </w:pPr>
            <w:r>
              <w:rPr>
                <w:sz w:val="15"/>
              </w:rPr>
              <w:t>H/H</w:t>
            </w:r>
          </w:p>
        </w:tc>
      </w:tr>
      <w:tr>
        <w:tc>
          <w:tcPr>
            <w:tcW w:type="dxa" w:w="1650"/>
          </w:tcPr>
          <w:p>
            <w:pPr>
              <w:pStyle w:val="MDPI42tablebody"/>
              <w:jc w:val="left"/>
            </w:pPr>
            <w:r>
              <w:rPr>
                <w:sz w:val="15"/>
              </w:rPr>
              <w:t>Marques et al. 2019 [39]†</w:t>
            </w:r>
          </w:p>
        </w:tc>
        <w:tc>
          <w:tcPr>
            <w:tcW w:type="dxa" w:w="2500"/>
          </w:tcPr>
          <w:p>
            <w:pPr>
              <w:pStyle w:val="MDPI42tablebody"/>
              <w:jc w:val="left"/>
            </w:pPr>
            <w:r>
              <w:rPr>
                <w:sz w:val="15"/>
              </w:rPr>
              <w:t>Long-term care, cognitive impairment; 23 (10)</w:t>
            </w:r>
          </w:p>
        </w:tc>
        <w:tc>
          <w:tcPr>
            <w:tcW w:type="dxa" w:w="2450"/>
          </w:tcPr>
          <w:p>
            <w:pPr>
              <w:pStyle w:val="MDPI42tablebody"/>
              <w:jc w:val="left"/>
            </w:pPr>
            <w:r>
              <w:rPr>
                <w:sz w:val="15"/>
              </w:rPr>
              <w:t>Footswitches; self-selected walk</w:t>
            </w:r>
          </w:p>
        </w:tc>
        <w:tc>
          <w:tcPr>
            <w:tcW w:type="dxa" w:w="1650"/>
          </w:tcPr>
          <w:p>
            <w:pPr>
              <w:pStyle w:val="MDPI42tablebody"/>
              <w:jc w:val="left"/>
            </w:pPr>
            <w:r>
              <w:rPr>
                <w:sz w:val="15"/>
              </w:rPr>
              <w:t>Any fall; 6 mo</w:t>
            </w:r>
          </w:p>
        </w:tc>
        <w:tc>
          <w:tcPr>
            <w:tcW w:type="dxa" w:w="2450"/>
          </w:tcPr>
          <w:p>
            <w:pPr>
              <w:pStyle w:val="MDPI42tablebody"/>
              <w:jc w:val="left"/>
            </w:pPr>
            <w:r>
              <w:rPr>
                <w:sz w:val="15"/>
              </w:rPr>
              <w:t>Single-predictor cut-offs; App</w:t>
            </w:r>
          </w:p>
        </w:tc>
        <w:tc>
          <w:tcPr>
            <w:tcW w:type="dxa" w:w="3300"/>
          </w:tcPr>
          <w:p>
            <w:pPr>
              <w:pStyle w:val="MDPI42tablebody"/>
              <w:jc w:val="left"/>
            </w:pPr>
            <w:r>
              <w:rPr>
                <w:sz w:val="15"/>
              </w:rPr>
              <w:t>Stride-time variability Se 50%, Sp 100%; AUC NR</w:t>
            </w:r>
          </w:p>
        </w:tc>
        <w:tc>
          <w:tcPr>
            <w:tcW w:type="dxa" w:w="850"/>
          </w:tcPr>
          <w:p>
            <w:pPr>
              <w:pStyle w:val="MDPI42tablebody"/>
              <w:jc w:val="left"/>
            </w:pPr>
            <w:r>
              <w:rPr>
                <w:sz w:val="15"/>
              </w:rPr>
              <w:t>H/H</w:t>
            </w:r>
          </w:p>
        </w:tc>
      </w:tr>
      <w:tr>
        <w:tc>
          <w:tcPr>
            <w:tcW w:type="dxa" w:w="1650"/>
          </w:tcPr>
          <w:p>
            <w:pPr>
              <w:pStyle w:val="MDPI42tablebody"/>
              <w:jc w:val="left"/>
            </w:pPr>
            <w:r>
              <w:rPr>
                <w:sz w:val="15"/>
              </w:rPr>
              <w:t>Gillain et al. 2019 [40]†</w:t>
            </w:r>
          </w:p>
        </w:tc>
        <w:tc>
          <w:tcPr>
            <w:tcW w:type="dxa" w:w="2500"/>
          </w:tcPr>
          <w:p>
            <w:pPr>
              <w:pStyle w:val="MDPI42tablebody"/>
              <w:jc w:val="left"/>
            </w:pPr>
            <w:r>
              <w:rPr>
                <w:sz w:val="15"/>
              </w:rPr>
              <w:t>Community, no recent falls; 96 (35)</w:t>
            </w:r>
          </w:p>
        </w:tc>
        <w:tc>
          <w:tcPr>
            <w:tcW w:type="dxa" w:w="2450"/>
          </w:tcPr>
          <w:p>
            <w:pPr>
              <w:pStyle w:val="MDPI42tablebody"/>
              <w:jc w:val="left"/>
            </w:pPr>
            <w:r>
              <w:rPr>
                <w:sz w:val="15"/>
              </w:rPr>
              <w:t>Waist accelerometer and optoelectronic markers; three walking conditions</w:t>
            </w:r>
          </w:p>
        </w:tc>
        <w:tc>
          <w:tcPr>
            <w:tcW w:type="dxa" w:w="1650"/>
          </w:tcPr>
          <w:p>
            <w:pPr>
              <w:pStyle w:val="MDPI42tablebody"/>
              <w:jc w:val="left"/>
            </w:pPr>
            <w:r>
              <w:rPr>
                <w:sz w:val="15"/>
              </w:rPr>
              <w:t>Any fall; 2 y</w:t>
            </w:r>
          </w:p>
        </w:tc>
        <w:tc>
          <w:tcPr>
            <w:tcW w:type="dxa" w:w="2450"/>
          </w:tcPr>
          <w:p>
            <w:pPr>
              <w:pStyle w:val="MDPI42tablebody"/>
              <w:jc w:val="left"/>
            </w:pPr>
            <w:r>
              <w:rPr>
                <w:sz w:val="15"/>
              </w:rPr>
              <w:t>Decision tree (J48); App</w:t>
            </w:r>
          </w:p>
        </w:tc>
        <w:tc>
          <w:tcPr>
            <w:tcW w:type="dxa" w:w="3300"/>
          </w:tcPr>
          <w:p>
            <w:pPr>
              <w:pStyle w:val="MDPI42tablebody"/>
              <w:jc w:val="left"/>
            </w:pPr>
            <w:r>
              <w:rPr>
                <w:sz w:val="15"/>
              </w:rPr>
              <w:t>Accuracy 84%; Se 80%, Sp 87%</w:t>
            </w:r>
          </w:p>
        </w:tc>
        <w:tc>
          <w:tcPr>
            <w:tcW w:type="dxa" w:w="850"/>
          </w:tcPr>
          <w:p>
            <w:pPr>
              <w:pStyle w:val="MDPI42tablebody"/>
              <w:jc w:val="left"/>
            </w:pPr>
            <w:r>
              <w:rPr>
                <w:sz w:val="15"/>
              </w:rPr>
              <w:t>H/H</w:t>
            </w:r>
          </w:p>
        </w:tc>
      </w:tr>
      <w:tr>
        <w:tc>
          <w:tcPr>
            <w:tcW w:type="dxa" w:w="1650"/>
          </w:tcPr>
          <w:p>
            <w:pPr>
              <w:pStyle w:val="MDPI42tablebody"/>
              <w:jc w:val="left"/>
            </w:pPr>
            <w:r>
              <w:rPr>
                <w:sz w:val="15"/>
              </w:rPr>
              <w:t>Buisseret et al. 2020 [41]</w:t>
            </w:r>
          </w:p>
        </w:tc>
        <w:tc>
          <w:tcPr>
            <w:tcW w:type="dxa" w:w="2500"/>
          </w:tcPr>
          <w:p>
            <w:pPr>
              <w:pStyle w:val="MDPI42tablebody"/>
              <w:jc w:val="left"/>
            </w:pPr>
            <w:r>
              <w:rPr>
                <w:sz w:val="15"/>
              </w:rPr>
              <w:t>Nursing home; 73 (23)</w:t>
            </w:r>
          </w:p>
        </w:tc>
        <w:tc>
          <w:tcPr>
            <w:tcW w:type="dxa" w:w="2450"/>
          </w:tcPr>
          <w:p>
            <w:pPr>
              <w:pStyle w:val="MDPI42tablebody"/>
              <w:jc w:val="left"/>
            </w:pPr>
            <w:r>
              <w:rPr>
                <w:sz w:val="15"/>
              </w:rPr>
              <w:t>Wearable IMU; TUG and 6-min walk</w:t>
            </w:r>
          </w:p>
        </w:tc>
        <w:tc>
          <w:tcPr>
            <w:tcW w:type="dxa" w:w="1650"/>
          </w:tcPr>
          <w:p>
            <w:pPr>
              <w:pStyle w:val="MDPI42tablebody"/>
              <w:jc w:val="left"/>
            </w:pPr>
            <w:r>
              <w:rPr>
                <w:sz w:val="15"/>
              </w:rPr>
              <w:t>Any fall; 6 mo</w:t>
            </w:r>
          </w:p>
        </w:tc>
        <w:tc>
          <w:tcPr>
            <w:tcW w:type="dxa" w:w="2450"/>
          </w:tcPr>
          <w:p>
            <w:pPr>
              <w:pStyle w:val="MDPI42tablebody"/>
              <w:jc w:val="left"/>
            </w:pPr>
            <w:r>
              <w:rPr>
                <w:sz w:val="15"/>
              </w:rPr>
              <w:t>TUG rule and deep learning; Int (57/16 split)</w:t>
            </w:r>
          </w:p>
        </w:tc>
        <w:tc>
          <w:tcPr>
            <w:tcW w:type="dxa" w:w="3300"/>
          </w:tcPr>
          <w:p>
            <w:pPr>
              <w:pStyle w:val="MDPI42tablebody"/>
              <w:jc w:val="left"/>
            </w:pPr>
            <w:r>
              <w:rPr>
                <w:sz w:val="15"/>
              </w:rPr>
              <w:t>Accuracy 68% (TUG) to 76% (TUG + gait variability); deep learning 75%</w:t>
            </w:r>
          </w:p>
        </w:tc>
        <w:tc>
          <w:tcPr>
            <w:tcW w:type="dxa" w:w="850"/>
          </w:tcPr>
          <w:p>
            <w:pPr>
              <w:pStyle w:val="MDPI42tablebody"/>
              <w:jc w:val="left"/>
            </w:pPr>
            <w:r>
              <w:rPr>
                <w:sz w:val="15"/>
              </w:rPr>
              <w:t>H/H</w:t>
            </w:r>
          </w:p>
        </w:tc>
      </w:tr>
      <w:tr>
        <w:tc>
          <w:tcPr>
            <w:tcW w:type="dxa" w:w="1650"/>
          </w:tcPr>
          <w:p>
            <w:pPr>
              <w:pStyle w:val="MDPI42tablebody"/>
              <w:jc w:val="left"/>
            </w:pPr>
            <w:r>
              <w:rPr>
                <w:sz w:val="15"/>
              </w:rPr>
              <w:t>Silva et al. 2020 [42]</w:t>
            </w:r>
          </w:p>
        </w:tc>
        <w:tc>
          <w:tcPr>
            <w:tcW w:type="dxa" w:w="2500"/>
          </w:tcPr>
          <w:p>
            <w:pPr>
              <w:pStyle w:val="MDPI42tablebody"/>
              <w:jc w:val="left"/>
            </w:pPr>
            <w:r>
              <w:rPr>
                <w:sz w:val="15"/>
              </w:rPr>
              <w:t>Community; 281 (74)</w:t>
            </w:r>
          </w:p>
        </w:tc>
        <w:tc>
          <w:tcPr>
            <w:tcW w:type="dxa" w:w="2450"/>
          </w:tcPr>
          <w:p>
            <w:pPr>
              <w:pStyle w:val="MDPI42tablebody"/>
              <w:jc w:val="left"/>
            </w:pPr>
            <w:r>
              <w:rPr>
                <w:sz w:val="15"/>
              </w:rPr>
              <w:t>IMUs and pressure platform; iTUG, 10-m walk, balance tests</w:t>
            </w:r>
          </w:p>
        </w:tc>
        <w:tc>
          <w:tcPr>
            <w:tcW w:type="dxa" w:w="1650"/>
          </w:tcPr>
          <w:p>
            <w:pPr>
              <w:pStyle w:val="MDPI42tablebody"/>
              <w:jc w:val="left"/>
            </w:pPr>
            <w:r>
              <w:rPr>
                <w:sz w:val="15"/>
              </w:rPr>
              <w:t>Any fall; 12 mo</w:t>
            </w:r>
          </w:p>
        </w:tc>
        <w:tc>
          <w:tcPr>
            <w:tcW w:type="dxa" w:w="2450"/>
          </w:tcPr>
          <w:p>
            <w:pPr>
              <w:pStyle w:val="MDPI42tablebody"/>
              <w:jc w:val="left"/>
            </w:pPr>
            <w:r>
              <w:rPr>
                <w:sz w:val="15"/>
              </w:rPr>
              <w:t>Fusion trees/MLP; Int (50 repeated splits)</w:t>
            </w:r>
          </w:p>
        </w:tc>
        <w:tc>
          <w:tcPr>
            <w:tcW w:type="dxa" w:w="3300"/>
          </w:tcPr>
          <w:p>
            <w:pPr>
              <w:pStyle w:val="MDPI42tablebody"/>
              <w:jc w:val="left"/>
            </w:pPr>
            <w:r>
              <w:rPr>
                <w:sz w:val="15"/>
              </w:rPr>
              <w:t>Mean AUC 0.495–0.505; Se 78.6%, Sp 22.5% (late fusion)</w:t>
            </w:r>
          </w:p>
        </w:tc>
        <w:tc>
          <w:tcPr>
            <w:tcW w:type="dxa" w:w="850"/>
          </w:tcPr>
          <w:p>
            <w:pPr>
              <w:pStyle w:val="MDPI42tablebody"/>
              <w:jc w:val="left"/>
            </w:pPr>
            <w:r>
              <w:rPr>
                <w:sz w:val="15"/>
              </w:rPr>
              <w:t>H/H</w:t>
            </w:r>
          </w:p>
        </w:tc>
      </w:tr>
      <w:tr>
        <w:tc>
          <w:tcPr>
            <w:tcW w:type="dxa" w:w="1650"/>
          </w:tcPr>
          <w:p>
            <w:pPr>
              <w:pStyle w:val="MDPI42tablebody"/>
              <w:jc w:val="left"/>
            </w:pPr>
            <w:r>
              <w:rPr>
                <w:sz w:val="15"/>
              </w:rPr>
              <w:t>Sturchio et al. 2021 [43]</w:t>
            </w:r>
          </w:p>
        </w:tc>
        <w:tc>
          <w:tcPr>
            <w:tcW w:type="dxa" w:w="2500"/>
          </w:tcPr>
          <w:p>
            <w:pPr>
              <w:pStyle w:val="MDPI42tablebody"/>
              <w:jc w:val="left"/>
            </w:pPr>
            <w:r>
              <w:rPr>
                <w:sz w:val="15"/>
              </w:rPr>
              <w:t>Parkinson disease with orthostatic hypotension; 26 (14)</w:t>
            </w:r>
          </w:p>
        </w:tc>
        <w:tc>
          <w:tcPr>
            <w:tcW w:type="dxa" w:w="2450"/>
          </w:tcPr>
          <w:p>
            <w:pPr>
              <w:pStyle w:val="MDPI42tablebody"/>
              <w:jc w:val="left"/>
            </w:pPr>
            <w:r>
              <w:rPr>
                <w:sz w:val="15"/>
              </w:rPr>
              <w:t>Multisite kinematic sensors; TUG, 2-min walk, sway</w:t>
            </w:r>
          </w:p>
        </w:tc>
        <w:tc>
          <w:tcPr>
            <w:tcW w:type="dxa" w:w="1650"/>
          </w:tcPr>
          <w:p>
            <w:pPr>
              <w:pStyle w:val="MDPI42tablebody"/>
              <w:jc w:val="left"/>
            </w:pPr>
            <w:r>
              <w:rPr>
                <w:sz w:val="15"/>
              </w:rPr>
              <w:t>Any fall; 6 mo</w:t>
            </w:r>
          </w:p>
        </w:tc>
        <w:tc>
          <w:tcPr>
            <w:tcW w:type="dxa" w:w="2450"/>
          </w:tcPr>
          <w:p>
            <w:pPr>
              <w:pStyle w:val="MDPI42tablebody"/>
              <w:jc w:val="left"/>
            </w:pPr>
            <w:r>
              <w:rPr>
                <w:sz w:val="15"/>
              </w:rPr>
              <w:t>Kinematic clustering, ROC cut-offs; App</w:t>
            </w:r>
          </w:p>
        </w:tc>
        <w:tc>
          <w:tcPr>
            <w:tcW w:type="dxa" w:w="3300"/>
          </w:tcPr>
          <w:p>
            <w:pPr>
              <w:pStyle w:val="MDPI42tablebody"/>
              <w:jc w:val="left"/>
            </w:pPr>
            <w:r>
              <w:rPr>
                <w:sz w:val="15"/>
              </w:rPr>
              <w:t>AUC 0.87 (three-feature cluster)</w:t>
            </w:r>
          </w:p>
        </w:tc>
        <w:tc>
          <w:tcPr>
            <w:tcW w:type="dxa" w:w="850"/>
          </w:tcPr>
          <w:p>
            <w:pPr>
              <w:pStyle w:val="MDPI42tablebody"/>
              <w:jc w:val="left"/>
            </w:pPr>
            <w:r>
              <w:rPr>
                <w:sz w:val="15"/>
              </w:rPr>
              <w:t>H/H</w:t>
            </w:r>
          </w:p>
        </w:tc>
      </w:tr>
      <w:tr>
        <w:tc>
          <w:tcPr>
            <w:tcW w:type="dxa" w:w="1650"/>
          </w:tcPr>
          <w:p>
            <w:pPr>
              <w:pStyle w:val="MDPI42tablebody"/>
              <w:jc w:val="left"/>
            </w:pPr>
            <w:r>
              <w:rPr>
                <w:sz w:val="15"/>
              </w:rPr>
              <w:t>Bet et al. 2021 [44]</w:t>
            </w:r>
          </w:p>
        </w:tc>
        <w:tc>
          <w:tcPr>
            <w:tcW w:type="dxa" w:w="2500"/>
          </w:tcPr>
          <w:p>
            <w:pPr>
              <w:pStyle w:val="MDPI42tablebody"/>
              <w:jc w:val="left"/>
            </w:pPr>
            <w:r>
              <w:rPr>
                <w:sz w:val="15"/>
              </w:rPr>
              <w:t>Active community, no recent falls; 73 (20)</w:t>
            </w:r>
          </w:p>
        </w:tc>
        <w:tc>
          <w:tcPr>
            <w:tcW w:type="dxa" w:w="2450"/>
          </w:tcPr>
          <w:p>
            <w:pPr>
              <w:pStyle w:val="MDPI42tablebody"/>
              <w:jc w:val="left"/>
            </w:pPr>
            <w:r>
              <w:rPr>
                <w:sz w:val="15"/>
              </w:rPr>
              <w:t>Waist accelerometer; TUG variants</w:t>
            </w:r>
          </w:p>
        </w:tc>
        <w:tc>
          <w:tcPr>
            <w:tcW w:type="dxa" w:w="1650"/>
          </w:tcPr>
          <w:p>
            <w:pPr>
              <w:pStyle w:val="MDPI42tablebody"/>
              <w:jc w:val="left"/>
            </w:pPr>
            <w:r>
              <w:rPr>
                <w:sz w:val="15"/>
              </w:rPr>
              <w:t>Any fall; 3 and 12 mo</w:t>
            </w:r>
          </w:p>
        </w:tc>
        <w:tc>
          <w:tcPr>
            <w:tcW w:type="dxa" w:w="2450"/>
          </w:tcPr>
          <w:p>
            <w:pPr>
              <w:pStyle w:val="MDPI42tablebody"/>
              <w:jc w:val="left"/>
            </w:pPr>
            <w:r>
              <w:rPr>
                <w:sz w:val="15"/>
              </w:rPr>
              <w:t>Threshold fusion; App</w:t>
            </w:r>
          </w:p>
        </w:tc>
        <w:tc>
          <w:tcPr>
            <w:tcW w:type="dxa" w:w="3300"/>
          </w:tcPr>
          <w:p>
            <w:pPr>
              <w:pStyle w:val="MDPI42tablebody"/>
              <w:jc w:val="left"/>
            </w:pPr>
            <w:r>
              <w:rPr>
                <w:sz w:val="15"/>
              </w:rPr>
              <w:t>12 mo: accuracy 0.62; Se 0.60, Sp 0.62</w:t>
            </w:r>
          </w:p>
        </w:tc>
        <w:tc>
          <w:tcPr>
            <w:tcW w:type="dxa" w:w="850"/>
          </w:tcPr>
          <w:p>
            <w:pPr>
              <w:pStyle w:val="MDPI42tablebody"/>
              <w:jc w:val="left"/>
            </w:pPr>
            <w:r>
              <w:rPr>
                <w:sz w:val="15"/>
              </w:rPr>
              <w:t>H/H</w:t>
            </w:r>
          </w:p>
        </w:tc>
      </w:tr>
      <w:tr>
        <w:tc>
          <w:tcPr>
            <w:tcW w:type="dxa" w:w="1650"/>
          </w:tcPr>
          <w:p>
            <w:pPr>
              <w:pStyle w:val="MDPI42tablebody"/>
              <w:jc w:val="left"/>
            </w:pPr>
            <w:r>
              <w:rPr>
                <w:sz w:val="15"/>
              </w:rPr>
              <w:t>Mehdizadeh et al. 2021 [45]†</w:t>
            </w:r>
          </w:p>
        </w:tc>
        <w:tc>
          <w:tcPr>
            <w:tcW w:type="dxa" w:w="2500"/>
          </w:tcPr>
          <w:p>
            <w:pPr>
              <w:pStyle w:val="MDPI42tablebody"/>
              <w:jc w:val="left"/>
            </w:pPr>
            <w:r>
              <w:rPr>
                <w:sz w:val="15"/>
              </w:rPr>
              <w:t>Dementia inpatients; 51 (26 over the stay)</w:t>
            </w:r>
          </w:p>
        </w:tc>
        <w:tc>
          <w:tcPr>
            <w:tcW w:type="dxa" w:w="2450"/>
          </w:tcPr>
          <w:p>
            <w:pPr>
              <w:pStyle w:val="MDPI42tablebody"/>
              <w:jc w:val="left"/>
            </w:pPr>
            <w:r>
              <w:rPr>
                <w:sz w:val="15"/>
              </w:rPr>
              <w:t>Ambient computer vision; natural gait</w:t>
            </w:r>
          </w:p>
        </w:tc>
        <w:tc>
          <w:tcPr>
            <w:tcW w:type="dxa" w:w="1650"/>
          </w:tcPr>
          <w:p>
            <w:pPr>
              <w:pStyle w:val="MDPI42tablebody"/>
              <w:jc w:val="left"/>
            </w:pPr>
            <w:r>
              <w:rPr>
                <w:sz w:val="15"/>
              </w:rPr>
              <w:t>Time to fall; 7 and 30 d</w:t>
            </w:r>
          </w:p>
        </w:tc>
        <w:tc>
          <w:tcPr>
            <w:tcW w:type="dxa" w:w="2450"/>
          </w:tcPr>
          <w:p>
            <w:pPr>
              <w:pStyle w:val="MDPI42tablebody"/>
              <w:jc w:val="left"/>
            </w:pPr>
            <w:r>
              <w:rPr>
                <w:sz w:val="15"/>
              </w:rPr>
              <w:t>Cox model; Int</w:t>
            </w:r>
          </w:p>
        </w:tc>
        <w:tc>
          <w:tcPr>
            <w:tcW w:type="dxa" w:w="3300"/>
          </w:tcPr>
          <w:p>
            <w:pPr>
              <w:pStyle w:val="MDPI42tablebody"/>
              <w:jc w:val="left"/>
            </w:pPr>
            <w:r>
              <w:rPr>
                <w:sz w:val="15"/>
              </w:rPr>
              <w:t>AUC 0.80 (7 d), 0.67 (30 d); C-index 0.71</w:t>
            </w:r>
          </w:p>
        </w:tc>
        <w:tc>
          <w:tcPr>
            <w:tcW w:type="dxa" w:w="850"/>
          </w:tcPr>
          <w:p>
            <w:pPr>
              <w:pStyle w:val="MDPI42tablebody"/>
              <w:jc w:val="left"/>
            </w:pPr>
            <w:r>
              <w:rPr>
                <w:sz w:val="15"/>
              </w:rPr>
              <w:t>H/H</w:t>
            </w:r>
          </w:p>
        </w:tc>
      </w:tr>
      <w:tr>
        <w:tc>
          <w:tcPr>
            <w:tcW w:type="dxa" w:w="1650"/>
          </w:tcPr>
          <w:p>
            <w:pPr>
              <w:pStyle w:val="MDPI42tablebody"/>
              <w:jc w:val="left"/>
            </w:pPr>
            <w:r>
              <w:rPr>
                <w:sz w:val="15"/>
              </w:rPr>
              <w:t>Lockhart et al. 2021 [46]</w:t>
            </w:r>
          </w:p>
        </w:tc>
        <w:tc>
          <w:tcPr>
            <w:tcW w:type="dxa" w:w="2500"/>
          </w:tcPr>
          <w:p>
            <w:pPr>
              <w:pStyle w:val="MDPI42tablebody"/>
              <w:jc w:val="left"/>
            </w:pPr>
            <w:r>
              <w:rPr>
                <w:sz w:val="15"/>
              </w:rPr>
              <w:t>Community; 127 development, 44 test (9)</w:t>
            </w:r>
          </w:p>
        </w:tc>
        <w:tc>
          <w:tcPr>
            <w:tcW w:type="dxa" w:w="2450"/>
          </w:tcPr>
          <w:p>
            <w:pPr>
              <w:pStyle w:val="MDPI42tablebody"/>
              <w:jc w:val="left"/>
            </w:pPr>
            <w:r>
              <w:rPr>
                <w:sz w:val="15"/>
              </w:rPr>
              <w:t>Sternum IMU; 10-m walk</w:t>
            </w:r>
          </w:p>
        </w:tc>
        <w:tc>
          <w:tcPr>
            <w:tcW w:type="dxa" w:w="1650"/>
          </w:tcPr>
          <w:p>
            <w:pPr>
              <w:pStyle w:val="MDPI42tablebody"/>
              <w:jc w:val="left"/>
            </w:pPr>
            <w:r>
              <w:rPr>
                <w:sz w:val="15"/>
              </w:rPr>
              <w:t>Any fall (test); 6 mo</w:t>
            </w:r>
          </w:p>
        </w:tc>
        <w:tc>
          <w:tcPr>
            <w:tcW w:type="dxa" w:w="2450"/>
          </w:tcPr>
          <w:p>
            <w:pPr>
              <w:pStyle w:val="MDPI42tablebody"/>
              <w:jc w:val="left"/>
            </w:pPr>
            <w:r>
              <w:rPr>
                <w:sz w:val="15"/>
              </w:rPr>
              <w:t>RF trained on fall history; PFE (blind test)</w:t>
            </w:r>
          </w:p>
        </w:tc>
        <w:tc>
          <w:tcPr>
            <w:tcW w:type="dxa" w:w="3300"/>
          </w:tcPr>
          <w:p>
            <w:pPr>
              <w:pStyle w:val="MDPI42tablebody"/>
              <w:jc w:val="left"/>
            </w:pPr>
            <w:r>
              <w:rPr>
                <w:sz w:val="15"/>
              </w:rPr>
              <w:t>Accuracy 81.6% (±0.7, type NS); Se 86.7%, Sp 80.3%</w:t>
            </w:r>
          </w:p>
        </w:tc>
        <w:tc>
          <w:tcPr>
            <w:tcW w:type="dxa" w:w="850"/>
          </w:tcPr>
          <w:p>
            <w:pPr>
              <w:pStyle w:val="MDPI42tablebody"/>
              <w:jc w:val="left"/>
            </w:pPr>
            <w:r>
              <w:rPr>
                <w:sz w:val="15"/>
              </w:rPr>
              <w:t>H/H</w:t>
            </w:r>
          </w:p>
        </w:tc>
      </w:tr>
      <w:tr>
        <w:tc>
          <w:tcPr>
            <w:tcW w:type="dxa" w:w="1650"/>
          </w:tcPr>
          <w:p>
            <w:pPr>
              <w:pStyle w:val="MDPI42tablebody"/>
              <w:jc w:val="left"/>
            </w:pPr>
            <w:r>
              <w:rPr>
                <w:sz w:val="15"/>
              </w:rPr>
              <w:t>Roshdibenam et al. 2021 [47]</w:t>
            </w:r>
          </w:p>
        </w:tc>
        <w:tc>
          <w:tcPr>
            <w:tcW w:type="dxa" w:w="2500"/>
          </w:tcPr>
          <w:p>
            <w:pPr>
              <w:pStyle w:val="MDPI42tablebody"/>
              <w:jc w:val="left"/>
            </w:pPr>
            <w:r>
              <w:rPr>
                <w:sz w:val="15"/>
              </w:rPr>
              <w:t>Geriatric clinic; 87 (25)</w:t>
            </w:r>
          </w:p>
        </w:tc>
        <w:tc>
          <w:tcPr>
            <w:tcW w:type="dxa" w:w="2450"/>
          </w:tcPr>
          <w:p>
            <w:pPr>
              <w:pStyle w:val="MDPI42tablebody"/>
              <w:jc w:val="left"/>
            </w:pPr>
            <w:r>
              <w:rPr>
                <w:sz w:val="15"/>
              </w:rPr>
              <w:t>Shoe and neck IMUs; iTUG</w:t>
            </w:r>
          </w:p>
        </w:tc>
        <w:tc>
          <w:tcPr>
            <w:tcW w:type="dxa" w:w="1650"/>
          </w:tcPr>
          <w:p>
            <w:pPr>
              <w:pStyle w:val="MDPI42tablebody"/>
              <w:jc w:val="left"/>
            </w:pPr>
            <w:r>
              <w:rPr>
                <w:sz w:val="15"/>
              </w:rPr>
              <w:t>Any fall (secondary analysis); 6–12 mo</w:t>
            </w:r>
          </w:p>
        </w:tc>
        <w:tc>
          <w:tcPr>
            <w:tcW w:type="dxa" w:w="2450"/>
          </w:tcPr>
          <w:p>
            <w:pPr>
              <w:pStyle w:val="MDPI42tablebody"/>
              <w:jc w:val="left"/>
            </w:pPr>
            <w:r>
              <w:rPr>
                <w:sz w:val="15"/>
              </w:rPr>
              <w:t>1D-CNN; Int (repeated 80:20 split)</w:t>
            </w:r>
          </w:p>
        </w:tc>
        <w:tc>
          <w:tcPr>
            <w:tcW w:type="dxa" w:w="3300"/>
          </w:tcPr>
          <w:p>
            <w:pPr>
              <w:pStyle w:val="MDPI42tablebody"/>
              <w:jc w:val="left"/>
            </w:pPr>
            <w:r>
              <w:rPr>
                <w:sz w:val="15"/>
              </w:rPr>
              <w:t>AUC 0.56 (range across resamples 0.33–0.74); Se 42.4%, Sp 67.4%</w:t>
            </w:r>
          </w:p>
        </w:tc>
        <w:tc>
          <w:tcPr>
            <w:tcW w:type="dxa" w:w="850"/>
          </w:tcPr>
          <w:p>
            <w:pPr>
              <w:pStyle w:val="MDPI42tablebody"/>
              <w:jc w:val="left"/>
            </w:pPr>
            <w:r>
              <w:rPr>
                <w:sz w:val="15"/>
              </w:rPr>
              <w:t>H/H</w:t>
            </w:r>
          </w:p>
        </w:tc>
      </w:tr>
      <w:tr>
        <w:tc>
          <w:tcPr>
            <w:tcW w:type="dxa" w:w="1650"/>
          </w:tcPr>
          <w:p>
            <w:pPr>
              <w:pStyle w:val="MDPI42tablebody"/>
              <w:jc w:val="left"/>
            </w:pPr>
            <w:r>
              <w:rPr>
                <w:sz w:val="15"/>
              </w:rPr>
              <w:t>Greene et al. 2022 [48]</w:t>
            </w:r>
          </w:p>
        </w:tc>
        <w:tc>
          <w:tcPr>
            <w:tcW w:type="dxa" w:w="2500"/>
          </w:tcPr>
          <w:p>
            <w:pPr>
              <w:pStyle w:val="MDPI42tablebody"/>
              <w:jc w:val="left"/>
            </w:pPr>
            <w:r>
              <w:rPr>
                <w:sz w:val="15"/>
              </w:rPr>
              <w:t>Parkinson disease; 15 (8)</w:t>
            </w:r>
          </w:p>
        </w:tc>
        <w:tc>
          <w:tcPr>
            <w:tcW w:type="dxa" w:w="2450"/>
          </w:tcPr>
          <w:p>
            <w:pPr>
              <w:pStyle w:val="MDPI42tablebody"/>
              <w:jc w:val="left"/>
            </w:pPr>
            <w:r>
              <w:rPr>
                <w:sz w:val="15"/>
              </w:rPr>
              <w:t>Shin IMUs; QTUG</w:t>
            </w:r>
          </w:p>
        </w:tc>
        <w:tc>
          <w:tcPr>
            <w:tcW w:type="dxa" w:w="1650"/>
          </w:tcPr>
          <w:p>
            <w:pPr>
              <w:pStyle w:val="MDPI42tablebody"/>
              <w:jc w:val="left"/>
            </w:pPr>
            <w:r>
              <w:rPr>
                <w:sz w:val="15"/>
              </w:rPr>
              <w:t>Fall count; 24 wk</w:t>
            </w:r>
          </w:p>
        </w:tc>
        <w:tc>
          <w:tcPr>
            <w:tcW w:type="dxa" w:w="2450"/>
          </w:tcPr>
          <w:p>
            <w:pPr>
              <w:pStyle w:val="MDPI42tablebody"/>
              <w:jc w:val="left"/>
            </w:pPr>
            <w:r>
              <w:rPr>
                <w:sz w:val="15"/>
              </w:rPr>
              <w:t>Negative-binomial mapping; TSU</w:t>
            </w:r>
          </w:p>
        </w:tc>
        <w:tc>
          <w:tcPr>
            <w:tcW w:type="dxa" w:w="3300"/>
          </w:tcPr>
          <w:p>
            <w:pPr>
              <w:pStyle w:val="MDPI42tablebody"/>
              <w:jc w:val="left"/>
            </w:pPr>
            <w:r>
              <w:rPr>
                <w:sz w:val="15"/>
              </w:rPr>
              <w:t>R² 0.50 (all); 0.73 after excluding participants with &gt;10 falls</w:t>
            </w:r>
          </w:p>
        </w:tc>
        <w:tc>
          <w:tcPr>
            <w:tcW w:type="dxa" w:w="850"/>
          </w:tcPr>
          <w:p>
            <w:pPr>
              <w:pStyle w:val="MDPI42tablebody"/>
              <w:jc w:val="left"/>
            </w:pPr>
            <w:r>
              <w:rPr>
                <w:sz w:val="15"/>
              </w:rPr>
              <w:t>H/H</w:t>
            </w:r>
          </w:p>
        </w:tc>
      </w:tr>
      <w:tr>
        <w:tc>
          <w:tcPr>
            <w:tcW w:type="dxa" w:w="1650"/>
          </w:tcPr>
          <w:p>
            <w:pPr>
              <w:pStyle w:val="MDPI42tablebody"/>
              <w:jc w:val="left"/>
            </w:pPr>
            <w:r>
              <w:rPr>
                <w:sz w:val="15"/>
              </w:rPr>
              <w:t>Kelly et al. 2022 [49]</w:t>
            </w:r>
          </w:p>
        </w:tc>
        <w:tc>
          <w:tcPr>
            <w:tcW w:type="dxa" w:w="2500"/>
          </w:tcPr>
          <w:p>
            <w:pPr>
              <w:pStyle w:val="MDPI42tablebody"/>
              <w:jc w:val="left"/>
            </w:pPr>
            <w:r>
              <w:rPr>
                <w:sz w:val="15"/>
              </w:rPr>
              <w:t>Community, aged 70 years; 1705 (255)</w:t>
            </w:r>
          </w:p>
        </w:tc>
        <w:tc>
          <w:tcPr>
            <w:tcW w:type="dxa" w:w="2450"/>
          </w:tcPr>
          <w:p>
            <w:pPr>
              <w:pStyle w:val="MDPI42tablebody"/>
              <w:jc w:val="left"/>
            </w:pPr>
            <w:r>
              <w:rPr>
                <w:sz w:val="15"/>
              </w:rPr>
              <w:t>Hip accelerometer, 1 week, and laboratory gait</w:t>
            </w:r>
          </w:p>
        </w:tc>
        <w:tc>
          <w:tcPr>
            <w:tcW w:type="dxa" w:w="1650"/>
          </w:tcPr>
          <w:p>
            <w:pPr>
              <w:pStyle w:val="MDPI42tablebody"/>
              <w:jc w:val="left"/>
            </w:pPr>
            <w:r>
              <w:rPr>
                <w:sz w:val="15"/>
              </w:rPr>
              <w:t>Any fall; 12 mo</w:t>
            </w:r>
          </w:p>
        </w:tc>
        <w:tc>
          <w:tcPr>
            <w:tcW w:type="dxa" w:w="2450"/>
          </w:tcPr>
          <w:p>
            <w:pPr>
              <w:pStyle w:val="MDPI42tablebody"/>
              <w:jc w:val="left"/>
            </w:pPr>
            <w:r>
              <w:rPr>
                <w:sz w:val="15"/>
              </w:rPr>
              <w:t>ML classifiers; Int (held-out test, n = 428; 64 fallers)</w:t>
            </w:r>
          </w:p>
        </w:tc>
        <w:tc>
          <w:tcPr>
            <w:tcW w:type="dxa" w:w="3300"/>
          </w:tcPr>
          <w:p>
            <w:pPr>
              <w:pStyle w:val="MDPI42tablebody"/>
              <w:jc w:val="left"/>
            </w:pPr>
            <w:r>
              <w:rPr>
                <w:sz w:val="15"/>
              </w:rPr>
              <w:t>Se 0.61, Sp 0.66</w:t>
            </w:r>
          </w:p>
        </w:tc>
        <w:tc>
          <w:tcPr>
            <w:tcW w:type="dxa" w:w="850"/>
          </w:tcPr>
          <w:p>
            <w:pPr>
              <w:pStyle w:val="MDPI42tablebody"/>
              <w:jc w:val="left"/>
            </w:pPr>
            <w:r>
              <w:rPr>
                <w:sz w:val="15"/>
              </w:rPr>
              <w:t>H/H</w:t>
            </w:r>
          </w:p>
        </w:tc>
      </w:tr>
      <w:tr>
        <w:tc>
          <w:tcPr>
            <w:tcW w:type="dxa" w:w="1650"/>
          </w:tcPr>
          <w:p>
            <w:pPr>
              <w:pStyle w:val="MDPI42tablebody"/>
              <w:jc w:val="left"/>
            </w:pPr>
            <w:r>
              <w:rPr>
                <w:sz w:val="15"/>
              </w:rPr>
              <w:t>Dierick et al. 2022 [50]</w:t>
            </w:r>
          </w:p>
        </w:tc>
        <w:tc>
          <w:tcPr>
            <w:tcW w:type="dxa" w:w="2500"/>
          </w:tcPr>
          <w:p>
            <w:pPr>
              <w:pStyle w:val="MDPI42tablebody"/>
              <w:jc w:val="left"/>
            </w:pPr>
            <w:r>
              <w:rPr>
                <w:sz w:val="15"/>
              </w:rPr>
              <w:t>Nursing home; 73 (24)</w:t>
            </w:r>
          </w:p>
        </w:tc>
        <w:tc>
          <w:tcPr>
            <w:tcW w:type="dxa" w:w="2450"/>
          </w:tcPr>
          <w:p>
            <w:pPr>
              <w:pStyle w:val="MDPI42tablebody"/>
              <w:jc w:val="left"/>
            </w:pPr>
            <w:r>
              <w:rPr>
                <w:sz w:val="15"/>
              </w:rPr>
              <w:t>Lower-back IMU; iTUG</w:t>
            </w:r>
          </w:p>
        </w:tc>
        <w:tc>
          <w:tcPr>
            <w:tcW w:type="dxa" w:w="1650"/>
          </w:tcPr>
          <w:p>
            <w:pPr>
              <w:pStyle w:val="MDPI42tablebody"/>
              <w:jc w:val="left"/>
            </w:pPr>
            <w:r>
              <w:rPr>
                <w:sz w:val="15"/>
              </w:rPr>
              <w:t>Any fall; 6 mo</w:t>
            </w:r>
          </w:p>
        </w:tc>
        <w:tc>
          <w:tcPr>
            <w:tcW w:type="dxa" w:w="2450"/>
          </w:tcPr>
          <w:p>
            <w:pPr>
              <w:pStyle w:val="MDPI42tablebody"/>
              <w:jc w:val="left"/>
            </w:pPr>
            <w:r>
              <w:rPr>
                <w:sz w:val="15"/>
              </w:rPr>
              <w:t>LR rule (i+TUG); App</w:t>
            </w:r>
          </w:p>
        </w:tc>
        <w:tc>
          <w:tcPr>
            <w:tcW w:type="dxa" w:w="3300"/>
          </w:tcPr>
          <w:p>
            <w:pPr>
              <w:pStyle w:val="MDPI42tablebody"/>
              <w:jc w:val="left"/>
            </w:pPr>
            <w:r>
              <w:rPr>
                <w:sz w:val="15"/>
              </w:rPr>
              <w:t>Accuracy 74.0%; Se 29.2%, Sp 95.9%</w:t>
            </w:r>
          </w:p>
        </w:tc>
        <w:tc>
          <w:tcPr>
            <w:tcW w:type="dxa" w:w="850"/>
          </w:tcPr>
          <w:p>
            <w:pPr>
              <w:pStyle w:val="MDPI42tablebody"/>
              <w:jc w:val="left"/>
            </w:pPr>
            <w:r>
              <w:rPr>
                <w:sz w:val="15"/>
              </w:rPr>
              <w:t>H/H</w:t>
            </w:r>
          </w:p>
        </w:tc>
      </w:tr>
      <w:tr>
        <w:tc>
          <w:tcPr>
            <w:tcW w:type="dxa" w:w="1650"/>
          </w:tcPr>
          <w:p>
            <w:pPr>
              <w:pStyle w:val="MDPI42tablebody"/>
              <w:jc w:val="left"/>
            </w:pPr>
            <w:r>
              <w:rPr>
                <w:sz w:val="15"/>
              </w:rPr>
              <w:t>Ma et al. 2022 [51]†</w:t>
            </w:r>
          </w:p>
        </w:tc>
        <w:tc>
          <w:tcPr>
            <w:tcW w:type="dxa" w:w="2500"/>
          </w:tcPr>
          <w:p>
            <w:pPr>
              <w:pStyle w:val="MDPI42tablebody"/>
              <w:jc w:val="left"/>
            </w:pPr>
            <w:r>
              <w:rPr>
                <w:sz w:val="15"/>
              </w:rPr>
              <w:t>Parkinson disease; 51 (14)</w:t>
            </w:r>
          </w:p>
        </w:tc>
        <w:tc>
          <w:tcPr>
            <w:tcW w:type="dxa" w:w="2450"/>
          </w:tcPr>
          <w:p>
            <w:pPr>
              <w:pStyle w:val="MDPI42tablebody"/>
              <w:jc w:val="left"/>
            </w:pPr>
            <w:r>
              <w:rPr>
                <w:sz w:val="15"/>
              </w:rPr>
              <w:t>Wearable gait system; 7-m iTUG</w:t>
            </w:r>
          </w:p>
        </w:tc>
        <w:tc>
          <w:tcPr>
            <w:tcW w:type="dxa" w:w="1650"/>
          </w:tcPr>
          <w:p>
            <w:pPr>
              <w:pStyle w:val="MDPI42tablebody"/>
              <w:jc w:val="left"/>
            </w:pPr>
            <w:r>
              <w:rPr>
                <w:sz w:val="15"/>
              </w:rPr>
              <w:t>Any fall; 6 mo</w:t>
            </w:r>
          </w:p>
        </w:tc>
        <w:tc>
          <w:tcPr>
            <w:tcW w:type="dxa" w:w="2450"/>
          </w:tcPr>
          <w:p>
            <w:pPr>
              <w:pStyle w:val="MDPI42tablebody"/>
              <w:jc w:val="left"/>
            </w:pPr>
            <w:r>
              <w:rPr>
                <w:sz w:val="15"/>
              </w:rPr>
              <w:t>Binary LR; App</w:t>
            </w:r>
          </w:p>
        </w:tc>
        <w:tc>
          <w:tcPr>
            <w:tcW w:type="dxa" w:w="3300"/>
          </w:tcPr>
          <w:p>
            <w:pPr>
              <w:pStyle w:val="MDPI42tablebody"/>
              <w:jc w:val="left"/>
            </w:pPr>
            <w:r>
              <w:rPr>
                <w:sz w:val="15"/>
              </w:rPr>
              <w:t>AUC 0.838</w:t>
            </w:r>
          </w:p>
        </w:tc>
        <w:tc>
          <w:tcPr>
            <w:tcW w:type="dxa" w:w="850"/>
          </w:tcPr>
          <w:p>
            <w:pPr>
              <w:pStyle w:val="MDPI42tablebody"/>
              <w:jc w:val="left"/>
            </w:pPr>
            <w:r>
              <w:rPr>
                <w:sz w:val="15"/>
              </w:rPr>
              <w:t>H/H</w:t>
            </w:r>
          </w:p>
        </w:tc>
      </w:tr>
      <w:tr>
        <w:tc>
          <w:tcPr>
            <w:tcW w:type="dxa" w:w="1650"/>
          </w:tcPr>
          <w:p>
            <w:pPr>
              <w:pStyle w:val="MDPI42tablebody"/>
              <w:jc w:val="left"/>
            </w:pPr>
            <w:r>
              <w:rPr>
                <w:sz w:val="15"/>
              </w:rPr>
              <w:t>Dasgupta et al. 2022 [52]</w:t>
            </w:r>
          </w:p>
        </w:tc>
        <w:tc>
          <w:tcPr>
            <w:tcW w:type="dxa" w:w="2500"/>
          </w:tcPr>
          <w:p>
            <w:pPr>
              <w:pStyle w:val="MDPI42tablebody"/>
              <w:jc w:val="left"/>
            </w:pPr>
            <w:r>
              <w:rPr>
                <w:sz w:val="15"/>
              </w:rPr>
              <w:t>Emergency department; 134 (14)</w:t>
            </w:r>
          </w:p>
        </w:tc>
        <w:tc>
          <w:tcPr>
            <w:tcW w:type="dxa" w:w="2450"/>
          </w:tcPr>
          <w:p>
            <w:pPr>
              <w:pStyle w:val="MDPI42tablebody"/>
              <w:jc w:val="left"/>
            </w:pPr>
            <w:r>
              <w:rPr>
                <w:sz w:val="15"/>
              </w:rPr>
              <w:t>Trunk accelerometer; TUG</w:t>
            </w:r>
          </w:p>
        </w:tc>
        <w:tc>
          <w:tcPr>
            <w:tcW w:type="dxa" w:w="1650"/>
          </w:tcPr>
          <w:p>
            <w:pPr>
              <w:pStyle w:val="MDPI42tablebody"/>
              <w:jc w:val="left"/>
            </w:pPr>
            <w:r>
              <w:rPr>
                <w:sz w:val="15"/>
              </w:rPr>
              <w:t>Fall or fall-related visit; 3 mo</w:t>
            </w:r>
          </w:p>
        </w:tc>
        <w:tc>
          <w:tcPr>
            <w:tcW w:type="dxa" w:w="2450"/>
          </w:tcPr>
          <w:p>
            <w:pPr>
              <w:pStyle w:val="MDPI42tablebody"/>
              <w:jc w:val="left"/>
            </w:pPr>
            <w:r>
              <w:rPr>
                <w:sz w:val="15"/>
              </w:rPr>
              <w:t>HCRNN; Int (LOOCV)</w:t>
            </w:r>
          </w:p>
        </w:tc>
        <w:tc>
          <w:tcPr>
            <w:tcW w:type="dxa" w:w="3300"/>
          </w:tcPr>
          <w:p>
            <w:pPr>
              <w:pStyle w:val="MDPI42tablebody"/>
              <w:jc w:val="left"/>
            </w:pPr>
            <w:r>
              <w:rPr>
                <w:sz w:val="15"/>
              </w:rPr>
              <w:t>AUC 0.99 (95% CI 0.98–1.00); TUG time alone 0.48</w:t>
            </w:r>
          </w:p>
        </w:tc>
        <w:tc>
          <w:tcPr>
            <w:tcW w:type="dxa" w:w="850"/>
          </w:tcPr>
          <w:p>
            <w:pPr>
              <w:pStyle w:val="MDPI42tablebody"/>
              <w:jc w:val="left"/>
            </w:pPr>
            <w:r>
              <w:rPr>
                <w:sz w:val="15"/>
              </w:rPr>
              <w:t>H/H</w:t>
            </w:r>
          </w:p>
        </w:tc>
      </w:tr>
      <w:tr>
        <w:tc>
          <w:tcPr>
            <w:tcW w:type="dxa" w:w="1650"/>
          </w:tcPr>
          <w:p>
            <w:pPr>
              <w:pStyle w:val="MDPI42tablebody"/>
              <w:jc w:val="left"/>
            </w:pPr>
            <w:r>
              <w:rPr>
                <w:sz w:val="15"/>
              </w:rPr>
              <w:t>Caronni et al. 2023 [53]</w:t>
            </w:r>
          </w:p>
        </w:tc>
        <w:tc>
          <w:tcPr>
            <w:tcW w:type="dxa" w:w="2500"/>
          </w:tcPr>
          <w:p>
            <w:pPr>
              <w:pStyle w:val="MDPI42tablebody"/>
              <w:jc w:val="left"/>
            </w:pPr>
            <w:r>
              <w:rPr>
                <w:sz w:val="15"/>
              </w:rPr>
              <w:t>Neurological rehabilitation; 214 (82)</w:t>
            </w:r>
          </w:p>
        </w:tc>
        <w:tc>
          <w:tcPr>
            <w:tcW w:type="dxa" w:w="2450"/>
          </w:tcPr>
          <w:p>
            <w:pPr>
              <w:pStyle w:val="MDPI42tablebody"/>
              <w:jc w:val="left"/>
            </w:pPr>
            <w:r>
              <w:rPr>
                <w:sz w:val="15"/>
              </w:rPr>
              <w:t>IMU; iTUG and walking test</w:t>
            </w:r>
          </w:p>
        </w:tc>
        <w:tc>
          <w:tcPr>
            <w:tcW w:type="dxa" w:w="1650"/>
          </w:tcPr>
          <w:p>
            <w:pPr>
              <w:pStyle w:val="MDPI42tablebody"/>
              <w:jc w:val="left"/>
            </w:pPr>
            <w:r>
              <w:rPr>
                <w:sz w:val="15"/>
              </w:rPr>
              <w:t>Any fall; 9 mo</w:t>
            </w:r>
          </w:p>
        </w:tc>
        <w:tc>
          <w:tcPr>
            <w:tcW w:type="dxa" w:w="2450"/>
          </w:tcPr>
          <w:p>
            <w:pPr>
              <w:pStyle w:val="MDPI42tablebody"/>
              <w:jc w:val="left"/>
            </w:pPr>
            <w:r>
              <w:rPr>
                <w:sz w:val="15"/>
              </w:rPr>
              <w:t>LR, LASSO; App</w:t>
            </w:r>
          </w:p>
        </w:tc>
        <w:tc>
          <w:tcPr>
            <w:tcW w:type="dxa" w:w="3300"/>
          </w:tcPr>
          <w:p>
            <w:pPr>
              <w:pStyle w:val="MDPI42tablebody"/>
              <w:jc w:val="left"/>
            </w:pPr>
            <w:r>
              <w:rPr>
                <w:sz w:val="15"/>
              </w:rPr>
              <w:t>AUC 0.69 (fall history alone 0.66)</w:t>
            </w:r>
          </w:p>
        </w:tc>
        <w:tc>
          <w:tcPr>
            <w:tcW w:type="dxa" w:w="850"/>
          </w:tcPr>
          <w:p>
            <w:pPr>
              <w:pStyle w:val="MDPI42tablebody"/>
              <w:jc w:val="left"/>
            </w:pPr>
            <w:r>
              <w:rPr>
                <w:sz w:val="15"/>
              </w:rPr>
              <w:t>H/H</w:t>
            </w:r>
          </w:p>
        </w:tc>
      </w:tr>
      <w:tr>
        <w:tc>
          <w:tcPr>
            <w:tcW w:type="dxa" w:w="1650"/>
          </w:tcPr>
          <w:p>
            <w:pPr>
              <w:pStyle w:val="MDPI42tablebody"/>
              <w:jc w:val="left"/>
            </w:pPr>
            <w:r>
              <w:rPr>
                <w:sz w:val="15"/>
              </w:rPr>
              <w:t>Horak et al. 2023 [54]</w:t>
            </w:r>
          </w:p>
        </w:tc>
        <w:tc>
          <w:tcPr>
            <w:tcW w:type="dxa" w:w="2500"/>
          </w:tcPr>
          <w:p>
            <w:pPr>
              <w:pStyle w:val="MDPI42tablebody"/>
              <w:jc w:val="left"/>
            </w:pPr>
            <w:r>
              <w:rPr>
                <w:sz w:val="15"/>
              </w:rPr>
              <w:t>Community men; 214 (91)</w:t>
            </w:r>
          </w:p>
        </w:tc>
        <w:tc>
          <w:tcPr>
            <w:tcW w:type="dxa" w:w="2450"/>
          </w:tcPr>
          <w:p>
            <w:pPr>
              <w:pStyle w:val="MDPI42tablebody"/>
              <w:jc w:val="left"/>
            </w:pPr>
            <w:r>
              <w:rPr>
                <w:sz w:val="15"/>
              </w:rPr>
              <w:t>IMUs; Instrumented Stand and Walk</w:t>
            </w:r>
          </w:p>
        </w:tc>
        <w:tc>
          <w:tcPr>
            <w:tcW w:type="dxa" w:w="1650"/>
          </w:tcPr>
          <w:p>
            <w:pPr>
              <w:pStyle w:val="MDPI42tablebody"/>
              <w:jc w:val="left"/>
            </w:pPr>
            <w:r>
              <w:rPr>
                <w:sz w:val="15"/>
              </w:rPr>
              <w:t>Any fall; 12 mo</w:t>
            </w:r>
          </w:p>
        </w:tc>
        <w:tc>
          <w:tcPr>
            <w:tcW w:type="dxa" w:w="2450"/>
          </w:tcPr>
          <w:p>
            <w:pPr>
              <w:pStyle w:val="MDPI42tablebody"/>
              <w:jc w:val="left"/>
            </w:pPr>
            <w:r>
              <w:rPr>
                <w:sz w:val="15"/>
              </w:rPr>
              <w:t>LR with model averaging; App</w:t>
            </w:r>
          </w:p>
        </w:tc>
        <w:tc>
          <w:tcPr>
            <w:tcW w:type="dxa" w:w="3300"/>
          </w:tcPr>
          <w:p>
            <w:pPr>
              <w:pStyle w:val="MDPI42tablebody"/>
              <w:jc w:val="left"/>
            </w:pPr>
            <w:r>
              <w:rPr>
                <w:sz w:val="15"/>
              </w:rPr>
              <w:t>AUC 0.751 (95% CI 0.680–0.821) vs. 0.685 (age + fall history)</w:t>
            </w:r>
          </w:p>
        </w:tc>
        <w:tc>
          <w:tcPr>
            <w:tcW w:type="dxa" w:w="850"/>
          </w:tcPr>
          <w:p>
            <w:pPr>
              <w:pStyle w:val="MDPI42tablebody"/>
              <w:jc w:val="left"/>
            </w:pPr>
            <w:r>
              <w:rPr>
                <w:sz w:val="15"/>
              </w:rPr>
              <w:t>H/H</w:t>
            </w:r>
          </w:p>
        </w:tc>
      </w:tr>
      <w:tr>
        <w:tc>
          <w:tcPr>
            <w:tcW w:type="dxa" w:w="1650"/>
          </w:tcPr>
          <w:p>
            <w:pPr>
              <w:pStyle w:val="MDPI42tablebody"/>
              <w:jc w:val="left"/>
            </w:pPr>
            <w:r>
              <w:rPr>
                <w:sz w:val="15"/>
              </w:rPr>
              <w:t>Ullrich et al. 2023 [55]</w:t>
            </w:r>
          </w:p>
        </w:tc>
        <w:tc>
          <w:tcPr>
            <w:tcW w:type="dxa" w:w="2500"/>
          </w:tcPr>
          <w:p>
            <w:pPr>
              <w:pStyle w:val="MDPI42tablebody"/>
              <w:jc w:val="left"/>
            </w:pPr>
            <w:r>
              <w:rPr>
                <w:sz w:val="15"/>
              </w:rPr>
              <w:t>Parkinson disease; 35 (10)</w:t>
            </w:r>
          </w:p>
        </w:tc>
        <w:tc>
          <w:tcPr>
            <w:tcW w:type="dxa" w:w="2450"/>
          </w:tcPr>
          <w:p>
            <w:pPr>
              <w:pStyle w:val="MDPI42tablebody"/>
              <w:jc w:val="left"/>
            </w:pPr>
            <w:r>
              <w:rPr>
                <w:sz w:val="15"/>
              </w:rPr>
              <w:t>Foot IMUs, 2 weeks; daily life</w:t>
            </w:r>
          </w:p>
        </w:tc>
        <w:tc>
          <w:tcPr>
            <w:tcW w:type="dxa" w:w="1650"/>
          </w:tcPr>
          <w:p>
            <w:pPr>
              <w:pStyle w:val="MDPI42tablebody"/>
              <w:jc w:val="left"/>
            </w:pPr>
            <w:r>
              <w:rPr>
                <w:sz w:val="15"/>
              </w:rPr>
              <w:t>Any fall; 3 mo</w:t>
            </w:r>
          </w:p>
        </w:tc>
        <w:tc>
          <w:tcPr>
            <w:tcW w:type="dxa" w:w="2450"/>
          </w:tcPr>
          <w:p>
            <w:pPr>
              <w:pStyle w:val="MDPI42tablebody"/>
              <w:jc w:val="left"/>
            </w:pPr>
            <w:r>
              <w:rPr>
                <w:sz w:val="15"/>
              </w:rPr>
              <w:t>ML (RF); Int (CV)</w:t>
            </w:r>
          </w:p>
        </w:tc>
        <w:tc>
          <w:tcPr>
            <w:tcW w:type="dxa" w:w="3300"/>
          </w:tcPr>
          <w:p>
            <w:pPr>
              <w:pStyle w:val="MDPI42tablebody"/>
              <w:jc w:val="left"/>
            </w:pPr>
            <w:r>
              <w:rPr>
                <w:sz w:val="15"/>
              </w:rPr>
              <w:t>Balanced accuracy 74%; Se 60%, Sp 88%</w:t>
            </w:r>
          </w:p>
        </w:tc>
        <w:tc>
          <w:tcPr>
            <w:tcW w:type="dxa" w:w="850"/>
          </w:tcPr>
          <w:p>
            <w:pPr>
              <w:pStyle w:val="MDPI42tablebody"/>
              <w:jc w:val="left"/>
            </w:pPr>
            <w:r>
              <w:rPr>
                <w:sz w:val="15"/>
              </w:rPr>
              <w:t>H/H</w:t>
            </w:r>
          </w:p>
        </w:tc>
      </w:tr>
      <w:tr>
        <w:tc>
          <w:tcPr>
            <w:tcW w:type="dxa" w:w="1650"/>
          </w:tcPr>
          <w:p>
            <w:pPr>
              <w:pStyle w:val="MDPI42tablebody"/>
              <w:jc w:val="left"/>
            </w:pPr>
            <w:r>
              <w:rPr>
                <w:sz w:val="15"/>
              </w:rPr>
              <w:t>Al Abiad et al. 2023 [56]</w:t>
            </w:r>
          </w:p>
        </w:tc>
        <w:tc>
          <w:tcPr>
            <w:tcW w:type="dxa" w:w="2500"/>
          </w:tcPr>
          <w:p>
            <w:pPr>
              <w:pStyle w:val="MDPI42tablebody"/>
              <w:jc w:val="left"/>
            </w:pPr>
            <w:r>
              <w:rPr>
                <w:sz w:val="15"/>
              </w:rPr>
              <w:t>Community; 283 (NR)</w:t>
            </w:r>
          </w:p>
        </w:tc>
        <w:tc>
          <w:tcPr>
            <w:tcW w:type="dxa" w:w="2450"/>
          </w:tcPr>
          <w:p>
            <w:pPr>
              <w:pStyle w:val="MDPI42tablebody"/>
              <w:jc w:val="left"/>
            </w:pPr>
            <w:r>
              <w:rPr>
                <w:sz w:val="15"/>
              </w:rPr>
              <w:t>Ambulatory IMU, 1 week; daily life</w:t>
            </w:r>
          </w:p>
        </w:tc>
        <w:tc>
          <w:tcPr>
            <w:tcW w:type="dxa" w:w="1650"/>
          </w:tcPr>
          <w:p>
            <w:pPr>
              <w:pStyle w:val="MDPI42tablebody"/>
              <w:jc w:val="left"/>
            </w:pPr>
            <w:r>
              <w:rPr>
                <w:sz w:val="15"/>
              </w:rPr>
              <w:t>Fall occurrence/count; 12 mo</w:t>
            </w:r>
          </w:p>
        </w:tc>
        <w:tc>
          <w:tcPr>
            <w:tcW w:type="dxa" w:w="2450"/>
          </w:tcPr>
          <w:p>
            <w:pPr>
              <w:pStyle w:val="MDPI42tablebody"/>
              <w:jc w:val="left"/>
            </w:pPr>
            <w:r>
              <w:rPr>
                <w:sz w:val="15"/>
              </w:rPr>
              <w:t>Negative-binomial regression; Int (repeated 80:20 split)</w:t>
            </w:r>
          </w:p>
        </w:tc>
        <w:tc>
          <w:tcPr>
            <w:tcW w:type="dxa" w:w="3300"/>
          </w:tcPr>
          <w:p>
            <w:pPr>
              <w:pStyle w:val="MDPI42tablebody"/>
              <w:jc w:val="left"/>
            </w:pPr>
            <w:r>
              <w:rPr>
                <w:sz w:val="15"/>
              </w:rPr>
              <w:t>Mean AUC 0.67 (SD across splits 0.05); apparent 0.69</w:t>
            </w:r>
          </w:p>
        </w:tc>
        <w:tc>
          <w:tcPr>
            <w:tcW w:type="dxa" w:w="850"/>
          </w:tcPr>
          <w:p>
            <w:pPr>
              <w:pStyle w:val="MDPI42tablebody"/>
              <w:jc w:val="left"/>
            </w:pPr>
            <w:r>
              <w:rPr>
                <w:sz w:val="15"/>
              </w:rPr>
              <w:t>H/H</w:t>
            </w:r>
          </w:p>
        </w:tc>
      </w:tr>
      <w:tr>
        <w:tc>
          <w:tcPr>
            <w:tcW w:type="dxa" w:w="1650"/>
          </w:tcPr>
          <w:p>
            <w:pPr>
              <w:pStyle w:val="MDPI42tablebody"/>
              <w:jc w:val="left"/>
            </w:pPr>
            <w:r>
              <w:rPr>
                <w:sz w:val="15"/>
              </w:rPr>
              <w:t>Adeli et al. 2023 [57]</w:t>
            </w:r>
          </w:p>
        </w:tc>
        <w:tc>
          <w:tcPr>
            <w:tcW w:type="dxa" w:w="2500"/>
          </w:tcPr>
          <w:p>
            <w:pPr>
              <w:pStyle w:val="MDPI42tablebody"/>
              <w:jc w:val="left"/>
            </w:pPr>
            <w:r>
              <w:rPr>
                <w:sz w:val="15"/>
              </w:rPr>
              <w:t>Long-term care, dementia; 54 (20)</w:t>
            </w:r>
          </w:p>
        </w:tc>
        <w:tc>
          <w:tcPr>
            <w:tcW w:type="dxa" w:w="2450"/>
          </w:tcPr>
          <w:p>
            <w:pPr>
              <w:pStyle w:val="MDPI42tablebody"/>
              <w:jc w:val="left"/>
            </w:pPr>
            <w:r>
              <w:rPr>
                <w:sz w:val="15"/>
              </w:rPr>
              <w:t>Ambient computer vision; 4851 gait bouts</w:t>
            </w:r>
          </w:p>
        </w:tc>
        <w:tc>
          <w:tcPr>
            <w:tcW w:type="dxa" w:w="1650"/>
          </w:tcPr>
          <w:p>
            <w:pPr>
              <w:pStyle w:val="MDPI42tablebody"/>
              <w:jc w:val="left"/>
            </w:pPr>
            <w:r>
              <w:rPr>
                <w:sz w:val="15"/>
              </w:rPr>
              <w:t>Fall within 4 weeks (rolling)</w:t>
            </w:r>
          </w:p>
        </w:tc>
        <w:tc>
          <w:tcPr>
            <w:tcW w:type="dxa" w:w="2450"/>
          </w:tcPr>
          <w:p>
            <w:pPr>
              <w:pStyle w:val="MDPI42tablebody"/>
              <w:jc w:val="left"/>
            </w:pPr>
            <w:r>
              <w:rPr>
                <w:sz w:val="15"/>
              </w:rPr>
              <w:t>ML; Int (leave-one-subject-out CV)</w:t>
            </w:r>
          </w:p>
        </w:tc>
        <w:tc>
          <w:tcPr>
            <w:tcW w:type="dxa" w:w="3300"/>
          </w:tcPr>
          <w:p>
            <w:pPr>
              <w:pStyle w:val="MDPI42tablebody"/>
              <w:jc w:val="left"/>
            </w:pPr>
            <w:r>
              <w:rPr>
                <w:sz w:val="15"/>
              </w:rPr>
              <w:t>AUC 0.762 vs. 0.562 without gait</w:t>
            </w:r>
          </w:p>
        </w:tc>
        <w:tc>
          <w:tcPr>
            <w:tcW w:type="dxa" w:w="850"/>
          </w:tcPr>
          <w:p>
            <w:pPr>
              <w:pStyle w:val="MDPI42tablebody"/>
              <w:jc w:val="left"/>
            </w:pPr>
            <w:r>
              <w:rPr>
                <w:sz w:val="15"/>
              </w:rPr>
              <w:t>H/H</w:t>
            </w:r>
          </w:p>
        </w:tc>
      </w:tr>
      <w:tr>
        <w:tc>
          <w:tcPr>
            <w:tcW w:type="dxa" w:w="1650"/>
          </w:tcPr>
          <w:p>
            <w:pPr>
              <w:pStyle w:val="MDPI42tablebody"/>
              <w:jc w:val="left"/>
            </w:pPr>
            <w:r>
              <w:rPr>
                <w:sz w:val="15"/>
              </w:rPr>
              <w:t>Shah et al. 2023 [58]</w:t>
            </w:r>
          </w:p>
        </w:tc>
        <w:tc>
          <w:tcPr>
            <w:tcW w:type="dxa" w:w="2500"/>
          </w:tcPr>
          <w:p>
            <w:pPr>
              <w:pStyle w:val="MDPI42tablebody"/>
              <w:jc w:val="left"/>
            </w:pPr>
            <w:r>
              <w:rPr>
                <w:sz w:val="15"/>
              </w:rPr>
              <w:t>Parkinson disease; 34 (25)</w:t>
            </w:r>
          </w:p>
        </w:tc>
        <w:tc>
          <w:tcPr>
            <w:tcW w:type="dxa" w:w="2450"/>
          </w:tcPr>
          <w:p>
            <w:pPr>
              <w:pStyle w:val="MDPI42tablebody"/>
              <w:jc w:val="left"/>
            </w:pPr>
            <w:r>
              <w:rPr>
                <w:sz w:val="15"/>
              </w:rPr>
              <w:t>Three IMUs, 1 week; daily life</w:t>
            </w:r>
          </w:p>
        </w:tc>
        <w:tc>
          <w:tcPr>
            <w:tcW w:type="dxa" w:w="1650"/>
          </w:tcPr>
          <w:p>
            <w:pPr>
              <w:pStyle w:val="MDPI42tablebody"/>
              <w:jc w:val="left"/>
            </w:pPr>
            <w:r>
              <w:rPr>
                <w:sz w:val="15"/>
              </w:rPr>
              <w:t>Any fall; 12 mo</w:t>
            </w:r>
          </w:p>
        </w:tc>
        <w:tc>
          <w:tcPr>
            <w:tcW w:type="dxa" w:w="2450"/>
          </w:tcPr>
          <w:p>
            <w:pPr>
              <w:pStyle w:val="MDPI42tablebody"/>
              <w:jc w:val="left"/>
            </w:pPr>
            <w:r>
              <w:rPr>
                <w:sz w:val="15"/>
              </w:rPr>
              <w:t>Best-subsets LR; App</w:t>
            </w:r>
          </w:p>
        </w:tc>
        <w:tc>
          <w:tcPr>
            <w:tcW w:type="dxa" w:w="3300"/>
          </w:tcPr>
          <w:p>
            <w:pPr>
              <w:pStyle w:val="MDPI42tablebody"/>
              <w:jc w:val="left"/>
            </w:pPr>
            <w:r>
              <w:rPr>
                <w:sz w:val="15"/>
              </w:rPr>
              <w:t>AUC 0.94 (95% CI 0.84–1.00) vs. 0.77 (fall history)</w:t>
            </w:r>
          </w:p>
        </w:tc>
        <w:tc>
          <w:tcPr>
            <w:tcW w:type="dxa" w:w="850"/>
          </w:tcPr>
          <w:p>
            <w:pPr>
              <w:pStyle w:val="MDPI42tablebody"/>
              <w:jc w:val="left"/>
            </w:pPr>
            <w:r>
              <w:rPr>
                <w:sz w:val="15"/>
              </w:rPr>
              <w:t>H/H</w:t>
            </w:r>
          </w:p>
        </w:tc>
      </w:tr>
      <w:tr>
        <w:tc>
          <w:tcPr>
            <w:tcW w:type="dxa" w:w="1650"/>
          </w:tcPr>
          <w:p>
            <w:pPr>
              <w:pStyle w:val="MDPI42tablebody"/>
              <w:jc w:val="left"/>
            </w:pPr>
            <w:r>
              <w:rPr>
                <w:sz w:val="15"/>
              </w:rPr>
              <w:t>Sotirakis et al. 2024 [59]</w:t>
            </w:r>
          </w:p>
        </w:tc>
        <w:tc>
          <w:tcPr>
            <w:tcW w:type="dxa" w:w="2500"/>
          </w:tcPr>
          <w:p>
            <w:pPr>
              <w:pStyle w:val="MDPI42tablebody"/>
              <w:jc w:val="left"/>
            </w:pPr>
            <w:r>
              <w:rPr>
                <w:sz w:val="15"/>
              </w:rPr>
              <w:t>Parkinson disease, no prior falls; 104 (13 at 24 mo; 23 at 60 mo)</w:t>
            </w:r>
          </w:p>
        </w:tc>
        <w:tc>
          <w:tcPr>
            <w:tcW w:type="dxa" w:w="2450"/>
          </w:tcPr>
          <w:p>
            <w:pPr>
              <w:pStyle w:val="MDPI42tablebody"/>
              <w:jc w:val="left"/>
            </w:pPr>
            <w:r>
              <w:rPr>
                <w:sz w:val="15"/>
              </w:rPr>
              <w:t>Six IMUs; 2-min walk and sway</w:t>
            </w:r>
          </w:p>
        </w:tc>
        <w:tc>
          <w:tcPr>
            <w:tcW w:type="dxa" w:w="1650"/>
          </w:tcPr>
          <w:p>
            <w:pPr>
              <w:pStyle w:val="MDPI42tablebody"/>
              <w:jc w:val="left"/>
            </w:pPr>
            <w:r>
              <w:rPr>
                <w:sz w:val="15"/>
              </w:rPr>
              <w:t>Incident falls; 24 and 60 mo</w:t>
            </w:r>
          </w:p>
        </w:tc>
        <w:tc>
          <w:tcPr>
            <w:tcW w:type="dxa" w:w="2450"/>
          </w:tcPr>
          <w:p>
            <w:pPr>
              <w:pStyle w:val="MDPI42tablebody"/>
              <w:jc w:val="left"/>
            </w:pPr>
            <w:r>
              <w:rPr>
                <w:sz w:val="15"/>
              </w:rPr>
              <w:t>Five ML classifiers; Int (5-fold CV)</w:t>
            </w:r>
          </w:p>
        </w:tc>
        <w:tc>
          <w:tcPr>
            <w:tcW w:type="dxa" w:w="3300"/>
          </w:tcPr>
          <w:p>
            <w:pPr>
              <w:pStyle w:val="MDPI42tablebody"/>
              <w:jc w:val="left"/>
            </w:pPr>
            <w:r>
              <w:rPr>
                <w:sz w:val="15"/>
              </w:rPr>
              <w:t>AUC &gt;0.90 (24 mo; exact value NR), 0.85 (60 mo)</w:t>
            </w:r>
          </w:p>
        </w:tc>
        <w:tc>
          <w:tcPr>
            <w:tcW w:type="dxa" w:w="850"/>
          </w:tcPr>
          <w:p>
            <w:pPr>
              <w:pStyle w:val="MDPI42tablebody"/>
              <w:jc w:val="left"/>
            </w:pPr>
            <w:r>
              <w:rPr>
                <w:sz w:val="15"/>
              </w:rPr>
              <w:t>H/H</w:t>
            </w:r>
          </w:p>
        </w:tc>
      </w:tr>
      <w:tr>
        <w:tc>
          <w:tcPr>
            <w:tcW w:type="dxa" w:w="1650"/>
          </w:tcPr>
          <w:p>
            <w:pPr>
              <w:pStyle w:val="MDPI42tablebody"/>
              <w:jc w:val="left"/>
            </w:pPr>
            <w:r>
              <w:rPr>
                <w:sz w:val="15"/>
              </w:rPr>
              <w:t>Zhang et al. 2024 [60]</w:t>
            </w:r>
          </w:p>
        </w:tc>
        <w:tc>
          <w:tcPr>
            <w:tcW w:type="dxa" w:w="2500"/>
          </w:tcPr>
          <w:p>
            <w:pPr>
              <w:pStyle w:val="MDPI42tablebody"/>
              <w:jc w:val="left"/>
            </w:pPr>
            <w:r>
              <w:rPr>
                <w:sz w:val="15"/>
              </w:rPr>
              <w:t>Institutional care; 95 (15)</w:t>
            </w:r>
          </w:p>
        </w:tc>
        <w:tc>
          <w:tcPr>
            <w:tcW w:type="dxa" w:w="2450"/>
          </w:tcPr>
          <w:p>
            <w:pPr>
              <w:pStyle w:val="MDPI42tablebody"/>
              <w:jc w:val="left"/>
            </w:pPr>
            <w:r>
              <w:rPr>
                <w:sz w:val="15"/>
              </w:rPr>
              <w:t>Instrumented footwear and walkway; 6-min walk</w:t>
            </w:r>
          </w:p>
        </w:tc>
        <w:tc>
          <w:tcPr>
            <w:tcW w:type="dxa" w:w="1650"/>
          </w:tcPr>
          <w:p>
            <w:pPr>
              <w:pStyle w:val="MDPI42tablebody"/>
              <w:jc w:val="left"/>
            </w:pPr>
            <w:r>
              <w:rPr>
                <w:sz w:val="15"/>
              </w:rPr>
              <w:t>Any fall; 6 mo</w:t>
            </w:r>
          </w:p>
        </w:tc>
        <w:tc>
          <w:tcPr>
            <w:tcW w:type="dxa" w:w="2450"/>
          </w:tcPr>
          <w:p>
            <w:pPr>
              <w:pStyle w:val="MDPI42tablebody"/>
              <w:jc w:val="left"/>
            </w:pPr>
            <w:r>
              <w:rPr>
                <w:sz w:val="15"/>
              </w:rPr>
              <w:t>AdaBoost; Int (non-nested CV)</w:t>
            </w:r>
          </w:p>
        </w:tc>
        <w:tc>
          <w:tcPr>
            <w:tcW w:type="dxa" w:w="3300"/>
          </w:tcPr>
          <w:p>
            <w:pPr>
              <w:pStyle w:val="MDPI42tablebody"/>
              <w:jc w:val="left"/>
            </w:pPr>
            <w:r>
              <w:rPr>
                <w:sz w:val="15"/>
              </w:rPr>
              <w:t>AUC 0.70 (footwear) vs. 0.56 (timed tests)</w:t>
            </w:r>
          </w:p>
        </w:tc>
        <w:tc>
          <w:tcPr>
            <w:tcW w:type="dxa" w:w="850"/>
          </w:tcPr>
          <w:p>
            <w:pPr>
              <w:pStyle w:val="MDPI42tablebody"/>
              <w:jc w:val="left"/>
            </w:pPr>
            <w:r>
              <w:rPr>
                <w:sz w:val="15"/>
              </w:rPr>
              <w:t>H/H</w:t>
            </w:r>
          </w:p>
        </w:tc>
      </w:tr>
      <w:tr>
        <w:tc>
          <w:tcPr>
            <w:tcW w:type="dxa" w:w="1650"/>
          </w:tcPr>
          <w:p>
            <w:pPr>
              <w:pStyle w:val="MDPI42tablebody"/>
              <w:jc w:val="left"/>
            </w:pPr>
            <w:r>
              <w:rPr>
                <w:sz w:val="15"/>
              </w:rPr>
              <w:t>Maiora et al. 2024 [61]</w:t>
            </w:r>
          </w:p>
        </w:tc>
        <w:tc>
          <w:tcPr>
            <w:tcW w:type="dxa" w:w="2500"/>
          </w:tcPr>
          <w:p>
            <w:pPr>
              <w:pStyle w:val="MDPI42tablebody"/>
              <w:jc w:val="left"/>
            </w:pPr>
            <w:r>
              <w:rPr>
                <w:sz w:val="15"/>
              </w:rPr>
              <w:t>Nursing homes; 106 (21)</w:t>
            </w:r>
          </w:p>
        </w:tc>
        <w:tc>
          <w:tcPr>
            <w:tcW w:type="dxa" w:w="2450"/>
          </w:tcPr>
          <w:p>
            <w:pPr>
              <w:pStyle w:val="MDPI42tablebody"/>
              <w:jc w:val="left"/>
            </w:pPr>
            <w:r>
              <w:rPr>
                <w:sz w:val="15"/>
              </w:rPr>
              <w:t>Lumbar IMU; iTUG</w:t>
            </w:r>
          </w:p>
        </w:tc>
        <w:tc>
          <w:tcPr>
            <w:tcW w:type="dxa" w:w="1650"/>
          </w:tcPr>
          <w:p>
            <w:pPr>
              <w:pStyle w:val="MDPI42tablebody"/>
              <w:jc w:val="left"/>
            </w:pPr>
            <w:r>
              <w:rPr>
                <w:sz w:val="15"/>
              </w:rPr>
              <w:t>Any fall; 6 mo</w:t>
            </w:r>
          </w:p>
        </w:tc>
        <w:tc>
          <w:tcPr>
            <w:tcW w:type="dxa" w:w="2450"/>
          </w:tcPr>
          <w:p>
            <w:pPr>
              <w:pStyle w:val="MDPI42tablebody"/>
              <w:jc w:val="left"/>
            </w:pPr>
            <w:r>
              <w:rPr>
                <w:sz w:val="15"/>
              </w:rPr>
              <w:t>BLSTM; Int (100 repeated hold-outs)</w:t>
            </w:r>
          </w:p>
        </w:tc>
        <w:tc>
          <w:tcPr>
            <w:tcW w:type="dxa" w:w="3300"/>
          </w:tcPr>
          <w:p>
            <w:pPr>
              <w:pStyle w:val="MDPI42tablebody"/>
              <w:jc w:val="left"/>
            </w:pPr>
            <w:r>
              <w:rPr>
                <w:sz w:val="15"/>
              </w:rPr>
              <w:t>AUC 0.73; Se 0.50, Sp 0.92</w:t>
            </w:r>
          </w:p>
        </w:tc>
        <w:tc>
          <w:tcPr>
            <w:tcW w:type="dxa" w:w="850"/>
          </w:tcPr>
          <w:p>
            <w:pPr>
              <w:pStyle w:val="MDPI42tablebody"/>
              <w:jc w:val="left"/>
            </w:pPr>
            <w:r>
              <w:rPr>
                <w:sz w:val="15"/>
              </w:rPr>
              <w:t>H/H</w:t>
            </w:r>
          </w:p>
        </w:tc>
      </w:tr>
      <w:tr>
        <w:tc>
          <w:tcPr>
            <w:tcW w:type="dxa" w:w="1650"/>
          </w:tcPr>
          <w:p>
            <w:pPr>
              <w:pStyle w:val="MDPI42tablebody"/>
              <w:jc w:val="left"/>
            </w:pPr>
            <w:r>
              <w:rPr>
                <w:sz w:val="15"/>
              </w:rPr>
              <w:t>Zhang et al. 2024 [62]</w:t>
            </w:r>
          </w:p>
        </w:tc>
        <w:tc>
          <w:tcPr>
            <w:tcW w:type="dxa" w:w="2500"/>
          </w:tcPr>
          <w:p>
            <w:pPr>
              <w:pStyle w:val="MDPI42tablebody"/>
              <w:jc w:val="left"/>
            </w:pPr>
            <w:r>
              <w:rPr>
                <w:sz w:val="15"/>
              </w:rPr>
              <w:t>Community; 263 (105)</w:t>
            </w:r>
          </w:p>
        </w:tc>
        <w:tc>
          <w:tcPr>
            <w:tcW w:type="dxa" w:w="2450"/>
          </w:tcPr>
          <w:p>
            <w:pPr>
              <w:pStyle w:val="MDPI42tablebody"/>
              <w:jc w:val="left"/>
            </w:pPr>
            <w:r>
              <w:rPr>
                <w:sz w:val="15"/>
              </w:rPr>
              <w:t>Trunk accelerometer, 1 week; daily life</w:t>
            </w:r>
          </w:p>
        </w:tc>
        <w:tc>
          <w:tcPr>
            <w:tcW w:type="dxa" w:w="1650"/>
          </w:tcPr>
          <w:p>
            <w:pPr>
              <w:pStyle w:val="MDPI42tablebody"/>
              <w:jc w:val="left"/>
            </w:pPr>
            <w:r>
              <w:rPr>
                <w:sz w:val="15"/>
              </w:rPr>
              <w:t>Any fall; 6 mo</w:t>
            </w:r>
          </w:p>
        </w:tc>
        <w:tc>
          <w:tcPr>
            <w:tcW w:type="dxa" w:w="2450"/>
          </w:tcPr>
          <w:p>
            <w:pPr>
              <w:pStyle w:val="MDPI42tablebody"/>
              <w:jc w:val="left"/>
            </w:pPr>
            <w:r>
              <w:rPr>
                <w:sz w:val="15"/>
              </w:rPr>
              <w:t>Three published models, original coefficients; ICE, then TSU</w:t>
            </w:r>
          </w:p>
        </w:tc>
        <w:tc>
          <w:tcPr>
            <w:tcW w:type="dxa" w:w="3300"/>
          </w:tcPr>
          <w:p>
            <w:pPr>
              <w:pStyle w:val="MDPI42tablebody"/>
              <w:jc w:val="left"/>
            </w:pPr>
            <w:r>
              <w:rPr>
                <w:sz w:val="15"/>
              </w:rPr>
              <w:t>AUC 0.49–0.59 before updating; 0.51–0.62 after updating; intercept and slope reported</w:t>
            </w:r>
          </w:p>
        </w:tc>
        <w:tc>
          <w:tcPr>
            <w:tcW w:type="dxa" w:w="850"/>
          </w:tcPr>
          <w:p>
            <w:pPr>
              <w:pStyle w:val="MDPI42tablebody"/>
              <w:jc w:val="left"/>
            </w:pPr>
            <w:r>
              <w:rPr>
                <w:sz w:val="15"/>
              </w:rPr>
              <w:t>H/H</w:t>
            </w:r>
          </w:p>
        </w:tc>
      </w:tr>
      <w:tr>
        <w:tc>
          <w:tcPr>
            <w:tcW w:type="dxa" w:w="1650"/>
          </w:tcPr>
          <w:p>
            <w:pPr>
              <w:pStyle w:val="MDPI42tablebody"/>
              <w:jc w:val="left"/>
            </w:pPr>
            <w:r>
              <w:rPr>
                <w:sz w:val="15"/>
              </w:rPr>
              <w:t>Lai et al. 2025 [63]</w:t>
            </w:r>
          </w:p>
        </w:tc>
        <w:tc>
          <w:tcPr>
            <w:tcW w:type="dxa" w:w="2500"/>
          </w:tcPr>
          <w:p>
            <w:pPr>
              <w:pStyle w:val="MDPI42tablebody"/>
              <w:jc w:val="left"/>
            </w:pPr>
            <w:r>
              <w:rPr>
                <w:sz w:val="15"/>
              </w:rPr>
              <w:t>Community; 37 (5)</w:t>
            </w:r>
          </w:p>
        </w:tc>
        <w:tc>
          <w:tcPr>
            <w:tcW w:type="dxa" w:w="2450"/>
          </w:tcPr>
          <w:p>
            <w:pPr>
              <w:pStyle w:val="MDPI42tablebody"/>
              <w:jc w:val="left"/>
            </w:pPr>
            <w:r>
              <w:rPr>
                <w:sz w:val="15"/>
              </w:rPr>
              <w:t>Commercial waist sensor; proprietary assessment</w:t>
            </w:r>
          </w:p>
        </w:tc>
        <w:tc>
          <w:tcPr>
            <w:tcW w:type="dxa" w:w="1650"/>
          </w:tcPr>
          <w:p>
            <w:pPr>
              <w:pStyle w:val="MDPI42tablebody"/>
              <w:jc w:val="left"/>
            </w:pPr>
            <w:r>
              <w:rPr>
                <w:sz w:val="15"/>
              </w:rPr>
              <w:t>Any fall; 12 mo</w:t>
            </w:r>
          </w:p>
        </w:tc>
        <w:tc>
          <w:tcPr>
            <w:tcW w:type="dxa" w:w="2450"/>
          </w:tcPr>
          <w:p>
            <w:pPr>
              <w:pStyle w:val="MDPI42tablebody"/>
              <w:jc w:val="left"/>
            </w:pPr>
            <w:r>
              <w:rPr>
                <w:sz w:val="15"/>
              </w:rPr>
              <w:t>Proprietary risk score; PFE</w:t>
            </w:r>
          </w:p>
        </w:tc>
        <w:tc>
          <w:tcPr>
            <w:tcW w:type="dxa" w:w="3300"/>
          </w:tcPr>
          <w:p>
            <w:pPr>
              <w:pStyle w:val="MDPI42tablebody"/>
              <w:jc w:val="left"/>
            </w:pPr>
            <w:r>
              <w:rPr>
                <w:sz w:val="15"/>
              </w:rPr>
              <w:t>AUC 0.688; Se 100%, Sp 37.5%, PPV 20%</w:t>
            </w:r>
          </w:p>
        </w:tc>
        <w:tc>
          <w:tcPr>
            <w:tcW w:type="dxa" w:w="850"/>
          </w:tcPr>
          <w:p>
            <w:pPr>
              <w:pStyle w:val="MDPI42tablebody"/>
              <w:jc w:val="left"/>
            </w:pPr>
            <w:r>
              <w:rPr>
                <w:sz w:val="15"/>
              </w:rPr>
              <w:t>NA/H</w:t>
            </w:r>
          </w:p>
        </w:tc>
      </w:tr>
      <w:tr>
        <w:tc>
          <w:tcPr>
            <w:tcW w:type="dxa" w:w="1650"/>
          </w:tcPr>
          <w:p>
            <w:pPr>
              <w:pStyle w:val="MDPI42tablebody"/>
              <w:jc w:val="left"/>
            </w:pPr>
            <w:r>
              <w:rPr>
                <w:sz w:val="15"/>
              </w:rPr>
              <w:t>Giardini et al. 2025 [16]†</w:t>
            </w:r>
          </w:p>
        </w:tc>
        <w:tc>
          <w:tcPr>
            <w:tcW w:type="dxa" w:w="2500"/>
          </w:tcPr>
          <w:p>
            <w:pPr>
              <w:pStyle w:val="MDPI42tablebody"/>
              <w:jc w:val="left"/>
            </w:pPr>
            <w:r>
              <w:rPr>
                <w:sz w:val="15"/>
              </w:rPr>
              <w:t>Inpatients after femur fracture; ~185 (≈10, approximate)</w:t>
            </w:r>
          </w:p>
        </w:tc>
        <w:tc>
          <w:tcPr>
            <w:tcW w:type="dxa" w:w="2450"/>
          </w:tcPr>
          <w:p>
            <w:pPr>
              <w:pStyle w:val="MDPI42tablebody"/>
              <w:jc w:val="left"/>
            </w:pPr>
            <w:r>
              <w:rPr>
                <w:sz w:val="15"/>
              </w:rPr>
              <w:t>IMU; iTUG</w:t>
            </w:r>
          </w:p>
        </w:tc>
        <w:tc>
          <w:tcPr>
            <w:tcW w:type="dxa" w:w="1650"/>
          </w:tcPr>
          <w:p>
            <w:pPr>
              <w:pStyle w:val="MDPI42tablebody"/>
              <w:jc w:val="left"/>
            </w:pPr>
            <w:r>
              <w:rPr>
                <w:sz w:val="15"/>
              </w:rPr>
              <w:t>Any fall; 1 mo</w:t>
            </w:r>
          </w:p>
        </w:tc>
        <w:tc>
          <w:tcPr>
            <w:tcW w:type="dxa" w:w="2450"/>
          </w:tcPr>
          <w:p>
            <w:pPr>
              <w:pStyle w:val="MDPI42tablebody"/>
              <w:jc w:val="left"/>
            </w:pPr>
            <w:r>
              <w:rPr>
                <w:sz w:val="15"/>
              </w:rPr>
              <w:t>Multivariable LR; App</w:t>
            </w:r>
          </w:p>
        </w:tc>
        <w:tc>
          <w:tcPr>
            <w:tcW w:type="dxa" w:w="3300"/>
          </w:tcPr>
          <w:p>
            <w:pPr>
              <w:pStyle w:val="MDPI42tablebody"/>
              <w:jc w:val="left"/>
            </w:pPr>
            <w:r>
              <w:rPr>
                <w:sz w:val="15"/>
              </w:rPr>
              <w:t>AUC 0.91</w:t>
            </w:r>
          </w:p>
        </w:tc>
        <w:tc>
          <w:tcPr>
            <w:tcW w:type="dxa" w:w="850"/>
          </w:tcPr>
          <w:p>
            <w:pPr>
              <w:pStyle w:val="MDPI42tablebody"/>
              <w:jc w:val="left"/>
            </w:pPr>
            <w:r>
              <w:rPr>
                <w:sz w:val="15"/>
              </w:rPr>
              <w:t>H/H</w:t>
            </w:r>
          </w:p>
        </w:tc>
      </w:tr>
      <w:tr>
        <w:tc>
          <w:tcPr>
            <w:tcW w:type="dxa" w:w="1650"/>
          </w:tcPr>
          <w:p>
            <w:pPr>
              <w:pStyle w:val="MDPI42tablebody"/>
              <w:jc w:val="left"/>
            </w:pPr>
            <w:r>
              <w:rPr>
                <w:sz w:val="15"/>
              </w:rPr>
              <w:t>Guan et al. 2025 [64]</w:t>
            </w:r>
          </w:p>
        </w:tc>
        <w:tc>
          <w:tcPr>
            <w:tcW w:type="dxa" w:w="2500"/>
          </w:tcPr>
          <w:p>
            <w:pPr>
              <w:pStyle w:val="MDPI42tablebody"/>
              <w:jc w:val="left"/>
            </w:pPr>
            <w:r>
              <w:rPr>
                <w:sz w:val="15"/>
              </w:rPr>
              <w:t>Senior-living residents; 95 (15)</w:t>
            </w:r>
          </w:p>
        </w:tc>
        <w:tc>
          <w:tcPr>
            <w:tcW w:type="dxa" w:w="2450"/>
          </w:tcPr>
          <w:p>
            <w:pPr>
              <w:pStyle w:val="MDPI42tablebody"/>
              <w:jc w:val="left"/>
            </w:pPr>
            <w:r>
              <w:rPr>
                <w:sz w:val="15"/>
              </w:rPr>
              <w:t>Instrumented footwear; 6-min walk</w:t>
            </w:r>
          </w:p>
        </w:tc>
        <w:tc>
          <w:tcPr>
            <w:tcW w:type="dxa" w:w="1650"/>
          </w:tcPr>
          <w:p>
            <w:pPr>
              <w:pStyle w:val="MDPI42tablebody"/>
              <w:jc w:val="left"/>
            </w:pPr>
            <w:r>
              <w:rPr>
                <w:sz w:val="15"/>
              </w:rPr>
              <w:t>Any fall; 6 mo</w:t>
            </w:r>
          </w:p>
        </w:tc>
        <w:tc>
          <w:tcPr>
            <w:tcW w:type="dxa" w:w="2450"/>
          </w:tcPr>
          <w:p>
            <w:pPr>
              <w:pStyle w:val="MDPI42tablebody"/>
              <w:jc w:val="left"/>
            </w:pPr>
            <w:r>
              <w:rPr>
                <w:sz w:val="15"/>
              </w:rPr>
              <w:t>LR, DT, SVC, ANN; Int (non-nested LOOCV)</w:t>
            </w:r>
          </w:p>
        </w:tc>
        <w:tc>
          <w:tcPr>
            <w:tcW w:type="dxa" w:w="3300"/>
          </w:tcPr>
          <w:p>
            <w:pPr>
              <w:pStyle w:val="MDPI42tablebody"/>
              <w:jc w:val="left"/>
            </w:pPr>
            <w:r>
              <w:rPr>
                <w:sz w:val="15"/>
              </w:rPr>
              <w:t>AUC 0.89 vs. 0.84 with conventional gait estimation</w:t>
            </w:r>
          </w:p>
        </w:tc>
        <w:tc>
          <w:tcPr>
            <w:tcW w:type="dxa" w:w="850"/>
          </w:tcPr>
          <w:p>
            <w:pPr>
              <w:pStyle w:val="MDPI42tablebody"/>
              <w:jc w:val="left"/>
            </w:pPr>
            <w:r>
              <w:rPr>
                <w:sz w:val="15"/>
              </w:rPr>
              <w:t>H/H</w:t>
            </w:r>
          </w:p>
        </w:tc>
      </w:tr>
      <w:tr>
        <w:tc>
          <w:tcPr>
            <w:tcW w:type="dxa" w:w="1650"/>
          </w:tcPr>
          <w:p>
            <w:pPr>
              <w:pStyle w:val="MDPI42tablebody"/>
              <w:jc w:val="left"/>
            </w:pPr>
            <w:r>
              <w:rPr>
                <w:sz w:val="15"/>
              </w:rPr>
              <w:t>Suffoletto et al. 2026 [15]†</w:t>
            </w:r>
          </w:p>
        </w:tc>
        <w:tc>
          <w:tcPr>
            <w:tcW w:type="dxa" w:w="2500"/>
          </w:tcPr>
          <w:p>
            <w:pPr>
              <w:pStyle w:val="MDPI42tablebody"/>
              <w:jc w:val="left"/>
            </w:pPr>
            <w:r>
              <w:rPr>
                <w:sz w:val="15"/>
              </w:rPr>
              <w:t>Emergency department; 360 (94)</w:t>
            </w:r>
          </w:p>
        </w:tc>
        <w:tc>
          <w:tcPr>
            <w:tcW w:type="dxa" w:w="2450"/>
          </w:tcPr>
          <w:p>
            <w:pPr>
              <w:pStyle w:val="MDPI42tablebody"/>
              <w:jc w:val="left"/>
            </w:pPr>
            <w:r>
              <w:rPr>
                <w:sz w:val="15"/>
              </w:rPr>
              <w:t>IMU; modified TUG</w:t>
            </w:r>
          </w:p>
        </w:tc>
        <w:tc>
          <w:tcPr>
            <w:tcW w:type="dxa" w:w="1650"/>
          </w:tcPr>
          <w:p>
            <w:pPr>
              <w:pStyle w:val="MDPI42tablebody"/>
              <w:jc w:val="left"/>
            </w:pPr>
            <w:r>
              <w:rPr>
                <w:sz w:val="15"/>
              </w:rPr>
              <w:t>Any fall; 180 d</w:t>
            </w:r>
          </w:p>
        </w:tc>
        <w:tc>
          <w:tcPr>
            <w:tcW w:type="dxa" w:w="2450"/>
          </w:tcPr>
          <w:p>
            <w:pPr>
              <w:pStyle w:val="MDPI42tablebody"/>
              <w:jc w:val="left"/>
            </w:pPr>
            <w:r>
              <w:rPr>
                <w:sz w:val="15"/>
              </w:rPr>
              <w:t>Clinical model ± four IMU features; App</w:t>
            </w:r>
          </w:p>
        </w:tc>
        <w:tc>
          <w:tcPr>
            <w:tcW w:type="dxa" w:w="3300"/>
          </w:tcPr>
          <w:p>
            <w:pPr>
              <w:pStyle w:val="MDPI42tablebody"/>
              <w:jc w:val="left"/>
            </w:pPr>
            <w:r>
              <w:rPr>
                <w:sz w:val="15"/>
              </w:rPr>
              <w:t>AUC 0.72 vs. 0.67 clinical (p = 0.19); C-index 0.73</w:t>
            </w:r>
          </w:p>
        </w:tc>
        <w:tc>
          <w:tcPr>
            <w:tcW w:type="dxa" w:w="850"/>
          </w:tcPr>
          <w:p>
            <w:pPr>
              <w:pStyle w:val="MDPI42tablebody"/>
              <w:jc w:val="left"/>
            </w:pPr>
            <w:r>
              <w:rPr>
                <w:sz w:val="15"/>
              </w:rPr>
              <w:t>U/U</w:t>
            </w:r>
          </w:p>
        </w:tc>
      </w:tr>
    </w:tbl>
    <w:p>
      <w:pPr>
        <w:pStyle w:val="MDPI43tablefooter"/>
      </w:pPr>
      <w:r>
        <w:t>† Complete article not accessible; data extracted from the indexed abstract and other accessible primary material (Supplementary Table S3); the validation stage reflects what that material reports. App: apparent performance in the development data; Int: internal validation; PFE: prospective fixed-model evaluation; TSU: target-sample updating; ICE: independent-cohort evaluation of previously published models with original coefficients. RoB (D/E): PROBAST+AI overall judgment for development (Part A)/evaluation (Part B); H: high; U: unclear; NA: not applicable (no model developed). Uncertainty is shown as reported: 95% CI, confidence interval; SD across splits; range across resamples; “±, type NS” denotes a dispersion value whose type was not specified by the source. ≈: approximate value derived from rounded percentages (exact count NR). 1D-CNN: one-dimensional convolutional neural network; ANN: artificial neural network; AUC: area under the receiver operating characteristic curve; BLSTM: bidirectional long short-term memory; CNN: convolutional neural network; CV: cross-validation; DT: decision tree; FARAO: Fall Risk Assessment in Older Adults cohort; HCRNN: hierarchical convolutional recurrent neural network; IMU: inertial measurement unit; iTUG: instrumented Timed Up and Go; LASSO: least absolute shrinkage and selection operator; LOOCV: leave-one-out cross-validation; LR: logistic regression; LSTM: long short-term memory; ML: machine learning; MLP: multilayer perceptron; NB: naïve Bayes; NN: neural network; NPV: negative predictive value; NR: not reported; PCA: principal component analysis; PLS: partial least squares; PPV: positive predictive value; QTUG: Quantitative Timed Up and Go; RF: random forest; Se: sensitivity; Sp: specificity; SVC: support-vector classifier; SVM: support-vector machine; TUG: Timed Up and Go. Full extraction is provided in Supplementary Table S2.</w:t>
      </w:r>
    </w:p>
    <w:p>
      <w:pPr>
        <w:sectPr w:rsidR="007C1CDA" w:rsidRPr="00A054DE" w:rsidSect="006D1F3D">
          <w:headerReference w:type="even" r:id="rId10"/>
          <w:headerReference w:type="default" r:id="rId11"/>
          <w:footerReference w:type="default" r:id="rId12"/>
          <w:type w:val="nextPage"/>
          <w:pgSz w:w="16838" w:h="11906" w:code="9" w:orient="landscape"/>
          <w:pgMar w:top="720" w:right="720" w:bottom="720" w:left="720" w:header="720" w:footer="612" w:gutter="0"/>
          <w:lnNumType w:countBy="1" w:distance="255" w:restart="continuous"/>
          <w:cols w:space="425"/>
          <w:bidi/>
          <w:docGrid w:type="lines" w:linePitch="326"/>
        </w:sectPr>
      </w:pPr>
    </w:p>
    <w:p>
      <w:pPr>
        <w:pStyle w:val="MDPI22heading2"/>
      </w:pPr>
      <w:r>
        <w:t>3.3. Evidence Architecture and Validation Stage</w:t>
      </w:r>
    </w:p>
    <w:p>
      <w:pPr>
        <w:pStyle w:val="MDPI31text"/>
      </w:pPr>
      <w:r>
        <w:t>Requiring completion of gait measurement before fall follow-up excluded many studies commonly cited as fall-prediction evidence. The included evidence also contained substantial dependence: seven multi-report cohort families accounted for 17 reports, including four reports from the Fall Risk Assessment in Older Adults (FARAO) cohort [28,29,33,34] and three from one Canadian research programme [30,31,35] (Supplementary Table S5). Because participant independence could not be established for one of these reports [31], it was grouped with the programme; treating it as independent (38 families) did not change any conclusion.</w:t>
      </w:r>
    </w:p>
    <w:p>
      <w:pPr>
        <w:pStyle w:val="MDPI31text"/>
      </w:pPr>
      <w:r>
        <w:t>Seventeen reports presented apparent performance only (15 cohort families had no estimate beyond the development data), 24 reported internal validation, three reported prospective evaluation of a fixed model or score, two reported target-sample updating (one after prospective evaluation of prior parameters), and one reported independent-cohort evaluation of previously published models. Internal validation did not guarantee unbiased estimates: feature selection, feature engineering, or hyperparameter tuning were performed on the full dataset before cross-validation in several reports (Supplementary Tables S2 and S7). The consequence was demonstrated directly in one deep-learning study, in which splitting repeated walking samples rather than participants produced an AUC of 0.94, whereas participant-level evaluation produced AUCs of 0.65–0.75 [34]. Two internal validations fully nested model selection within training partitions [42,61], and one used a prespecified held-out test set after tuning in the development data [49].</w:t>
      </w:r>
    </w:p>
    <w:p>
      <w:pPr>
        <w:pStyle w:val="MDPI22heading2"/>
      </w:pPr>
      <w:r>
        <w:t>3.4. Sensing Technologies and Gait Phenotypes</w:t>
      </w:r>
    </w:p>
    <w:p>
      <w:pPr>
        <w:pStyle w:val="MDPI31text"/>
      </w:pPr>
      <w:r>
        <w:t>Structured tests captured iTUG phases, turning, postural transitions, straight walking, and dynamic stability, whereas free-living monitoring captured walking quantity, bout structure, pace, rhythm, variability, smoothness, symmetry, harmonicity, and complexity. Gait variability, trunk stability and harmonicity, turning, and the distribution of daily walking bouts recurred as predictors across cohorts more often than mean gait speed alone [25,28,36,53,58]. Nominally similar features were, however, computed with different devices, axes, filters, bout definitions, and aggregation windows, so they were not directly equivalent across studies.</w:t>
      </w:r>
    </w:p>
    <w:p>
      <w:pPr>
        <w:pStyle w:val="MDPI31text"/>
      </w:pPr>
      <w:r>
        <w:t>Ambient computer vision was evaluated in a single long-term-care dementia cohort. Frequently updated vision-derived gait features were associated with an increase in the internally validated AUC for a fall within the next 4 weeks from 0.562 without gait to 0.762 with gait (sensitivity 72.8%, specificity 73.2%) [57], and an earlier report from the same cohort reported AUCs of 0.80 at 7 days and 0.67 at 30 days [45]. These results derive from one site and require independent validation across camera environments and populations.</w:t>
      </w:r>
    </w:p>
    <w:p>
      <w:pPr>
        <w:pStyle w:val="MDPI22heading2"/>
      </w:pPr>
      <w:r>
        <w:t>3.5. Outcomes and Prediction Horizons</w:t>
      </w:r>
    </w:p>
    <w:p>
      <w:pPr>
        <w:pStyle w:val="MDPI31text"/>
      </w:pPr>
      <w:r>
        <w:t>Horizons ranged from 7–30 days in dementia care [45,57] to 3–12 months in most community and clinical cohorts and 24–60 months in one Parkinson disease cohort [59]. These tasks differ in baseline risk, intervention opportunity, and the acceptable balance of false-positive and false-negative predictions. Fall ascertainment ranged from daily calendars with regular telephone contact to single recall interviews at 12–24 months [20,22] and facility records. Where a first-fall outcome was modelled over successive intervals, discrimination was lower in later intervals and absent beyond 12 months [26]. In the only fall-count model, fitted in 15 people with Parkinson disease, explained variance changed from 0.50 to 0.73 after exclusion of participants with more than 10 falls, including one participant who reported 127 falls [48].</w:t>
      </w:r>
    </w:p>
    <w:p>
      <w:pPr>
        <w:pStyle w:val="MDPI22heading2"/>
      </w:pPr>
      <w:r>
        <w:t>3.6. Discrimination Across Validation Stages</w:t>
      </w:r>
    </w:p>
    <w:p>
      <w:pPr>
        <w:pStyle w:val="MDPI31text"/>
      </w:pPr>
      <w:r>
        <w:t>A representative AUC with an exact value and a matched number of fallers was available for 24 of 37 cohort families (Supplementary Table S6). The median was 0.761 (IQR 0.715–0.841; range 0.505–0.990) (Table 3). Descriptively, the median was 0.771 for apparent estimates (11 families) and 0.762 for internal validation (11 families), a negligible difference; the single prospectively evaluated fixed score had an AUC of 0.688 [63], and the single independent-cohort evaluation 0.530 [62]. By event-count band, medians were 0.870 for ≤15 fallers, 0.767 for 16–39 fallers, and 0.720 for ≥40 fallers (Figure 2). Because these strata differ in population, outcome, horizon, and model, and the external stratum contains one cohort, the pattern is exploratory and cannot be attributed to validation rigor or sample size alone.</w:t>
      </w:r>
    </w:p>
    <w:p>
      <w:pPr>
        <w:pStyle w:val="MDPI31text"/>
      </w:pPr>
      <w:r>
        <w:t>The summaries were moderately sensitive to the selection rule but not to source access (Table 3). Using the lowest and highest gait-containing AUC reported by each family gave medians of 0.720 and 0.785, respectively. Excluding the four families whose representative estimate came from a report assessed without the complete article left 20 families with a median of 0.756 (IQR 0.698–0.820); medians were 0.766 for apparent and 0.756 for internal-validation estimates and 0.870, 0.767, and 0.690 across the three event-count bands. Using the 24-month bound (0.90; 13 fallers) for the family with an unreported exact 24-month AUC [59] left the overall median unchanged.</w:t>
      </w:r>
    </w:p>
    <w:p>
      <w:pPr>
        <w:pStyle w:val="MDPI31text"/>
      </w:pPr>
      <w:r>
        <w:t>The highest values came from very small, flexibly modelled samples: an emergency-department neural network reported a leave-one-out AUC of 0.99 (95% CI 0.98–1.00) with 14 fallers [52], a post-fracture model an apparent AUC of 0.91 with about 10 fallers [16], and a Parkinson disease model an apparent AUC of 0.94 (95% CI 0.84–1.00) after best-subset selection from 80 candidate measures in 34 participants [58]. Several larger or more stringently evaluated studies reported modest or near-chance discrimination: AUCs of 0.495–0.505 across repeated splits for multisensor fusion in 281 community-dwelling adults [42], 0.56 (range across resamples 0.33–0.74) in a secondary prospective analysis in a geriatric clinic [47], a mean of 0.67 (SD 0.05 across repeated hold-out splits) for step-based parameters [56], and a sensitivity of 0.61 with a specificity of 0.66 in a held-out test set from a 1705-participant cohort [49].</w:t>
      </w:r>
    </w:p>
    <w:p>
      <w:pPr>
        <w:pStyle w:val="MDPI41tablecaption"/>
      </w:pPr>
      <w:r>
        <w:rPr>
          <w:b/>
        </w:rPr>
        <w:t>Table 3.</w:t>
      </w:r>
      <w:r>
        <w:t xml:space="preserve"> Descriptive summary of representative AUCs and sensitivity analyses.</w:t>
      </w:r>
    </w:p>
    <w:tbl>
      <w:tblPr>
        <w:tblStyle w:val="MDPI41threelinetable"/>
        <w:tblW w:type="dxa" w:w="7857"/>
        <w:tblLook w:firstColumn="1" w:firstRow="1" w:lastColumn="0" w:lastRow="0" w:noHBand="0" w:noVBand="1" w:val="04A0"/>
        <w:tblInd w:w="2608" w:type="dxa"/>
        <w:tblLayout w:type="fixed"/>
      </w:tblPr>
      <w:tblGrid>
        <w:gridCol w:w="2882"/>
        <w:gridCol w:w="1069"/>
        <w:gridCol w:w="1581"/>
        <w:gridCol w:w="1209"/>
        <w:gridCol w:w="1116"/>
      </w:tblGrid>
      <w:tr>
        <w:trPr>
          <w:tblHeader/>
        </w:trPr>
        <w:tc>
          <w:tcPr>
            <w:tcW w:type="dxa" w:w="2882"/>
          </w:tcPr>
          <w:p>
            <w:pPr>
              <w:pStyle w:val="MDPI42tablebody"/>
              <w:jc w:val="left"/>
            </w:pPr>
            <w:r>
              <w:rPr>
                <w:b/>
                <w:sz w:val="18"/>
              </w:rPr>
              <w:t>Analysis or stratum</w:t>
            </w:r>
          </w:p>
        </w:tc>
        <w:tc>
          <w:tcPr>
            <w:tcW w:type="dxa" w:w="1069"/>
          </w:tcPr>
          <w:p>
            <w:pPr>
              <w:pStyle w:val="MDPI42tablebody"/>
            </w:pPr>
            <w:r>
              <w:rPr>
                <w:b/>
                <w:sz w:val="18"/>
              </w:rPr>
              <w:t>Cohort families, n</w:t>
            </w:r>
          </w:p>
        </w:tc>
        <w:tc>
          <w:tcPr>
            <w:tcW w:type="dxa" w:w="1581"/>
          </w:tcPr>
          <w:p>
            <w:pPr>
              <w:pStyle w:val="MDPI42tablebody"/>
            </w:pPr>
            <w:r>
              <w:rPr>
                <w:b/>
                <w:sz w:val="18"/>
              </w:rPr>
              <w:t>Median AUC</w:t>
            </w:r>
          </w:p>
        </w:tc>
        <w:tc>
          <w:tcPr>
            <w:tcW w:type="dxa" w:w="1209"/>
          </w:tcPr>
          <w:p>
            <w:pPr>
              <w:pStyle w:val="MDPI42tablebody"/>
            </w:pPr>
            <w:r>
              <w:rPr>
                <w:b/>
                <w:sz w:val="18"/>
              </w:rPr>
              <w:t>IQR</w:t>
            </w:r>
          </w:p>
        </w:tc>
        <w:tc>
          <w:tcPr>
            <w:tcW w:type="dxa" w:w="1116"/>
          </w:tcPr>
          <w:p>
            <w:pPr>
              <w:pStyle w:val="MDPI42tablebody"/>
            </w:pPr>
            <w:r>
              <w:rPr>
                <w:b/>
                <w:sz w:val="18"/>
              </w:rPr>
              <w:t>Range</w:t>
            </w:r>
          </w:p>
        </w:tc>
      </w:tr>
      <w:tr>
        <w:tc>
          <w:tcPr>
            <w:tcW w:type="dxa" w:w="2882"/>
          </w:tcPr>
          <w:p>
            <w:pPr>
              <w:pStyle w:val="MDPI42tablebody"/>
              <w:jc w:val="left"/>
            </w:pPr>
            <w:r>
              <w:rPr>
                <w:b/>
                <w:sz w:val="18"/>
              </w:rPr>
              <w:t>Primary selection (all families with a representative AUC)</w:t>
            </w:r>
          </w:p>
        </w:tc>
        <w:tc>
          <w:tcPr>
            <w:tcW w:type="dxa" w:w="1069"/>
          </w:tcPr>
          <w:p>
            <w:pPr>
              <w:pStyle w:val="MDPI42tablebody"/>
            </w:pPr>
            <w:r>
              <w:rPr>
                <w:sz w:val="18"/>
              </w:rPr>
              <w:t>24</w:t>
            </w:r>
          </w:p>
        </w:tc>
        <w:tc>
          <w:tcPr>
            <w:tcW w:type="dxa" w:w="1581"/>
          </w:tcPr>
          <w:p>
            <w:pPr>
              <w:pStyle w:val="MDPI42tablebody"/>
            </w:pPr>
            <w:r>
              <w:rPr>
                <w:sz w:val="18"/>
              </w:rPr>
              <w:t>0.761</w:t>
            </w:r>
          </w:p>
        </w:tc>
        <w:tc>
          <w:tcPr>
            <w:tcW w:type="dxa" w:w="1209"/>
          </w:tcPr>
          <w:p>
            <w:pPr>
              <w:pStyle w:val="MDPI42tablebody"/>
            </w:pPr>
            <w:r>
              <w:rPr>
                <w:sz w:val="18"/>
              </w:rPr>
              <w:t>0.715–0.841</w:t>
            </w:r>
          </w:p>
        </w:tc>
        <w:tc>
          <w:tcPr>
            <w:tcW w:type="dxa" w:w="1116"/>
          </w:tcPr>
          <w:p>
            <w:pPr>
              <w:pStyle w:val="MDPI42tablebody"/>
            </w:pPr>
            <w:r>
              <w:rPr>
                <w:sz w:val="18"/>
              </w:rPr>
              <w:t>0.505–0.990</w:t>
            </w:r>
          </w:p>
        </w:tc>
      </w:tr>
      <w:tr>
        <w:tc>
          <w:tcPr>
            <w:tcW w:type="dxa" w:w="2882"/>
          </w:tcPr>
          <w:p>
            <w:pPr>
              <w:pStyle w:val="MDPI42tablebody"/>
              <w:jc w:val="left"/>
            </w:pPr>
            <w:r>
              <w:rPr>
                <w:sz w:val="18"/>
              </w:rPr>
              <w:t>Apparent (development data)</w:t>
            </w:r>
          </w:p>
        </w:tc>
        <w:tc>
          <w:tcPr>
            <w:tcW w:type="dxa" w:w="1069"/>
          </w:tcPr>
          <w:p>
            <w:pPr>
              <w:pStyle w:val="MDPI42tablebody"/>
            </w:pPr>
            <w:r>
              <w:rPr>
                <w:sz w:val="18"/>
              </w:rPr>
              <w:t>11</w:t>
            </w:r>
          </w:p>
        </w:tc>
        <w:tc>
          <w:tcPr>
            <w:tcW w:type="dxa" w:w="1581"/>
          </w:tcPr>
          <w:p>
            <w:pPr>
              <w:pStyle w:val="MDPI42tablebody"/>
            </w:pPr>
            <w:r>
              <w:rPr>
                <w:sz w:val="18"/>
              </w:rPr>
              <w:t>0.771</w:t>
            </w:r>
          </w:p>
        </w:tc>
        <w:tc>
          <w:tcPr>
            <w:tcW w:type="dxa" w:w="1209"/>
          </w:tcPr>
          <w:p>
            <w:pPr>
              <w:pStyle w:val="MDPI42tablebody"/>
            </w:pPr>
            <w:r>
              <w:rPr>
                <w:sz w:val="18"/>
              </w:rPr>
              <w:t>0.736–0.854</w:t>
            </w:r>
          </w:p>
        </w:tc>
        <w:tc>
          <w:tcPr>
            <w:tcW w:type="dxa" w:w="1116"/>
          </w:tcPr>
          <w:p>
            <w:pPr>
              <w:pStyle w:val="MDPI42tablebody"/>
            </w:pPr>
            <w:r>
              <w:rPr>
                <w:sz w:val="18"/>
              </w:rPr>
              <w:t>0.690–0.940</w:t>
            </w:r>
          </w:p>
        </w:tc>
      </w:tr>
      <w:tr>
        <w:tc>
          <w:tcPr>
            <w:tcW w:type="dxa" w:w="2882"/>
          </w:tcPr>
          <w:p>
            <w:pPr>
              <w:pStyle w:val="MDPI42tablebody"/>
              <w:jc w:val="left"/>
            </w:pPr>
            <w:r>
              <w:rPr>
                <w:sz w:val="18"/>
              </w:rPr>
              <w:t>Internal validation</w:t>
            </w:r>
          </w:p>
        </w:tc>
        <w:tc>
          <w:tcPr>
            <w:tcW w:type="dxa" w:w="1069"/>
          </w:tcPr>
          <w:p>
            <w:pPr>
              <w:pStyle w:val="MDPI42tablebody"/>
            </w:pPr>
            <w:r>
              <w:rPr>
                <w:sz w:val="18"/>
              </w:rPr>
              <w:t>11</w:t>
            </w:r>
          </w:p>
        </w:tc>
        <w:tc>
          <w:tcPr>
            <w:tcW w:type="dxa" w:w="1581"/>
          </w:tcPr>
          <w:p>
            <w:pPr>
              <w:pStyle w:val="MDPI42tablebody"/>
            </w:pPr>
            <w:r>
              <w:rPr>
                <w:sz w:val="18"/>
              </w:rPr>
              <w:t>0.762</w:t>
            </w:r>
          </w:p>
        </w:tc>
        <w:tc>
          <w:tcPr>
            <w:tcW w:type="dxa" w:w="1209"/>
          </w:tcPr>
          <w:p>
            <w:pPr>
              <w:pStyle w:val="MDPI42tablebody"/>
            </w:pPr>
            <w:r>
              <w:rPr>
                <w:sz w:val="18"/>
              </w:rPr>
              <w:t>0.725–0.820</w:t>
            </w:r>
          </w:p>
        </w:tc>
        <w:tc>
          <w:tcPr>
            <w:tcW w:type="dxa" w:w="1116"/>
          </w:tcPr>
          <w:p>
            <w:pPr>
              <w:pStyle w:val="MDPI42tablebody"/>
            </w:pPr>
            <w:r>
              <w:rPr>
                <w:sz w:val="18"/>
              </w:rPr>
              <w:t>0.505–0.990</w:t>
            </w:r>
          </w:p>
        </w:tc>
      </w:tr>
      <w:tr>
        <w:tc>
          <w:tcPr>
            <w:tcW w:type="dxa" w:w="2882"/>
          </w:tcPr>
          <w:p>
            <w:pPr>
              <w:pStyle w:val="MDPI42tablebody"/>
              <w:jc w:val="left"/>
            </w:pPr>
            <w:r>
              <w:rPr>
                <w:sz w:val="18"/>
              </w:rPr>
              <w:t>Prospective fixed-score evaluation</w:t>
            </w:r>
          </w:p>
        </w:tc>
        <w:tc>
          <w:tcPr>
            <w:tcW w:type="dxa" w:w="1069"/>
          </w:tcPr>
          <w:p>
            <w:pPr>
              <w:pStyle w:val="MDPI42tablebody"/>
            </w:pPr>
            <w:r>
              <w:rPr>
                <w:sz w:val="18"/>
              </w:rPr>
              <w:t>1</w:t>
            </w:r>
          </w:p>
        </w:tc>
        <w:tc>
          <w:tcPr>
            <w:tcW w:type="dxa" w:w="1581"/>
          </w:tcPr>
          <w:p>
            <w:pPr>
              <w:pStyle w:val="MDPI42tablebody"/>
            </w:pPr>
            <w:r>
              <w:rPr>
                <w:sz w:val="18"/>
              </w:rPr>
              <w:t>0.688</w:t>
            </w:r>
          </w:p>
        </w:tc>
        <w:tc>
          <w:tcPr>
            <w:tcW w:type="dxa" w:w="1209"/>
          </w:tcPr>
          <w:p>
            <w:pPr>
              <w:pStyle w:val="MDPI42tablebody"/>
            </w:pPr>
            <w:r>
              <w:rPr>
                <w:sz w:val="18"/>
              </w:rPr>
              <w:t>—</w:t>
            </w:r>
          </w:p>
        </w:tc>
        <w:tc>
          <w:tcPr>
            <w:tcW w:type="dxa" w:w="1116"/>
          </w:tcPr>
          <w:p>
            <w:pPr>
              <w:pStyle w:val="MDPI42tablebody"/>
            </w:pPr>
            <w:r>
              <w:rPr>
                <w:sz w:val="18"/>
              </w:rPr>
              <w:t>—</w:t>
            </w:r>
          </w:p>
        </w:tc>
      </w:tr>
      <w:tr>
        <w:tc>
          <w:tcPr>
            <w:tcW w:type="dxa" w:w="2882"/>
          </w:tcPr>
          <w:p>
            <w:pPr>
              <w:pStyle w:val="MDPI42tablebody"/>
              <w:jc w:val="left"/>
            </w:pPr>
            <w:r>
              <w:rPr>
                <w:sz w:val="18"/>
              </w:rPr>
              <w:t>Independent-cohort evaluation (original coefficients)</w:t>
            </w:r>
          </w:p>
        </w:tc>
        <w:tc>
          <w:tcPr>
            <w:tcW w:type="dxa" w:w="1069"/>
          </w:tcPr>
          <w:p>
            <w:pPr>
              <w:pStyle w:val="MDPI42tablebody"/>
            </w:pPr>
            <w:r>
              <w:rPr>
                <w:sz w:val="18"/>
              </w:rPr>
              <w:t>1</w:t>
            </w:r>
          </w:p>
        </w:tc>
        <w:tc>
          <w:tcPr>
            <w:tcW w:type="dxa" w:w="1581"/>
          </w:tcPr>
          <w:p>
            <w:pPr>
              <w:pStyle w:val="MDPI42tablebody"/>
            </w:pPr>
            <w:r>
              <w:rPr>
                <w:sz w:val="18"/>
              </w:rPr>
              <w:t>0.530</w:t>
            </w:r>
          </w:p>
        </w:tc>
        <w:tc>
          <w:tcPr>
            <w:tcW w:type="dxa" w:w="1209"/>
          </w:tcPr>
          <w:p>
            <w:pPr>
              <w:pStyle w:val="MDPI42tablebody"/>
            </w:pPr>
            <w:r>
              <w:rPr>
                <w:sz w:val="18"/>
              </w:rPr>
              <w:t>—</w:t>
            </w:r>
          </w:p>
        </w:tc>
        <w:tc>
          <w:tcPr>
            <w:tcW w:type="dxa" w:w="1116"/>
          </w:tcPr>
          <w:p>
            <w:pPr>
              <w:pStyle w:val="MDPI42tablebody"/>
            </w:pPr>
            <w:r>
              <w:rPr>
                <w:sz w:val="18"/>
              </w:rPr>
              <w:t>—</w:t>
            </w:r>
          </w:p>
        </w:tc>
      </w:tr>
      <w:tr>
        <w:tc>
          <w:tcPr>
            <w:tcW w:type="dxa" w:w="2882"/>
          </w:tcPr>
          <w:p>
            <w:pPr>
              <w:pStyle w:val="MDPI42tablebody"/>
              <w:jc w:val="left"/>
            </w:pPr>
            <w:r>
              <w:rPr>
                <w:sz w:val="18"/>
              </w:rPr>
              <w:t>Fallers ≤15</w:t>
            </w:r>
          </w:p>
        </w:tc>
        <w:tc>
          <w:tcPr>
            <w:tcW w:type="dxa" w:w="1069"/>
          </w:tcPr>
          <w:p>
            <w:pPr>
              <w:pStyle w:val="MDPI42tablebody"/>
            </w:pPr>
            <w:r>
              <w:rPr>
                <w:sz w:val="18"/>
              </w:rPr>
              <w:t>7</w:t>
            </w:r>
          </w:p>
        </w:tc>
        <w:tc>
          <w:tcPr>
            <w:tcW w:type="dxa" w:w="1581"/>
          </w:tcPr>
          <w:p>
            <w:pPr>
              <w:pStyle w:val="MDPI42tablebody"/>
            </w:pPr>
            <w:r>
              <w:rPr>
                <w:sz w:val="18"/>
              </w:rPr>
              <w:t>0.870</w:t>
            </w:r>
          </w:p>
        </w:tc>
        <w:tc>
          <w:tcPr>
            <w:tcW w:type="dxa" w:w="1209"/>
          </w:tcPr>
          <w:p>
            <w:pPr>
              <w:pStyle w:val="MDPI42tablebody"/>
            </w:pPr>
            <w:r>
              <w:rPr>
                <w:sz w:val="18"/>
              </w:rPr>
              <w:t>0.799–0.900</w:t>
            </w:r>
          </w:p>
        </w:tc>
        <w:tc>
          <w:tcPr>
            <w:tcW w:type="dxa" w:w="1116"/>
          </w:tcPr>
          <w:p>
            <w:pPr>
              <w:pStyle w:val="MDPI42tablebody"/>
            </w:pPr>
            <w:r>
              <w:rPr>
                <w:sz w:val="18"/>
              </w:rPr>
              <w:t>0.688–0.990</w:t>
            </w:r>
          </w:p>
        </w:tc>
      </w:tr>
      <w:tr>
        <w:tc>
          <w:tcPr>
            <w:tcW w:type="dxa" w:w="2882"/>
          </w:tcPr>
          <w:p>
            <w:pPr>
              <w:pStyle w:val="MDPI42tablebody"/>
              <w:jc w:val="left"/>
            </w:pPr>
            <w:r>
              <w:rPr>
                <w:sz w:val="18"/>
              </w:rPr>
              <w:t>Fallers 16–39</w:t>
            </w:r>
          </w:p>
        </w:tc>
        <w:tc>
          <w:tcPr>
            <w:tcW w:type="dxa" w:w="1069"/>
          </w:tcPr>
          <w:p>
            <w:pPr>
              <w:pStyle w:val="MDPI42tablebody"/>
            </w:pPr>
            <w:r>
              <w:rPr>
                <w:sz w:val="18"/>
              </w:rPr>
              <w:t>10</w:t>
            </w:r>
          </w:p>
        </w:tc>
        <w:tc>
          <w:tcPr>
            <w:tcW w:type="dxa" w:w="1581"/>
          </w:tcPr>
          <w:p>
            <w:pPr>
              <w:pStyle w:val="MDPI42tablebody"/>
            </w:pPr>
            <w:r>
              <w:rPr>
                <w:sz w:val="18"/>
              </w:rPr>
              <w:t>0.767</w:t>
            </w:r>
          </w:p>
        </w:tc>
        <w:tc>
          <w:tcPr>
            <w:tcW w:type="dxa" w:w="1209"/>
          </w:tcPr>
          <w:p>
            <w:pPr>
              <w:pStyle w:val="MDPI42tablebody"/>
            </w:pPr>
            <w:r>
              <w:rPr>
                <w:sz w:val="18"/>
              </w:rPr>
              <w:t>0.723–0.805</w:t>
            </w:r>
          </w:p>
        </w:tc>
        <w:tc>
          <w:tcPr>
            <w:tcW w:type="dxa" w:w="1116"/>
          </w:tcPr>
          <w:p>
            <w:pPr>
              <w:pStyle w:val="MDPI42tablebody"/>
            </w:pPr>
            <w:r>
              <w:rPr>
                <w:sz w:val="18"/>
              </w:rPr>
              <w:t>0.560–0.940</w:t>
            </w:r>
          </w:p>
        </w:tc>
      </w:tr>
      <w:tr>
        <w:tc>
          <w:tcPr>
            <w:tcW w:type="dxa" w:w="2882"/>
          </w:tcPr>
          <w:p>
            <w:pPr>
              <w:pStyle w:val="MDPI42tablebody"/>
              <w:jc w:val="left"/>
            </w:pPr>
            <w:r>
              <w:rPr>
                <w:sz w:val="18"/>
              </w:rPr>
              <w:t>Fallers ≥40</w:t>
            </w:r>
          </w:p>
        </w:tc>
        <w:tc>
          <w:tcPr>
            <w:tcW w:type="dxa" w:w="1069"/>
          </w:tcPr>
          <w:p>
            <w:pPr>
              <w:pStyle w:val="MDPI42tablebody"/>
            </w:pPr>
            <w:r>
              <w:rPr>
                <w:sz w:val="18"/>
              </w:rPr>
              <w:t>7</w:t>
            </w:r>
          </w:p>
        </w:tc>
        <w:tc>
          <w:tcPr>
            <w:tcW w:type="dxa" w:w="1581"/>
          </w:tcPr>
          <w:p>
            <w:pPr>
              <w:pStyle w:val="MDPI42tablebody"/>
            </w:pPr>
            <w:r>
              <w:rPr>
                <w:sz w:val="18"/>
              </w:rPr>
              <w:t>0.720</w:t>
            </w:r>
          </w:p>
        </w:tc>
        <w:tc>
          <w:tcPr>
            <w:tcW w:type="dxa" w:w="1209"/>
          </w:tcPr>
          <w:p>
            <w:pPr>
              <w:pStyle w:val="MDPI42tablebody"/>
            </w:pPr>
            <w:r>
              <w:rPr>
                <w:sz w:val="18"/>
              </w:rPr>
              <w:t>0.610–0.751</w:t>
            </w:r>
          </w:p>
        </w:tc>
        <w:tc>
          <w:tcPr>
            <w:tcW w:type="dxa" w:w="1116"/>
          </w:tcPr>
          <w:p>
            <w:pPr>
              <w:pStyle w:val="MDPI42tablebody"/>
            </w:pPr>
            <w:r>
              <w:rPr>
                <w:sz w:val="18"/>
              </w:rPr>
              <w:t>0.505–0.780</w:t>
            </w:r>
          </w:p>
        </w:tc>
      </w:tr>
      <w:tr>
        <w:tc>
          <w:tcPr>
            <w:tcW w:type="dxa" w:w="2882"/>
          </w:tcPr>
          <w:p>
            <w:pPr>
              <w:pStyle w:val="MDPI42tablebody"/>
              <w:jc w:val="left"/>
            </w:pPr>
            <w:r>
              <w:rPr>
                <w:b/>
                <w:sz w:val="18"/>
              </w:rPr>
              <w:t>Sensitivity analyses</w:t>
            </w:r>
          </w:p>
        </w:tc>
        <w:tc>
          <w:tcPr>
            <w:tcW w:type="dxa" w:w="1069"/>
          </w:tcPr>
          <w:p>
            <w:pPr>
              <w:pStyle w:val="MDPI42tablebody"/>
            </w:pPr>
          </w:p>
        </w:tc>
        <w:tc>
          <w:tcPr>
            <w:tcW w:type="dxa" w:w="1581"/>
          </w:tcPr>
          <w:p>
            <w:pPr>
              <w:pStyle w:val="MDPI42tablebody"/>
            </w:pPr>
          </w:p>
        </w:tc>
        <w:tc>
          <w:tcPr>
            <w:tcW w:type="dxa" w:w="1209"/>
          </w:tcPr>
          <w:p>
            <w:pPr>
              <w:pStyle w:val="MDPI42tablebody"/>
            </w:pPr>
          </w:p>
        </w:tc>
        <w:tc>
          <w:tcPr>
            <w:tcW w:type="dxa" w:w="1116"/>
          </w:tcPr>
          <w:p>
            <w:pPr>
              <w:pStyle w:val="MDPI42tablebody"/>
            </w:pPr>
          </w:p>
        </w:tc>
      </w:tr>
      <w:tr>
        <w:tc>
          <w:tcPr>
            <w:tcW w:type="dxa" w:w="2882"/>
          </w:tcPr>
          <w:p>
            <w:pPr>
              <w:pStyle w:val="MDPI42tablebody"/>
              <w:jc w:val="left"/>
            </w:pPr>
            <w:r>
              <w:rPr>
                <w:sz w:val="18"/>
              </w:rPr>
              <w:t>Lowest gait-containing AUC per family</w:t>
            </w:r>
          </w:p>
        </w:tc>
        <w:tc>
          <w:tcPr>
            <w:tcW w:type="dxa" w:w="1069"/>
          </w:tcPr>
          <w:p>
            <w:pPr>
              <w:pStyle w:val="MDPI42tablebody"/>
            </w:pPr>
            <w:r>
              <w:rPr>
                <w:sz w:val="18"/>
              </w:rPr>
              <w:t>24</w:t>
            </w:r>
          </w:p>
        </w:tc>
        <w:tc>
          <w:tcPr>
            <w:tcW w:type="dxa" w:w="1581"/>
          </w:tcPr>
          <w:p>
            <w:pPr>
              <w:pStyle w:val="MDPI42tablebody"/>
            </w:pPr>
            <w:r>
              <w:rPr>
                <w:sz w:val="18"/>
              </w:rPr>
              <w:t>0.720</w:t>
            </w:r>
          </w:p>
        </w:tc>
        <w:tc>
          <w:tcPr>
            <w:tcW w:type="dxa" w:w="1209"/>
          </w:tcPr>
          <w:p>
            <w:pPr>
              <w:pStyle w:val="MDPI42tablebody"/>
            </w:pPr>
            <w:r>
              <w:rPr>
                <w:sz w:val="18"/>
              </w:rPr>
              <w:t>0.672–0.795</w:t>
            </w:r>
          </w:p>
        </w:tc>
        <w:tc>
          <w:tcPr>
            <w:tcW w:type="dxa" w:w="1116"/>
          </w:tcPr>
          <w:p>
            <w:pPr>
              <w:pStyle w:val="MDPI42tablebody"/>
            </w:pPr>
            <w:r>
              <w:rPr>
                <w:sz w:val="18"/>
              </w:rPr>
              <w:t>0.490–0.990</w:t>
            </w:r>
          </w:p>
        </w:tc>
      </w:tr>
      <w:tr>
        <w:tc>
          <w:tcPr>
            <w:tcW w:type="dxa" w:w="2882"/>
          </w:tcPr>
          <w:p>
            <w:pPr>
              <w:pStyle w:val="MDPI42tablebody"/>
              <w:jc w:val="left"/>
            </w:pPr>
            <w:r>
              <w:rPr>
                <w:sz w:val="18"/>
              </w:rPr>
              <w:t>Highest gait-containing AUC per family</w:t>
            </w:r>
          </w:p>
        </w:tc>
        <w:tc>
          <w:tcPr>
            <w:tcW w:type="dxa" w:w="1069"/>
          </w:tcPr>
          <w:p>
            <w:pPr>
              <w:pStyle w:val="MDPI42tablebody"/>
            </w:pPr>
            <w:r>
              <w:rPr>
                <w:sz w:val="18"/>
              </w:rPr>
              <w:t>24</w:t>
            </w:r>
          </w:p>
        </w:tc>
        <w:tc>
          <w:tcPr>
            <w:tcW w:type="dxa" w:w="1581"/>
          </w:tcPr>
          <w:p>
            <w:pPr>
              <w:pStyle w:val="MDPI42tablebody"/>
            </w:pPr>
            <w:r>
              <w:rPr>
                <w:sz w:val="18"/>
              </w:rPr>
              <w:t>0.785</w:t>
            </w:r>
          </w:p>
        </w:tc>
        <w:tc>
          <w:tcPr>
            <w:tcW w:type="dxa" w:w="1209"/>
          </w:tcPr>
          <w:p>
            <w:pPr>
              <w:pStyle w:val="MDPI42tablebody"/>
            </w:pPr>
            <w:r>
              <w:rPr>
                <w:sz w:val="18"/>
              </w:rPr>
              <w:t>0.715–0.870</w:t>
            </w:r>
          </w:p>
        </w:tc>
        <w:tc>
          <w:tcPr>
            <w:tcW w:type="dxa" w:w="1116"/>
          </w:tcPr>
          <w:p>
            <w:pPr>
              <w:pStyle w:val="MDPI42tablebody"/>
            </w:pPr>
            <w:r>
              <w:rPr>
                <w:sz w:val="18"/>
              </w:rPr>
              <w:t>0.505–0.990</w:t>
            </w:r>
          </w:p>
        </w:tc>
      </w:tr>
      <w:tr>
        <w:tc>
          <w:tcPr>
            <w:tcW w:type="dxa" w:w="2882"/>
          </w:tcPr>
          <w:p>
            <w:pPr>
              <w:pStyle w:val="MDPI42tablebody"/>
              <w:jc w:val="left"/>
            </w:pPr>
            <w:r>
              <w:rPr>
                <w:sz w:val="18"/>
              </w:rPr>
              <w:t>Excluding reports without complete-article access</w:t>
            </w:r>
          </w:p>
        </w:tc>
        <w:tc>
          <w:tcPr>
            <w:tcW w:type="dxa" w:w="1069"/>
          </w:tcPr>
          <w:p>
            <w:pPr>
              <w:pStyle w:val="MDPI42tablebody"/>
            </w:pPr>
            <w:r>
              <w:rPr>
                <w:sz w:val="18"/>
              </w:rPr>
              <w:t>20</w:t>
            </w:r>
          </w:p>
        </w:tc>
        <w:tc>
          <w:tcPr>
            <w:tcW w:type="dxa" w:w="1581"/>
          </w:tcPr>
          <w:p>
            <w:pPr>
              <w:pStyle w:val="MDPI42tablebody"/>
            </w:pPr>
            <w:r>
              <w:rPr>
                <w:sz w:val="18"/>
              </w:rPr>
              <w:t>0.756</w:t>
            </w:r>
          </w:p>
        </w:tc>
        <w:tc>
          <w:tcPr>
            <w:tcW w:type="dxa" w:w="1209"/>
          </w:tcPr>
          <w:p>
            <w:pPr>
              <w:pStyle w:val="MDPI42tablebody"/>
            </w:pPr>
            <w:r>
              <w:rPr>
                <w:sz w:val="18"/>
              </w:rPr>
              <w:t>0.698–0.820</w:t>
            </w:r>
          </w:p>
        </w:tc>
        <w:tc>
          <w:tcPr>
            <w:tcW w:type="dxa" w:w="1116"/>
          </w:tcPr>
          <w:p>
            <w:pPr>
              <w:pStyle w:val="MDPI42tablebody"/>
            </w:pPr>
            <w:r>
              <w:rPr>
                <w:sz w:val="18"/>
              </w:rPr>
              <w:t>0.505–0.990</w:t>
            </w:r>
          </w:p>
        </w:tc>
      </w:tr>
      <w:tr>
        <w:tc>
          <w:tcPr>
            <w:tcW w:type="dxa" w:w="2882"/>
          </w:tcPr>
          <w:p>
            <w:pPr>
              <w:pStyle w:val="MDPI42tablebody"/>
              <w:jc w:val="left"/>
            </w:pPr>
            <w:r>
              <w:rPr>
                <w:sz w:val="18"/>
              </w:rPr>
              <w:t xml:space="preserve">  Apparent / internal validation</w:t>
            </w:r>
          </w:p>
        </w:tc>
        <w:tc>
          <w:tcPr>
            <w:tcW w:type="dxa" w:w="1069"/>
          </w:tcPr>
          <w:p>
            <w:pPr>
              <w:pStyle w:val="MDPI42tablebody"/>
            </w:pPr>
            <w:r>
              <w:rPr>
                <w:sz w:val="18"/>
              </w:rPr>
              <w:t>8 / 10</w:t>
            </w:r>
          </w:p>
        </w:tc>
        <w:tc>
          <w:tcPr>
            <w:tcW w:type="dxa" w:w="1581"/>
          </w:tcPr>
          <w:p>
            <w:pPr>
              <w:pStyle w:val="MDPI42tablebody"/>
            </w:pPr>
            <w:r>
              <w:rPr>
                <w:sz w:val="18"/>
              </w:rPr>
              <w:t>0.766 / 0.756</w:t>
            </w:r>
          </w:p>
        </w:tc>
        <w:tc>
          <w:tcPr>
            <w:tcW w:type="dxa" w:w="1209"/>
          </w:tcPr>
          <w:p>
            <w:pPr>
              <w:pStyle w:val="MDPI42tablebody"/>
            </w:pPr>
            <w:r>
              <w:rPr>
                <w:sz w:val="18"/>
              </w:rPr>
              <w:t>—</w:t>
            </w:r>
          </w:p>
        </w:tc>
        <w:tc>
          <w:tcPr>
            <w:tcW w:type="dxa" w:w="1116"/>
          </w:tcPr>
          <w:p>
            <w:pPr>
              <w:pStyle w:val="MDPI42tablebody"/>
            </w:pPr>
            <w:r>
              <w:rPr>
                <w:sz w:val="18"/>
              </w:rPr>
              <w:t>—</w:t>
            </w:r>
          </w:p>
        </w:tc>
      </w:tr>
      <w:tr>
        <w:tc>
          <w:tcPr>
            <w:tcW w:type="dxa" w:w="2882"/>
          </w:tcPr>
          <w:p>
            <w:pPr>
              <w:pStyle w:val="MDPI42tablebody"/>
              <w:jc w:val="left"/>
            </w:pPr>
            <w:r>
              <w:rPr>
                <w:sz w:val="18"/>
              </w:rPr>
              <w:t xml:space="preserve">  Fallers ≤15 / 16–39 / ≥40</w:t>
            </w:r>
          </w:p>
        </w:tc>
        <w:tc>
          <w:tcPr>
            <w:tcW w:type="dxa" w:w="1069"/>
          </w:tcPr>
          <w:p>
            <w:pPr>
              <w:pStyle w:val="MDPI42tablebody"/>
            </w:pPr>
            <w:r>
              <w:rPr>
                <w:sz w:val="18"/>
              </w:rPr>
              <w:t>5 / 10 / 5</w:t>
            </w:r>
          </w:p>
        </w:tc>
        <w:tc>
          <w:tcPr>
            <w:tcW w:type="dxa" w:w="1581"/>
          </w:tcPr>
          <w:p>
            <w:pPr>
              <w:pStyle w:val="MDPI42tablebody"/>
            </w:pPr>
            <w:r>
              <w:rPr>
                <w:sz w:val="18"/>
              </w:rPr>
              <w:t>0.870 / 0.767 / 0.690</w:t>
            </w:r>
          </w:p>
        </w:tc>
        <w:tc>
          <w:tcPr>
            <w:tcW w:type="dxa" w:w="1209"/>
          </w:tcPr>
          <w:p>
            <w:pPr>
              <w:pStyle w:val="MDPI42tablebody"/>
            </w:pPr>
            <w:r>
              <w:rPr>
                <w:sz w:val="18"/>
              </w:rPr>
              <w:t>—</w:t>
            </w:r>
          </w:p>
        </w:tc>
        <w:tc>
          <w:tcPr>
            <w:tcW w:type="dxa" w:w="1116"/>
          </w:tcPr>
          <w:p>
            <w:pPr>
              <w:pStyle w:val="MDPI42tablebody"/>
            </w:pPr>
            <w:r>
              <w:rPr>
                <w:sz w:val="18"/>
              </w:rPr>
              <w:t>—</w:t>
            </w:r>
          </w:p>
        </w:tc>
      </w:tr>
      <w:tr>
        <w:tc>
          <w:tcPr>
            <w:tcW w:type="dxa" w:w="2882"/>
          </w:tcPr>
          <w:p>
            <w:pPr>
              <w:pStyle w:val="MDPI42tablebody"/>
              <w:jc w:val="left"/>
            </w:pPr>
            <w:r>
              <w:rPr>
                <w:sz w:val="18"/>
              </w:rPr>
              <w:t>24-month bound (0.90; 13 fallers) for Sotirakis 2024</w:t>
            </w:r>
          </w:p>
        </w:tc>
        <w:tc>
          <w:tcPr>
            <w:tcW w:type="dxa" w:w="1069"/>
          </w:tcPr>
          <w:p>
            <w:pPr>
              <w:pStyle w:val="MDPI42tablebody"/>
            </w:pPr>
            <w:r>
              <w:rPr>
                <w:sz w:val="18"/>
              </w:rPr>
              <w:t>24</w:t>
            </w:r>
          </w:p>
        </w:tc>
        <w:tc>
          <w:tcPr>
            <w:tcW w:type="dxa" w:w="1581"/>
          </w:tcPr>
          <w:p>
            <w:pPr>
              <w:pStyle w:val="MDPI42tablebody"/>
            </w:pPr>
            <w:r>
              <w:rPr>
                <w:sz w:val="18"/>
              </w:rPr>
              <w:t>0.761</w:t>
            </w:r>
          </w:p>
        </w:tc>
        <w:tc>
          <w:tcPr>
            <w:tcW w:type="dxa" w:w="1209"/>
          </w:tcPr>
          <w:p>
            <w:pPr>
              <w:pStyle w:val="MDPI42tablebody"/>
            </w:pPr>
            <w:r>
              <w:rPr>
                <w:sz w:val="18"/>
              </w:rPr>
              <w:t>0.715–0.846</w:t>
            </w:r>
          </w:p>
        </w:tc>
        <w:tc>
          <w:tcPr>
            <w:tcW w:type="dxa" w:w="1116"/>
          </w:tcPr>
          <w:p>
            <w:pPr>
              <w:pStyle w:val="MDPI42tablebody"/>
            </w:pPr>
            <w:r>
              <w:rPr>
                <w:sz w:val="18"/>
              </w:rPr>
              <w:t>0.505–0.990</w:t>
            </w:r>
          </w:p>
        </w:tc>
      </w:tr>
    </w:tbl>
    <w:p>
      <w:pPr>
        <w:pStyle w:val="MDPI43tablefooter"/>
      </w:pPr>
      <w:r>
        <w:t>Summaries are unweighted, descriptive, and exploratory; they are not pooled estimates and do not account for differences in population, outcome, horizon, or model. Each selection and the alternative values used in the sensitivity analyses are listed in Supplementary Table S6. AUC: area under the receiver operating characteristic curve; IQR: interquartile range.</w:t>
      </w:r>
    </w:p>
    <w:p>
      <w:pPr>
        <w:pStyle w:val="MDPI52figure"/>
      </w:pPr>
      <w:r>
        <w:drawing>
          <wp:inline xmlns:a="http://schemas.openxmlformats.org/drawingml/2006/main" xmlns:pic="http://schemas.openxmlformats.org/drawingml/2006/picture">
            <wp:extent cx="4968000" cy="3877303"/>
            <wp:docPr id="2" name="Picture 2"/>
            <wp:cNvGraphicFramePr>
              <a:graphicFrameLocks noChangeAspect="1"/>
            </wp:cNvGraphicFramePr>
            <a:graphic>
              <a:graphicData uri="http://schemas.openxmlformats.org/drawingml/2006/picture">
                <pic:pic>
                  <pic:nvPicPr>
                    <pic:cNvPr id="0" name="Figure2_AUC_events.png"/>
                    <pic:cNvPicPr/>
                  </pic:nvPicPr>
                  <pic:blipFill>
                    <a:blip r:embed="rId18"/>
                    <a:stretch>
                      <a:fillRect/>
                    </a:stretch>
                  </pic:blipFill>
                  <pic:spPr>
                    <a:xfrm>
                      <a:off x="0" y="0"/>
                      <a:ext cx="4968000" cy="3877303"/>
                    </a:xfrm>
                    <a:prstGeom prst="rect"/>
                  </pic:spPr>
                </pic:pic>
              </a:graphicData>
            </a:graphic>
          </wp:inline>
        </w:drawing>
      </w:r>
    </w:p>
    <w:p>
      <w:pPr>
        <w:pStyle w:val="MDPI51figurecaption"/>
      </w:pPr>
      <w:r>
        <w:rPr>
          <w:b/>
        </w:rPr>
        <w:t>Figure 2.</w:t>
      </w:r>
      <w:r>
        <w:t xml:space="preserve"> Representative AUC plotted against the number of participants with the outcome, by validation stage.</w:t>
      </w:r>
      <w:r>
        <w:t xml:space="preserve"> Each marker represents one of 24 independent cohort families with an exact AUC matched to the number of fallers; open markers indicate estimates from reports assessed without the complete article. Vertical bars show the 95% confidence interval or the range across resamples where reported. The fall count for Giardini 2025 (about 10) is approximate, and the rolling-window model of Adeli 2023 is positioned by the number of unique fallers. The pattern is descriptive and exploratory; no pooled estimate or trend was calculated. AUC: area under the receiver operating characteristic curve.</w:t>
      </w:r>
    </w:p>
    <w:p>
      <w:pPr>
        <w:pStyle w:val="MDPI22heading2"/>
      </w:pPr>
      <w:r>
        <w:t>3.7. Incremental Value over Clinical Information</w:t>
      </w:r>
    </w:p>
    <w:p>
      <w:pPr>
        <w:pStyle w:val="MDPI31text"/>
      </w:pPr>
      <w:r>
        <w:t>Several reports compared gait-containing models with clinical information in the same participants. Daily-life accelerometry was associated with an increase in the apparent AUC from 0.68 for questionnaires and clinical tests to 0.82 in community-dwelling adults [28]; instrumented stand-and-walk measures with an increase from 0.685 for age and fall history to 0.751 (95% CI 0.680–0.821) in older men [54]; and selected daily-life gait and turning features with an increase from 0.77 for fall history to 0.94 in Parkinson disease [58]. In neurological rehabilitation, adding Timed Up and Go turning duration to fall history increased the AUC only from 0.66 to 0.69, the same gain as a clinical balance scale [53]. In the largest emergency-department cohort (360 participants; 94 fallers), adding four IMU-derived features to nine clinical predictors increased the AUC from 0.67 to 0.72 (</w:t>
      </w:r>
      <w:r>
        <w:rPr>
          <w:i/>
        </w:rPr>
        <w:t>p</w:t>
      </w:r>
      <w:r>
        <w:t xml:space="preserve"> = 0.19) and, at a prespecified 30% risk threshold, sensitivity from 0.45 to 0.57 and specificity from 0.76 to 0.80 [15]. All these increments were estimated in the development data without reported optimism correction and should be regarded as potentially optimistic estimates.</w:t>
      </w:r>
    </w:p>
    <w:p>
      <w:pPr>
        <w:pStyle w:val="MDPI22heading2"/>
      </w:pPr>
      <w:r>
        <w:t>3.8. Calibration, Clinical Utility, and Independent-Cohort Evaluation</w:t>
      </w:r>
    </w:p>
    <w:p>
      <w:pPr>
        <w:pStyle w:val="MDPI31text"/>
      </w:pPr>
      <w:r>
        <w:t>Calibration intercept and slope were reported in one of 47 reports [62]. Four further reports provided related information that does not establish calibration: Brier scores, which measure overall accuracy, in two [20,21]; Hosmer–Lemeshow goodness-of-fit tests in one [28]; and a qualitative comparison of predicted and observed survival in one [45]. No report presented a calibration plot, and none reported decision-curve analysis, net benefit, or the effect of model use on clinical decisions or fall rates. Operating points were frequently unbalanced: a deep-learning model with an AUC of 0.78 had a sensitivity of 0.33 [61], a commercial score achieved a sensitivity of 1.00 but a specificity of 0.375 and positive predictive value of 0.20 [63], and a sensor-supplemented Timed Up and Go rule had a specificity of 95.9% but a sensitivity of 29.2% [50].</w:t>
      </w:r>
    </w:p>
    <w:p>
      <w:pPr>
        <w:pStyle w:val="MDPI31text"/>
      </w:pPr>
      <w:r>
        <w:t>The single independent-cohort evaluation applied three previously published questionnaire and trunk-accelerometry models, with their original coefficients and cut-offs, to 263 new participants, of whom 105 fell [62]. Before any updating, the gait-containing models achieved AUCs of 0.49–0.59, sensitivities of 0.32–0.55, and specificities of 0.45–0.89, and a questionnaire-only comparator performed at least as well (AUC up to 0.68). The original models were miscalibrated in the new cohort (for example, calibration intercept −0.83 and slope 1.40 for the combined model for all falls). After recalibration and updating in the same cohort, AUCs of the gait-containing models were 0.51–0.62; these updated estimates are target-sample results rather than external validation. Because predictor processing differed from the original development pipeline, this study is an independent-cohort evaluation of the published models but not a faithful replication of their complete sensor-to-model pipelines. A separate prospective blind test of a random-forest classifier trained on fall history reported an accuracy of 81.6% (±0.7%, dispersion type not specified) in 44 participants with 9 fallers [46]. No model had been evaluated in more than one independent cohort.</w:t>
      </w:r>
    </w:p>
    <w:p>
      <w:pPr>
        <w:pStyle w:val="MDPI22heading2"/>
      </w:pPr>
      <w:r>
        <w:t>3.9. Risk of Bias and Applicability</w:t>
      </w:r>
    </w:p>
    <w:p>
      <w:pPr>
        <w:pStyle w:val="MDPI31text"/>
      </w:pPr>
      <w:r>
        <w:t>Of 45 development assessments (PROBAST+AI Part A), 43 were at high and 2 at unclear overall concern, and of 47 evaluation assessments (Part B), 45 were at high and 2 at unclear overall risk of bias; none was at low risk (Figure 3; Supplementary Table S7). The analysis domain was rated high in 42 of 45 development and 43 of 47 evaluation assessments. Among the 36 evaluations assessed from the complete article, 35 did not report calibration intercept or slope (one reported only a Brier score and one only Hosmer–Lemeshow tests), and the expected 95% CI width of the AUC exceeded 0.20 in 26, indicating serious imprecision; performance estimated in the development data without nested selection or optimism correction was also common. For the 11 reports assessed from the abstract and other accessible material, high analysis ratings rested only on serious imprecision verifiable from the reported numbers of fallers (8 reports), and the other three were rated unclear. The one evaluation with a low-risk analysis domain was rated high overall because predictor reconstruction differed from the development specification [62].</w:t>
      </w:r>
    </w:p>
    <w:p>
      <w:pPr>
        <w:pStyle w:val="MDPI31text"/>
      </w:pPr>
      <w:r>
        <w:t>Two sensitivity analyses tested these judgments. Setting every non-analysis domain to low would change the overall evaluation judgment in only two reports: the independent-cohort evaluation (to low) and one report assessed from limited material (to unclear). Excluding the 11 reports assessed without the complete article left all 34 remaining development assessments and all 36 evaluation assessments at high overall risk of bias. Other domains were more often low: in Part B, participants and data sources were rated low in 19, unclear in 11, and high in 17 reports; predictors low in 37, unclear in 8, and high in 2; and outcome low in 33, unclear in 9, and high in 5.</w:t>
      </w:r>
    </w:p>
    <w:p>
      <w:pPr>
        <w:pStyle w:val="MDPI31text"/>
      </w:pPr>
      <w:r>
        <w:t>Judged against each model’s intended-use population and setting, applicability concern was low for most assessments: overall concern was high in 4, unclear in 3, and low in 38 of 45 development assessments, and high in 4, unclear in 4, and low in 39 of 47 evaluation assessments (Supplementary Table S8). High concerns arose from sampling that altered case mix (a nested case–control subsample and exclusion of single fallers), a retrospective or clinician-rated development target, and predictor reconstruction that differed from development; unclear concerns reflected proprietary or incompletely reported predictor pipelines. Generalizability to the wider older population was nevertheless limited, because 25 of 47 reports studied disease-specific, institutional, hospital, or emergency-department populations.</w:t>
      </w:r>
    </w:p>
    <w:p>
      <w:pPr>
        <w:pStyle w:val="MDPI52figure"/>
      </w:pPr>
      <w:r>
        <w:drawing>
          <wp:inline xmlns:a="http://schemas.openxmlformats.org/drawingml/2006/main" xmlns:pic="http://schemas.openxmlformats.org/drawingml/2006/picture">
            <wp:extent cx="4968000" cy="4562631"/>
            <wp:docPr id="3" name="Picture 3"/>
            <wp:cNvGraphicFramePr>
              <a:graphicFrameLocks noChangeAspect="1"/>
            </wp:cNvGraphicFramePr>
            <a:graphic>
              <a:graphicData uri="http://schemas.openxmlformats.org/drawingml/2006/picture">
                <pic:pic>
                  <pic:nvPicPr>
                    <pic:cNvPr id="0" name="Figure3_PROBAST_AI.png"/>
                    <pic:cNvPicPr/>
                  </pic:nvPicPr>
                  <pic:blipFill>
                    <a:blip r:embed="rId19"/>
                    <a:stretch>
                      <a:fillRect/>
                    </a:stretch>
                  </pic:blipFill>
                  <pic:spPr>
                    <a:xfrm>
                      <a:off x="0" y="0"/>
                      <a:ext cx="4968000" cy="4562631"/>
                    </a:xfrm>
                    <a:prstGeom prst="rect"/>
                  </pic:spPr>
                </pic:pic>
              </a:graphicData>
            </a:graphic>
          </wp:inline>
        </w:drawing>
      </w:r>
    </w:p>
    <w:p>
      <w:pPr>
        <w:pStyle w:val="MDPI51figurecaption"/>
      </w:pPr>
      <w:r>
        <w:rPr>
          <w:b/>
        </w:rPr>
        <w:t>Figure 3.</w:t>
      </w:r>
      <w:r>
        <w:t xml:space="preserve"> PROBAST+AI judgments for model development (Part A), model evaluation (Part B), and applicability to each model’s intended-use population.</w:t>
      </w:r>
      <w:r>
        <w:t xml:space="preserve"> Numbers within bars indicate the number of reports; segments representing a single report are unlabelled and are listed in Supplementary Tables S7 and S8. Judgments refer to the principal gait-containing model of each report.</w:t>
      </w:r>
    </w:p>
    <w:p>
      <w:pPr>
        <w:pStyle w:val="MDPI22heading2"/>
      </w:pPr>
      <w:r>
        <w:t>3.10. Clinical Readiness</w:t>
      </w:r>
    </w:p>
    <w:p>
      <w:pPr>
        <w:pStyle w:val="MDPI31text"/>
      </w:pPr>
      <w:r>
        <w:t>Table 4 summarizes the evidence against the readiness criteria. Gait measurement before the outcome window and performance estimated beyond the development data were each satisfied in two or more cohort families, and prospective evaluation of a fixed model without refitting was satisfied in five. Independent-cohort evaluation and calibration intercept and slope were each satisfied in one cohort family only. Faithful replication of a complete pipeline and low overall risk of bias were assessed but not satisfied, and evaluation in two or more independent cohorts, calibration plots, decision-curve or net-benefit analysis, and evaluation of clinical impact were not assessed in any report. Reporting bias was likely: most small studies compared multiple features, classifiers, or thresholds while reporting incomplete uncertainty, and null independent evaluations were rare.</w:t>
      </w:r>
    </w:p>
    <w:p>
      <w:pPr>
        <w:pStyle w:val="MDPI41tablecaption"/>
      </w:pPr>
      <w:r>
        <w:rPr>
          <w:b/>
        </w:rPr>
        <w:t>Table 4.</w:t>
      </w:r>
      <w:r>
        <w:t xml:space="preserve"> Evidence available against criteria for clinical readiness of wearable- and vision-based gait models predicting future falls.</w:t>
      </w:r>
    </w:p>
    <w:tbl>
      <w:tblPr>
        <w:tblStyle w:val="MDPI41threelinetable"/>
        <w:tblW w:type="dxa" w:w="7857"/>
        <w:tblLook w:firstColumn="1" w:firstRow="1" w:lastColumn="0" w:lastRow="0" w:noHBand="0" w:noVBand="1" w:val="04A0"/>
        <w:tblInd w:w="2608" w:type="dxa"/>
        <w:tblLayout w:type="fixed"/>
      </w:tblPr>
      <w:tblGrid>
        <w:gridCol w:w="3766"/>
        <w:gridCol w:w="1023"/>
        <w:gridCol w:w="1116"/>
        <w:gridCol w:w="1952"/>
      </w:tblGrid>
      <w:tr>
        <w:trPr>
          <w:tblHeader/>
        </w:trPr>
        <w:tc>
          <w:tcPr>
            <w:tcW w:type="dxa" w:w="3766"/>
          </w:tcPr>
          <w:p>
            <w:pPr>
              <w:pStyle w:val="MDPI42tablebody"/>
              <w:jc w:val="left"/>
            </w:pPr>
            <w:r>
              <w:rPr>
                <w:b/>
                <w:sz w:val="18"/>
              </w:rPr>
              <w:t>Readiness criterion</w:t>
            </w:r>
          </w:p>
        </w:tc>
        <w:tc>
          <w:tcPr>
            <w:tcW w:type="dxa" w:w="1023"/>
          </w:tcPr>
          <w:p>
            <w:pPr>
              <w:pStyle w:val="MDPI42tablebody"/>
            </w:pPr>
            <w:r>
              <w:rPr>
                <w:b/>
                <w:sz w:val="18"/>
              </w:rPr>
              <w:t>Reports (n = 47)</w:t>
            </w:r>
          </w:p>
        </w:tc>
        <w:tc>
          <w:tcPr>
            <w:tcW w:type="dxa" w:w="1116"/>
          </w:tcPr>
          <w:p>
            <w:pPr>
              <w:pStyle w:val="MDPI42tablebody"/>
            </w:pPr>
            <w:r>
              <w:rPr>
                <w:b/>
                <w:sz w:val="18"/>
              </w:rPr>
              <w:t>Cohort families (n = 37)</w:t>
            </w:r>
          </w:p>
        </w:tc>
        <w:tc>
          <w:tcPr>
            <w:tcW w:type="dxa" w:w="1952"/>
          </w:tcPr>
          <w:p>
            <w:pPr>
              <w:pStyle w:val="MDPI42tablebody"/>
            </w:pPr>
            <w:r>
              <w:rPr>
                <w:b/>
                <w:sz w:val="18"/>
              </w:rPr>
              <w:t>Status</w:t>
            </w:r>
          </w:p>
        </w:tc>
      </w:tr>
      <w:tr>
        <w:tc>
          <w:tcPr>
            <w:tcW w:type="dxa" w:w="3766"/>
          </w:tcPr>
          <w:p>
            <w:pPr>
              <w:pStyle w:val="MDPI42tablebody"/>
              <w:jc w:val="left"/>
            </w:pPr>
            <w:r>
              <w:rPr>
                <w:sz w:val="18"/>
              </w:rPr>
              <w:t>Gait measured before the fall-outcome window</w:t>
            </w:r>
          </w:p>
        </w:tc>
        <w:tc>
          <w:tcPr>
            <w:tcW w:type="dxa" w:w="1023"/>
          </w:tcPr>
          <w:p>
            <w:pPr>
              <w:pStyle w:val="MDPI42tablebody"/>
            </w:pPr>
            <w:r>
              <w:rPr>
                <w:sz w:val="18"/>
              </w:rPr>
              <w:t>47</w:t>
            </w:r>
          </w:p>
        </w:tc>
        <w:tc>
          <w:tcPr>
            <w:tcW w:type="dxa" w:w="1116"/>
          </w:tcPr>
          <w:p>
            <w:pPr>
              <w:pStyle w:val="MDPI42tablebody"/>
            </w:pPr>
            <w:r>
              <w:rPr>
                <w:sz w:val="18"/>
              </w:rPr>
              <w:t>37</w:t>
            </w:r>
          </w:p>
        </w:tc>
        <w:tc>
          <w:tcPr>
            <w:tcW w:type="dxa" w:w="1952"/>
          </w:tcPr>
          <w:p>
            <w:pPr>
              <w:pStyle w:val="MDPI42tablebody"/>
            </w:pPr>
            <w:r>
              <w:rPr>
                <w:sz w:val="18"/>
              </w:rPr>
              <w:t>Satisfied in ≥2 families</w:t>
            </w:r>
          </w:p>
        </w:tc>
      </w:tr>
      <w:tr>
        <w:tc>
          <w:tcPr>
            <w:tcW w:type="dxa" w:w="3766"/>
          </w:tcPr>
          <w:p>
            <w:pPr>
              <w:pStyle w:val="MDPI42tablebody"/>
              <w:jc w:val="left"/>
            </w:pPr>
            <w:r>
              <w:rPr>
                <w:sz w:val="18"/>
              </w:rPr>
              <w:t>Performance estimated beyond the development data (internal validation, hold-out, or prospective evaluation)</w:t>
            </w:r>
          </w:p>
        </w:tc>
        <w:tc>
          <w:tcPr>
            <w:tcW w:type="dxa" w:w="1023"/>
          </w:tcPr>
          <w:p>
            <w:pPr>
              <w:pStyle w:val="MDPI42tablebody"/>
            </w:pPr>
            <w:r>
              <w:rPr>
                <w:sz w:val="18"/>
              </w:rPr>
              <w:t>30</w:t>
            </w:r>
          </w:p>
        </w:tc>
        <w:tc>
          <w:tcPr>
            <w:tcW w:type="dxa" w:w="1116"/>
          </w:tcPr>
          <w:p>
            <w:pPr>
              <w:pStyle w:val="MDPI42tablebody"/>
            </w:pPr>
            <w:r>
              <w:rPr>
                <w:sz w:val="18"/>
              </w:rPr>
              <w:t>22</w:t>
            </w:r>
          </w:p>
        </w:tc>
        <w:tc>
          <w:tcPr>
            <w:tcW w:type="dxa" w:w="1952"/>
          </w:tcPr>
          <w:p>
            <w:pPr>
              <w:pStyle w:val="MDPI42tablebody"/>
            </w:pPr>
            <w:r>
              <w:rPr>
                <w:sz w:val="18"/>
              </w:rPr>
              <w:t>Satisfied in ≥2 families</w:t>
            </w:r>
          </w:p>
        </w:tc>
      </w:tr>
      <w:tr>
        <w:tc>
          <w:tcPr>
            <w:tcW w:type="dxa" w:w="3766"/>
          </w:tcPr>
          <w:p>
            <w:pPr>
              <w:pStyle w:val="MDPI42tablebody"/>
              <w:jc w:val="left"/>
            </w:pPr>
            <w:r>
              <w:rPr>
                <w:sz w:val="18"/>
              </w:rPr>
              <w:t>Prospective evaluation of a fixed model or score without refitting</w:t>
            </w:r>
          </w:p>
        </w:tc>
        <w:tc>
          <w:tcPr>
            <w:tcW w:type="dxa" w:w="1023"/>
          </w:tcPr>
          <w:p>
            <w:pPr>
              <w:pStyle w:val="MDPI42tablebody"/>
            </w:pPr>
            <w:r>
              <w:rPr>
                <w:sz w:val="18"/>
              </w:rPr>
              <w:t>5</w:t>
            </w:r>
          </w:p>
        </w:tc>
        <w:tc>
          <w:tcPr>
            <w:tcW w:type="dxa" w:w="1116"/>
          </w:tcPr>
          <w:p>
            <w:pPr>
              <w:pStyle w:val="MDPI42tablebody"/>
            </w:pPr>
            <w:r>
              <w:rPr>
                <w:sz w:val="18"/>
              </w:rPr>
              <w:t>5</w:t>
            </w:r>
          </w:p>
        </w:tc>
        <w:tc>
          <w:tcPr>
            <w:tcW w:type="dxa" w:w="1952"/>
          </w:tcPr>
          <w:p>
            <w:pPr>
              <w:pStyle w:val="MDPI42tablebody"/>
            </w:pPr>
            <w:r>
              <w:rPr>
                <w:sz w:val="18"/>
              </w:rPr>
              <w:t>Satisfied in ≥2 families</w:t>
            </w:r>
          </w:p>
        </w:tc>
      </w:tr>
      <w:tr>
        <w:tc>
          <w:tcPr>
            <w:tcW w:type="dxa" w:w="3766"/>
          </w:tcPr>
          <w:p>
            <w:pPr>
              <w:pStyle w:val="MDPI42tablebody"/>
              <w:jc w:val="left"/>
            </w:pPr>
            <w:r>
              <w:rPr>
                <w:sz w:val="18"/>
              </w:rPr>
              <w:t>Independent-cohort evaluation of a published model with original coefficients</w:t>
            </w:r>
          </w:p>
        </w:tc>
        <w:tc>
          <w:tcPr>
            <w:tcW w:type="dxa" w:w="1023"/>
          </w:tcPr>
          <w:p>
            <w:pPr>
              <w:pStyle w:val="MDPI42tablebody"/>
            </w:pPr>
            <w:r>
              <w:rPr>
                <w:sz w:val="18"/>
              </w:rPr>
              <w:t>1</w:t>
            </w:r>
          </w:p>
        </w:tc>
        <w:tc>
          <w:tcPr>
            <w:tcW w:type="dxa" w:w="1116"/>
          </w:tcPr>
          <w:p>
            <w:pPr>
              <w:pStyle w:val="MDPI42tablebody"/>
            </w:pPr>
            <w:r>
              <w:rPr>
                <w:sz w:val="18"/>
              </w:rPr>
              <w:t>1</w:t>
            </w:r>
          </w:p>
        </w:tc>
        <w:tc>
          <w:tcPr>
            <w:tcW w:type="dxa" w:w="1952"/>
          </w:tcPr>
          <w:p>
            <w:pPr>
              <w:pStyle w:val="MDPI42tablebody"/>
            </w:pPr>
            <w:r>
              <w:rPr>
                <w:sz w:val="18"/>
              </w:rPr>
              <w:t>Satisfied in one family only</w:t>
            </w:r>
          </w:p>
        </w:tc>
      </w:tr>
      <w:tr>
        <w:tc>
          <w:tcPr>
            <w:tcW w:type="dxa" w:w="3766"/>
          </w:tcPr>
          <w:p>
            <w:pPr>
              <w:pStyle w:val="MDPI42tablebody"/>
              <w:jc w:val="left"/>
            </w:pPr>
            <w:r>
              <w:rPr>
                <w:sz w:val="18"/>
              </w:rPr>
              <w:t>Faithful replication of the complete sensor-to-model pipeline in an independent cohort</w:t>
            </w:r>
          </w:p>
        </w:tc>
        <w:tc>
          <w:tcPr>
            <w:tcW w:type="dxa" w:w="1023"/>
          </w:tcPr>
          <w:p>
            <w:pPr>
              <w:pStyle w:val="MDPI42tablebody"/>
            </w:pPr>
            <w:r>
              <w:rPr>
                <w:sz w:val="18"/>
              </w:rPr>
              <w:t>0</w:t>
            </w:r>
          </w:p>
        </w:tc>
        <w:tc>
          <w:tcPr>
            <w:tcW w:type="dxa" w:w="1116"/>
          </w:tcPr>
          <w:p>
            <w:pPr>
              <w:pStyle w:val="MDPI42tablebody"/>
            </w:pPr>
            <w:r>
              <w:rPr>
                <w:sz w:val="18"/>
              </w:rPr>
              <w:t>0</w:t>
            </w:r>
          </w:p>
        </w:tc>
        <w:tc>
          <w:tcPr>
            <w:tcW w:type="dxa" w:w="1952"/>
          </w:tcPr>
          <w:p>
            <w:pPr>
              <w:pStyle w:val="MDPI42tablebody"/>
            </w:pPr>
            <w:r>
              <w:rPr>
                <w:sz w:val="18"/>
              </w:rPr>
              <w:t>Assessed but not satisfied</w:t>
            </w:r>
          </w:p>
        </w:tc>
      </w:tr>
      <w:tr>
        <w:tc>
          <w:tcPr>
            <w:tcW w:type="dxa" w:w="3766"/>
          </w:tcPr>
          <w:p>
            <w:pPr>
              <w:pStyle w:val="MDPI42tablebody"/>
              <w:jc w:val="left"/>
            </w:pPr>
            <w:r>
              <w:rPr>
                <w:sz w:val="18"/>
              </w:rPr>
              <w:t>Evaluation in two or more independent cohorts</w:t>
            </w:r>
          </w:p>
        </w:tc>
        <w:tc>
          <w:tcPr>
            <w:tcW w:type="dxa" w:w="1023"/>
          </w:tcPr>
          <w:p>
            <w:pPr>
              <w:pStyle w:val="MDPI42tablebody"/>
            </w:pPr>
            <w:r>
              <w:rPr>
                <w:sz w:val="18"/>
              </w:rPr>
              <w:t>0</w:t>
            </w:r>
          </w:p>
        </w:tc>
        <w:tc>
          <w:tcPr>
            <w:tcW w:type="dxa" w:w="1116"/>
          </w:tcPr>
          <w:p>
            <w:pPr>
              <w:pStyle w:val="MDPI42tablebody"/>
            </w:pPr>
            <w:r>
              <w:rPr>
                <w:sz w:val="18"/>
              </w:rPr>
              <w:t>0</w:t>
            </w:r>
          </w:p>
        </w:tc>
        <w:tc>
          <w:tcPr>
            <w:tcW w:type="dxa" w:w="1952"/>
          </w:tcPr>
          <w:p>
            <w:pPr>
              <w:pStyle w:val="MDPI42tablebody"/>
            </w:pPr>
            <w:r>
              <w:rPr>
                <w:sz w:val="18"/>
              </w:rPr>
              <w:t>Not assessed in any report</w:t>
            </w:r>
          </w:p>
        </w:tc>
      </w:tr>
      <w:tr>
        <w:tc>
          <w:tcPr>
            <w:tcW w:type="dxa" w:w="3766"/>
          </w:tcPr>
          <w:p>
            <w:pPr>
              <w:pStyle w:val="MDPI42tablebody"/>
              <w:jc w:val="left"/>
            </w:pPr>
            <w:r>
              <w:rPr>
                <w:sz w:val="18"/>
              </w:rPr>
              <w:t>Calibration intercept and slope reported</w:t>
            </w:r>
          </w:p>
        </w:tc>
        <w:tc>
          <w:tcPr>
            <w:tcW w:type="dxa" w:w="1023"/>
          </w:tcPr>
          <w:p>
            <w:pPr>
              <w:pStyle w:val="MDPI42tablebody"/>
            </w:pPr>
            <w:r>
              <w:rPr>
                <w:sz w:val="18"/>
              </w:rPr>
              <w:t>1</w:t>
            </w:r>
          </w:p>
        </w:tc>
        <w:tc>
          <w:tcPr>
            <w:tcW w:type="dxa" w:w="1116"/>
          </w:tcPr>
          <w:p>
            <w:pPr>
              <w:pStyle w:val="MDPI42tablebody"/>
            </w:pPr>
            <w:r>
              <w:rPr>
                <w:sz w:val="18"/>
              </w:rPr>
              <w:t>1</w:t>
            </w:r>
          </w:p>
        </w:tc>
        <w:tc>
          <w:tcPr>
            <w:tcW w:type="dxa" w:w="1952"/>
          </w:tcPr>
          <w:p>
            <w:pPr>
              <w:pStyle w:val="MDPI42tablebody"/>
            </w:pPr>
            <w:r>
              <w:rPr>
                <w:sz w:val="18"/>
              </w:rPr>
              <w:t>Satisfied in one family only</w:t>
            </w:r>
          </w:p>
        </w:tc>
      </w:tr>
      <w:tr>
        <w:tc>
          <w:tcPr>
            <w:tcW w:type="dxa" w:w="3766"/>
          </w:tcPr>
          <w:p>
            <w:pPr>
              <w:pStyle w:val="MDPI42tablebody"/>
              <w:jc w:val="left"/>
            </w:pPr>
            <w:r>
              <w:rPr>
                <w:sz w:val="18"/>
              </w:rPr>
              <w:t>Calibration plot presented</w:t>
            </w:r>
          </w:p>
        </w:tc>
        <w:tc>
          <w:tcPr>
            <w:tcW w:type="dxa" w:w="1023"/>
          </w:tcPr>
          <w:p>
            <w:pPr>
              <w:pStyle w:val="MDPI42tablebody"/>
            </w:pPr>
            <w:r>
              <w:rPr>
                <w:sz w:val="18"/>
              </w:rPr>
              <w:t>0</w:t>
            </w:r>
          </w:p>
        </w:tc>
        <w:tc>
          <w:tcPr>
            <w:tcW w:type="dxa" w:w="1116"/>
          </w:tcPr>
          <w:p>
            <w:pPr>
              <w:pStyle w:val="MDPI42tablebody"/>
            </w:pPr>
            <w:r>
              <w:rPr>
                <w:sz w:val="18"/>
              </w:rPr>
              <w:t>0</w:t>
            </w:r>
          </w:p>
        </w:tc>
        <w:tc>
          <w:tcPr>
            <w:tcW w:type="dxa" w:w="1952"/>
          </w:tcPr>
          <w:p>
            <w:pPr>
              <w:pStyle w:val="MDPI42tablebody"/>
            </w:pPr>
            <w:r>
              <w:rPr>
                <w:sz w:val="18"/>
              </w:rPr>
              <w:t>Not assessed in any report</w:t>
            </w:r>
          </w:p>
        </w:tc>
      </w:tr>
      <w:tr>
        <w:tc>
          <w:tcPr>
            <w:tcW w:type="dxa" w:w="3766"/>
          </w:tcPr>
          <w:p>
            <w:pPr>
              <w:pStyle w:val="MDPI42tablebody"/>
              <w:jc w:val="left"/>
            </w:pPr>
            <w:r>
              <w:rPr>
                <w:sz w:val="18"/>
              </w:rPr>
              <w:t>Decision-curve or net-benefit analysis at prespecified thresholds</w:t>
            </w:r>
          </w:p>
        </w:tc>
        <w:tc>
          <w:tcPr>
            <w:tcW w:type="dxa" w:w="1023"/>
          </w:tcPr>
          <w:p>
            <w:pPr>
              <w:pStyle w:val="MDPI42tablebody"/>
            </w:pPr>
            <w:r>
              <w:rPr>
                <w:sz w:val="18"/>
              </w:rPr>
              <w:t>0</w:t>
            </w:r>
          </w:p>
        </w:tc>
        <w:tc>
          <w:tcPr>
            <w:tcW w:type="dxa" w:w="1116"/>
          </w:tcPr>
          <w:p>
            <w:pPr>
              <w:pStyle w:val="MDPI42tablebody"/>
            </w:pPr>
            <w:r>
              <w:rPr>
                <w:sz w:val="18"/>
              </w:rPr>
              <w:t>0</w:t>
            </w:r>
          </w:p>
        </w:tc>
        <w:tc>
          <w:tcPr>
            <w:tcW w:type="dxa" w:w="1952"/>
          </w:tcPr>
          <w:p>
            <w:pPr>
              <w:pStyle w:val="MDPI42tablebody"/>
            </w:pPr>
            <w:r>
              <w:rPr>
                <w:sz w:val="18"/>
              </w:rPr>
              <w:t>Not assessed in any report</w:t>
            </w:r>
          </w:p>
        </w:tc>
      </w:tr>
      <w:tr>
        <w:tc>
          <w:tcPr>
            <w:tcW w:type="dxa" w:w="3766"/>
          </w:tcPr>
          <w:p>
            <w:pPr>
              <w:pStyle w:val="MDPI42tablebody"/>
              <w:jc w:val="left"/>
            </w:pPr>
            <w:r>
              <w:rPr>
                <w:sz w:val="18"/>
              </w:rPr>
              <w:t>Low overall risk of bias (PROBAST+AI Part B)</w:t>
            </w:r>
          </w:p>
        </w:tc>
        <w:tc>
          <w:tcPr>
            <w:tcW w:type="dxa" w:w="1023"/>
          </w:tcPr>
          <w:p>
            <w:pPr>
              <w:pStyle w:val="MDPI42tablebody"/>
            </w:pPr>
            <w:r>
              <w:rPr>
                <w:sz w:val="18"/>
              </w:rPr>
              <w:t>0</w:t>
            </w:r>
          </w:p>
        </w:tc>
        <w:tc>
          <w:tcPr>
            <w:tcW w:type="dxa" w:w="1116"/>
          </w:tcPr>
          <w:p>
            <w:pPr>
              <w:pStyle w:val="MDPI42tablebody"/>
            </w:pPr>
            <w:r>
              <w:rPr>
                <w:sz w:val="18"/>
              </w:rPr>
              <w:t>0</w:t>
            </w:r>
          </w:p>
        </w:tc>
        <w:tc>
          <w:tcPr>
            <w:tcW w:type="dxa" w:w="1952"/>
          </w:tcPr>
          <w:p>
            <w:pPr>
              <w:pStyle w:val="MDPI42tablebody"/>
            </w:pPr>
            <w:r>
              <w:rPr>
                <w:sz w:val="18"/>
              </w:rPr>
              <w:t>Assessed but not satisfied</w:t>
            </w:r>
          </w:p>
        </w:tc>
      </w:tr>
      <w:tr>
        <w:tc>
          <w:tcPr>
            <w:tcW w:type="dxa" w:w="3766"/>
          </w:tcPr>
          <w:p>
            <w:pPr>
              <w:pStyle w:val="MDPI42tablebody"/>
              <w:jc w:val="left"/>
            </w:pPr>
            <w:r>
              <w:rPr>
                <w:sz w:val="18"/>
              </w:rPr>
              <w:t>Impact on clinical decisions or fall outcomes evaluated</w:t>
            </w:r>
          </w:p>
        </w:tc>
        <w:tc>
          <w:tcPr>
            <w:tcW w:type="dxa" w:w="1023"/>
          </w:tcPr>
          <w:p>
            <w:pPr>
              <w:pStyle w:val="MDPI42tablebody"/>
            </w:pPr>
            <w:r>
              <w:rPr>
                <w:sz w:val="18"/>
              </w:rPr>
              <w:t>0</w:t>
            </w:r>
          </w:p>
        </w:tc>
        <w:tc>
          <w:tcPr>
            <w:tcW w:type="dxa" w:w="1116"/>
          </w:tcPr>
          <w:p>
            <w:pPr>
              <w:pStyle w:val="MDPI42tablebody"/>
            </w:pPr>
            <w:r>
              <w:rPr>
                <w:sz w:val="18"/>
              </w:rPr>
              <w:t>0</w:t>
            </w:r>
          </w:p>
        </w:tc>
        <w:tc>
          <w:tcPr>
            <w:tcW w:type="dxa" w:w="1952"/>
          </w:tcPr>
          <w:p>
            <w:pPr>
              <w:pStyle w:val="MDPI42tablebody"/>
            </w:pPr>
            <w:r>
              <w:rPr>
                <w:sz w:val="18"/>
              </w:rPr>
              <w:t>Not assessed in any report</w:t>
            </w:r>
          </w:p>
        </w:tc>
      </w:tr>
    </w:tbl>
    <w:p>
      <w:pPr>
        <w:pStyle w:val="MDPI43tablefooter"/>
      </w:pPr>
      <w:r>
        <w:t>Status rules: “satisfied in ≥2 families”, criterion met in at least two independent cohort families (irrespective of risk of bias); “satisfied in one family only”; “assessed but not satisfied”, attempted or appraised in at least one report without meeting the criterion; “not assessed in any report”. Readiness is a descriptive construct and is distinct from certainty of evidence (Section 2.9). Prospective fixed-model evaluations include the independent-cohort evaluation.</w:t>
      </w:r>
    </w:p>
    <w:p>
      <w:pPr>
        <w:pStyle w:val="MDPI21heading1"/>
      </w:pPr>
      <w:r>
        <w:t>4. Discussion</w:t>
      </w:r>
    </w:p>
    <w:p>
      <w:pPr>
        <w:pStyle w:val="MDPI22heading2"/>
      </w:pPr>
      <w:r>
        <w:t>4.1. Principal Findings</w:t>
      </w:r>
    </w:p>
    <w:p>
      <w:pPr>
        <w:pStyle w:val="MDPI31text"/>
      </w:pPr>
      <w:r>
        <w:t>This systematic review of 47 reports from 37 cohort families found that wearable- and vision-derived gait measures discriminated future fallers from non-fallers in development and internal-validation studies, with a median representative AUC of about 0.76. The measures involved were biologically coherent—gait variability, trunk stability, turning, and the structure of daily walking—and several models added discrimination to fall history or brief clinical tests in the same data. Confidence in these estimates is, however, low: 45 of 47 evaluations were at high risk of bias and none at low risk, mainly because calibration was not assessed and estimates based on few fallers were imprecise, and the only independent-cohort evaluation of published models found AUCs of 0.49–0.59. The evidence therefore does not establish that any wearable or vision-based model is ready for routine clinical deployment.</w:t>
      </w:r>
    </w:p>
    <w:p>
      <w:pPr>
        <w:pStyle w:val="MDPI22heading2"/>
      </w:pPr>
      <w:r>
        <w:t>4.2. Comparison with Previous Reviews</w:t>
      </w:r>
    </w:p>
    <w:p>
      <w:pPr>
        <w:pStyle w:val="MDPI31text"/>
      </w:pPr>
      <w:r>
        <w:t>Earlier reviews documented the promise of inertial sensors for characterizing fallers and warned that small samples and flexible modelling may inflate reported accuracy [4,5,7]. A 2026 meta-analysis of 20 wearable studies reported a summary AUC of 0.85, pooled sensitivity of 0.55, and specificity of 0.89 [9]. That synthesis combined prospective and retrospective designs and reconstructed 2 × 2 accuracy data across heterogeneous models, answering a broader diagnostic-accuracy question. By restricting eligibility to strictly prospective, individualized prediction, clustering overlapping cohorts, and separating validation stages, the present review provides a more conservative estimate and shows that almost all available performance evidence comes from the development cohorts themselves. The two reviews are therefore complementary.</w:t>
      </w:r>
    </w:p>
    <w:p>
      <w:pPr>
        <w:pStyle w:val="MDPI22heading2"/>
      </w:pPr>
      <w:r>
        <w:t>4.3. Why Reported Performance May Overstate Clinical Readiness</w:t>
      </w:r>
    </w:p>
    <w:p>
      <w:pPr>
        <w:pStyle w:val="MDPI31text"/>
      </w:pPr>
      <w:r>
        <w:t>Several mechanisms can make reported discrimination optimistic, although this review cannot quantify their individual contributions. First, events were sparse: 24 of 37 cohort families enrolled fewer than 150 participants, and seven representative estimates were based on 15 or fewer fallers, far below the sample sizes recommended for stable model development and precise evaluation [17,65]. Second, information can leak between training and test data when repeated windows from one participant are split across partitions or when features are selected on the full dataset before resampling [8]; one included study quantified an increase from 0.65–0.75 to 0.94 [34]. Third, calibration was rarely assessed, although a well-discriminating model can still systematically over- or underestimate risk, which determines whether a threshold-based decision is appropriate [66]. Fourth, no study linked predictions to a clinical action, so net benefit at plausible thresholds remains unknown [67]. The descriptive decline in median AUC across event-count bands is consistent with these mechanisms but is confounded by differences in population, outcome, and horizon.</w:t>
      </w:r>
    </w:p>
    <w:p>
      <w:pPr>
        <w:pStyle w:val="MDPI22heading2"/>
      </w:pPr>
      <w:r>
        <w:t>4.4. Technologies, Gait Phenotypes, and Outcomes</w:t>
      </w:r>
    </w:p>
    <w:p>
      <w:pPr>
        <w:pStyle w:val="MDPI31text"/>
      </w:pPr>
      <w:r>
        <w:t>Wearables supported two complementary strategies. Structured instrumented tests quantify turning, transitions, and dynamic stability during a standardized encounter and may suit rapid triage in clinics or emergency departments [15,22,53]. Free-living monitoring captures habitual exposure, variability, and day-to-day walking organization and may suit ongoing surveillance [28,49,58]. Neither strategy was consistently superior. Free-living walking quantity is also ambiguous, because more walking may indicate greater capacity but also more exposure to fall opportunities; models should separate vulnerability from exposure. Ambient vision avoids device burden and enables frequently updated risk estimates, but all prospective evidence came from one dementia facility [45,57]; transfer will require validation of both the measurement layer and the prognostic model, because camera geometry, lighting, occlusion, walking aids, and software versions can alter predictors before any classifier is applied. Finally, predicting a fall within the next week in long-term care, within 6 months after emergency discharge, and within 5 years in Parkinson disease are different clinical tasks that warrant different thresholds and separate validation within their own intended-use populations.</w:t>
      </w:r>
    </w:p>
    <w:p>
      <w:pPr>
        <w:pStyle w:val="MDPI22heading2"/>
      </w:pPr>
      <w:r>
        <w:t>4.5. Implications for Clinical Practice</w:t>
      </w:r>
    </w:p>
    <w:p>
      <w:pPr>
        <w:pStyle w:val="MDPI31text"/>
      </w:pPr>
      <w:r>
        <w:t>On current evidence, sensor-derived gait measures should complement, not replace, guideline-recommended multifactorial fall-risk assessment [2]. Until a model has been independently validated and calibrated in the intended setting, gait-derived risk estimates should not be used alone to allocate or withhold fall-prevention interventions, although they may reasonably prompt a fuller clinical assessment or be used in research. Clinicians and health systems evaluating commercial fall-risk devices should ask for independent-cohort validation, calibration, and performance at the intended decision threshold, rather than development-sample accuracy or AUC alone.</w:t>
      </w:r>
    </w:p>
    <w:p>
      <w:pPr>
        <w:pStyle w:val="MDPI22heading2"/>
      </w:pPr>
      <w:r>
        <w:t>4.6. Priorities for Future Research</w:t>
      </w:r>
    </w:p>
    <w:p>
      <w:pPr>
        <w:pStyle w:val="MDPI31text"/>
      </w:pPr>
      <w:r>
        <w:t>Table 5 translates the gaps identified in this review into minimum standards for future studies. The immediate priority is adequately powered, independent, multisite validation of existing models with their measurement and signal-processing pipelines fully specified [17], reported according to TRIPOD+AI [11]. Injurious-fall prediction is a distinct unmet need: no eligible model addressed injurious falls despite their direct relevance to hospitalization and loss of independence. Studies should use consensus fall definitions and prospective daily calendars with regular follow-up [68], account for death and other competing events, and compare gait-containing models with a parsimonious clinical model. Only after transportability has been demonstrated should impact studies test whether model-guided care improves decisions and reduces falls.</w:t>
      </w:r>
    </w:p>
    <w:p>
      <w:pPr>
        <w:pStyle w:val="MDPI41tablecaption"/>
      </w:pPr>
      <w:r>
        <w:rPr>
          <w:b/>
        </w:rPr>
        <w:t>Table 5.</w:t>
      </w:r>
      <w:r>
        <w:t xml:space="preserve"> Evidence gaps identified and minimum standards for future gait-based fall-prediction studies.</w:t>
      </w:r>
    </w:p>
    <w:tbl>
      <w:tblPr>
        <w:tblStyle w:val="MDPI41threelinetable"/>
        <w:tblW w:type="dxa" w:w="7857"/>
        <w:tblLook w:firstColumn="1" w:firstRow="1" w:lastColumn="0" w:lastRow="0" w:noHBand="0" w:noVBand="1" w:val="04A0"/>
        <w:tblInd w:w="2608" w:type="dxa"/>
        <w:tblLayout w:type="fixed"/>
      </w:tblPr>
      <w:tblGrid>
        <w:gridCol w:w="2604"/>
        <w:gridCol w:w="3905"/>
        <w:gridCol w:w="1348"/>
      </w:tblGrid>
      <w:tr>
        <w:trPr>
          <w:tblHeader/>
        </w:trPr>
        <w:tc>
          <w:tcPr>
            <w:tcW w:type="dxa" w:w="2604"/>
          </w:tcPr>
          <w:p>
            <w:pPr>
              <w:pStyle w:val="MDPI42tablebody"/>
              <w:jc w:val="left"/>
            </w:pPr>
            <w:r>
              <w:rPr>
                <w:b/>
                <w:sz w:val="18"/>
              </w:rPr>
              <w:t>Gap observed in this review</w:t>
            </w:r>
          </w:p>
        </w:tc>
        <w:tc>
          <w:tcPr>
            <w:tcW w:type="dxa" w:w="3905"/>
          </w:tcPr>
          <w:p>
            <w:pPr>
              <w:pStyle w:val="MDPI42tablebody"/>
              <w:jc w:val="left"/>
            </w:pPr>
            <w:r>
              <w:rPr>
                <w:b/>
                <w:sz w:val="18"/>
              </w:rPr>
              <w:t>Minimum standard for future studies</w:t>
            </w:r>
          </w:p>
        </w:tc>
        <w:tc>
          <w:tcPr>
            <w:tcW w:type="dxa" w:w="1348"/>
          </w:tcPr>
          <w:p>
            <w:pPr>
              <w:pStyle w:val="MDPI42tablebody"/>
            </w:pPr>
            <w:r>
              <w:rPr>
                <w:b/>
                <w:sz w:val="18"/>
              </w:rPr>
              <w:t>Guidance</w:t>
            </w:r>
          </w:p>
        </w:tc>
      </w:tr>
      <w:tr>
        <w:tc>
          <w:tcPr>
            <w:tcW w:type="dxa" w:w="2604"/>
          </w:tcPr>
          <w:p>
            <w:pPr>
              <w:pStyle w:val="MDPI42tablebody"/>
              <w:jc w:val="left"/>
            </w:pPr>
            <w:r>
              <w:rPr>
                <w:sz w:val="18"/>
              </w:rPr>
              <w:t>Imprecise estimates: expected 95% CI width of the AUC &gt;0.20 in 34/47 evaluations; 24/37 families had &lt;150 participants</w:t>
            </w:r>
          </w:p>
        </w:tc>
        <w:tc>
          <w:tcPr>
            <w:tcW w:type="dxa" w:w="3905"/>
          </w:tcPr>
          <w:p>
            <w:pPr>
              <w:pStyle w:val="MDPI42tablebody"/>
              <w:jc w:val="left"/>
            </w:pPr>
            <w:r>
              <w:rPr>
                <w:sz w:val="18"/>
              </w:rPr>
              <w:t>Prospective sample-size calculation for development and for external validation, targeting precise estimates of discrimination and calibration</w:t>
            </w:r>
          </w:p>
        </w:tc>
        <w:tc>
          <w:tcPr>
            <w:tcW w:type="dxa" w:w="1348"/>
          </w:tcPr>
          <w:p>
            <w:pPr>
              <w:pStyle w:val="MDPI42tablebody"/>
            </w:pPr>
            <w:r>
              <w:rPr>
                <w:sz w:val="18"/>
              </w:rPr>
              <w:t>[17,65]</w:t>
            </w:r>
          </w:p>
        </w:tc>
      </w:tr>
      <w:tr>
        <w:tc>
          <w:tcPr>
            <w:tcW w:type="dxa" w:w="2604"/>
          </w:tcPr>
          <w:p>
            <w:pPr>
              <w:pStyle w:val="MDPI42tablebody"/>
              <w:jc w:val="left"/>
            </w:pPr>
            <w:r>
              <w:rPr>
                <w:sz w:val="18"/>
              </w:rPr>
              <w:t>Data leakage and non-nested feature selection or tuning</w:t>
            </w:r>
          </w:p>
        </w:tc>
        <w:tc>
          <w:tcPr>
            <w:tcW w:type="dxa" w:w="3905"/>
          </w:tcPr>
          <w:p>
            <w:pPr>
              <w:pStyle w:val="MDPI42tablebody"/>
              <w:jc w:val="left"/>
            </w:pPr>
            <w:r>
              <w:rPr>
                <w:sz w:val="18"/>
              </w:rPr>
              <w:t>Participant-level splitting; all data-driven steps nested within resampling; repeated windows kept within one partition</w:t>
            </w:r>
          </w:p>
        </w:tc>
        <w:tc>
          <w:tcPr>
            <w:tcW w:type="dxa" w:w="1348"/>
          </w:tcPr>
          <w:p>
            <w:pPr>
              <w:pStyle w:val="MDPI42tablebody"/>
            </w:pPr>
            <w:r>
              <w:rPr>
                <w:sz w:val="18"/>
              </w:rPr>
              <w:t>[8,10]</w:t>
            </w:r>
          </w:p>
        </w:tc>
      </w:tr>
      <w:tr>
        <w:tc>
          <w:tcPr>
            <w:tcW w:type="dxa" w:w="2604"/>
          </w:tcPr>
          <w:p>
            <w:pPr>
              <w:pStyle w:val="MDPI42tablebody"/>
              <w:jc w:val="left"/>
            </w:pPr>
            <w:r>
              <w:rPr>
                <w:sz w:val="18"/>
              </w:rPr>
              <w:t>Performance mostly estimated in development data; one independent-cohort evaluation</w:t>
            </w:r>
          </w:p>
        </w:tc>
        <w:tc>
          <w:tcPr>
            <w:tcW w:type="dxa" w:w="3905"/>
          </w:tcPr>
          <w:p>
            <w:pPr>
              <w:pStyle w:val="MDPI42tablebody"/>
              <w:jc w:val="left"/>
            </w:pPr>
            <w:r>
              <w:rPr>
                <w:sz w:val="18"/>
              </w:rPr>
              <w:t>Independent, multisite validation of fully specified models and signal-processing pipelines</w:t>
            </w:r>
          </w:p>
        </w:tc>
        <w:tc>
          <w:tcPr>
            <w:tcW w:type="dxa" w:w="1348"/>
          </w:tcPr>
          <w:p>
            <w:pPr>
              <w:pStyle w:val="MDPI42tablebody"/>
            </w:pPr>
            <w:r>
              <w:rPr>
                <w:sz w:val="18"/>
              </w:rPr>
              <w:t>[11,17]</w:t>
            </w:r>
          </w:p>
        </w:tc>
      </w:tr>
      <w:tr>
        <w:tc>
          <w:tcPr>
            <w:tcW w:type="dxa" w:w="2604"/>
          </w:tcPr>
          <w:p>
            <w:pPr>
              <w:pStyle w:val="MDPI42tablebody"/>
              <w:jc w:val="left"/>
            </w:pPr>
            <w:r>
              <w:rPr>
                <w:sz w:val="18"/>
              </w:rPr>
              <w:t>Calibration intercept and slope in 1/47 reports; no calibration plots (Brier scores or Hosmer–Lemeshow tests in three others; a qualitative survival comparison in one)</w:t>
            </w:r>
          </w:p>
        </w:tc>
        <w:tc>
          <w:tcPr>
            <w:tcW w:type="dxa" w:w="3905"/>
          </w:tcPr>
          <w:p>
            <w:pPr>
              <w:pStyle w:val="MDPI42tablebody"/>
              <w:jc w:val="left"/>
            </w:pPr>
            <w:r>
              <w:rPr>
                <w:sz w:val="18"/>
              </w:rPr>
              <w:t>Calibration-in-the-large, slope, and calibration plot with uncertainty</w:t>
            </w:r>
          </w:p>
        </w:tc>
        <w:tc>
          <w:tcPr>
            <w:tcW w:type="dxa" w:w="1348"/>
          </w:tcPr>
          <w:p>
            <w:pPr>
              <w:pStyle w:val="MDPI42tablebody"/>
            </w:pPr>
            <w:r>
              <w:rPr>
                <w:sz w:val="18"/>
              </w:rPr>
              <w:t>[66]</w:t>
            </w:r>
          </w:p>
        </w:tc>
      </w:tr>
      <w:tr>
        <w:tc>
          <w:tcPr>
            <w:tcW w:type="dxa" w:w="2604"/>
          </w:tcPr>
          <w:p>
            <w:pPr>
              <w:pStyle w:val="MDPI42tablebody"/>
              <w:jc w:val="left"/>
            </w:pPr>
            <w:r>
              <w:rPr>
                <w:sz w:val="18"/>
              </w:rPr>
              <w:t>No assessment of clinical utility</w:t>
            </w:r>
          </w:p>
        </w:tc>
        <w:tc>
          <w:tcPr>
            <w:tcW w:type="dxa" w:w="3905"/>
          </w:tcPr>
          <w:p>
            <w:pPr>
              <w:pStyle w:val="MDPI42tablebody"/>
              <w:jc w:val="left"/>
            </w:pPr>
            <w:r>
              <w:rPr>
                <w:sz w:val="18"/>
              </w:rPr>
              <w:t>Thresholds linked to a defined action; decision-curve and net-benefit analysis</w:t>
            </w:r>
          </w:p>
        </w:tc>
        <w:tc>
          <w:tcPr>
            <w:tcW w:type="dxa" w:w="1348"/>
          </w:tcPr>
          <w:p>
            <w:pPr>
              <w:pStyle w:val="MDPI42tablebody"/>
            </w:pPr>
            <w:r>
              <w:rPr>
                <w:sz w:val="18"/>
              </w:rPr>
              <w:t>[67]</w:t>
            </w:r>
          </w:p>
        </w:tc>
      </w:tr>
      <w:tr>
        <w:tc>
          <w:tcPr>
            <w:tcW w:type="dxa" w:w="2604"/>
          </w:tcPr>
          <w:p>
            <w:pPr>
              <w:pStyle w:val="MDPI42tablebody"/>
              <w:jc w:val="left"/>
            </w:pPr>
            <w:r>
              <w:rPr>
                <w:sz w:val="18"/>
              </w:rPr>
              <w:t>Heterogeneous fall definitions and ascertainment; no injurious-fall models</w:t>
            </w:r>
          </w:p>
        </w:tc>
        <w:tc>
          <w:tcPr>
            <w:tcW w:type="dxa" w:w="3905"/>
          </w:tcPr>
          <w:p>
            <w:pPr>
              <w:pStyle w:val="MDPI42tablebody"/>
              <w:jc w:val="left"/>
            </w:pPr>
            <w:r>
              <w:rPr>
                <w:sz w:val="18"/>
              </w:rPr>
              <w:t>Consensus fall definition, prospective daily calendars with regular follow-up, injurious-fall outcomes, competing events</w:t>
            </w:r>
          </w:p>
        </w:tc>
        <w:tc>
          <w:tcPr>
            <w:tcW w:type="dxa" w:w="1348"/>
          </w:tcPr>
          <w:p>
            <w:pPr>
              <w:pStyle w:val="MDPI42tablebody"/>
            </w:pPr>
            <w:r>
              <w:rPr>
                <w:sz w:val="18"/>
              </w:rPr>
              <w:t>[68]</w:t>
            </w:r>
          </w:p>
        </w:tc>
      </w:tr>
      <w:tr>
        <w:tc>
          <w:tcPr>
            <w:tcW w:type="dxa" w:w="2604"/>
          </w:tcPr>
          <w:p>
            <w:pPr>
              <w:pStyle w:val="MDPI42tablebody"/>
              <w:jc w:val="left"/>
            </w:pPr>
            <w:r>
              <w:rPr>
                <w:sz w:val="18"/>
              </w:rPr>
              <w:t>Added value over clinical information rarely quantified</w:t>
            </w:r>
          </w:p>
        </w:tc>
        <w:tc>
          <w:tcPr>
            <w:tcW w:type="dxa" w:w="3905"/>
          </w:tcPr>
          <w:p>
            <w:pPr>
              <w:pStyle w:val="MDPI42tablebody"/>
              <w:jc w:val="left"/>
            </w:pPr>
            <w:r>
              <w:rPr>
                <w:sz w:val="18"/>
              </w:rPr>
              <w:t>Comparison with a parsimonious clinical model (e.g., fall history and Timed Up and Go)</w:t>
            </w:r>
          </w:p>
        </w:tc>
        <w:tc>
          <w:tcPr>
            <w:tcW w:type="dxa" w:w="1348"/>
          </w:tcPr>
          <w:p>
            <w:pPr>
              <w:pStyle w:val="MDPI42tablebody"/>
            </w:pPr>
            <w:r>
              <w:rPr>
                <w:sz w:val="18"/>
              </w:rPr>
              <w:t>[2]</w:t>
            </w:r>
          </w:p>
        </w:tc>
      </w:tr>
      <w:tr>
        <w:tc>
          <w:tcPr>
            <w:tcW w:type="dxa" w:w="2604"/>
          </w:tcPr>
          <w:p>
            <w:pPr>
              <w:pStyle w:val="MDPI42tablebody"/>
              <w:jc w:val="left"/>
            </w:pPr>
            <w:r>
              <w:rPr>
                <w:sz w:val="18"/>
              </w:rPr>
              <w:t>Pipelines rarely reproducible</w:t>
            </w:r>
          </w:p>
        </w:tc>
        <w:tc>
          <w:tcPr>
            <w:tcW w:type="dxa" w:w="3905"/>
          </w:tcPr>
          <w:p>
            <w:pPr>
              <w:pStyle w:val="MDPI42tablebody"/>
              <w:jc w:val="left"/>
            </w:pPr>
            <w:r>
              <w:rPr>
                <w:sz w:val="18"/>
              </w:rPr>
              <w:t>Publication of device specifications, placement, wear-time rules, feature definitions, versioned code, and model equations; TRIPOD+AI reporting</w:t>
            </w:r>
          </w:p>
        </w:tc>
        <w:tc>
          <w:tcPr>
            <w:tcW w:type="dxa" w:w="1348"/>
          </w:tcPr>
          <w:p>
            <w:pPr>
              <w:pStyle w:val="MDPI42tablebody"/>
            </w:pPr>
            <w:r>
              <w:rPr>
                <w:sz w:val="18"/>
              </w:rPr>
              <w:t>[11]</w:t>
            </w:r>
          </w:p>
        </w:tc>
      </w:tr>
      <w:tr>
        <w:tc>
          <w:tcPr>
            <w:tcW w:type="dxa" w:w="2604"/>
          </w:tcPr>
          <w:p>
            <w:pPr>
              <w:pStyle w:val="MDPI42tablebody"/>
              <w:jc w:val="left"/>
            </w:pPr>
            <w:r>
              <w:rPr>
                <w:sz w:val="18"/>
              </w:rPr>
              <w:t>No impact evidence</w:t>
            </w:r>
          </w:p>
        </w:tc>
        <w:tc>
          <w:tcPr>
            <w:tcW w:type="dxa" w:w="3905"/>
          </w:tcPr>
          <w:p>
            <w:pPr>
              <w:pStyle w:val="MDPI42tablebody"/>
              <w:jc w:val="left"/>
            </w:pPr>
            <w:r>
              <w:rPr>
                <w:sz w:val="18"/>
              </w:rPr>
              <w:t>After successful validation, impact studies (e.g., cluster-randomized) measuring decisions, falls, and injuries</w:t>
            </w:r>
          </w:p>
        </w:tc>
        <w:tc>
          <w:tcPr>
            <w:tcW w:type="dxa" w:w="1348"/>
          </w:tcPr>
          <w:p>
            <w:pPr>
              <w:pStyle w:val="MDPI42tablebody"/>
            </w:pPr>
            <w:r>
              <w:rPr>
                <w:sz w:val="18"/>
              </w:rPr>
              <w:t>—</w:t>
            </w:r>
          </w:p>
        </w:tc>
      </w:tr>
    </w:tbl>
    <w:p>
      <w:pPr>
        <w:pStyle w:val="MDPI22heading2"/>
      </w:pPr>
      <w:r>
        <w:t>4.7. Strengths and Limitations</w:t>
      </w:r>
    </w:p>
    <w:p>
      <w:pPr>
        <w:pStyle w:val="MDPI31text"/>
      </w:pPr>
      <w:r>
        <w:t>This review has several strengths. It used a strict definition of prospective prediction, searched clinical and engineering databases, clustered overlapping publications, separated development from evaluation, documented study-specific reasons for every PROBAST+AI judgment, judged applicability against each model’s intended-use population, reported every representative-estimate selection, and tested the robustness of its summaries in sensitivity analyses. It preserved poor and null results rather than pooling non-exchangeable estimates.</w:t>
      </w:r>
    </w:p>
    <w:p>
      <w:pPr>
        <w:pStyle w:val="MDPI31text"/>
      </w:pPr>
      <w:r>
        <w:t>Some limitations should be considered. First, the database strategies required gait terminology in several sources; the known-item check identified one additional report, and other reports indexed only under mobility-test terms may have been missed. The supplementary sources (registries, dissertations, preprints, hand-searching, and author contact) were documented as aggregate yields rather than as source-level search histories. Restriction to English-language, peer-reviewed journal reports may have introduced language and publication bias. Second, screening, extraction, and appraisal used a verification design—each decision by one reviewer was checked by a second reviewer and cross-checked by the review team—rather than fully independent duplicate assessment, and inter-rater agreement statistics were therefore not calculated. Third, the complete article could not be obtained for 11 included reports; judgments for these reports were limited to the accessible material, unverifiable items are listed in Supplementary Table S3, and neither the performance summaries nor the risk-of-bias conclusions changed materially when these reports were excluded. Fourth, PROBAST+AI judgments refer to the principal gait-containing model of each report rather than to every model variant, and signalling-question responses are summarized as study-specific domain reasons. Fifth, a representative AUC was available for 24 of 37 cohort families, families without one were generally less completely reported, and the selection hierarchy was defined during analysis; the alternative-selection analyses bound its influence (medians 0.720–0.785). Finally, heterogeneity precluded meta-analysis, performance comparisons across strata are exploratory, and selective reporting could not be quantified.</w:t>
      </w:r>
    </w:p>
    <w:p>
      <w:pPr>
        <w:pStyle w:val="MDPI21heading1"/>
      </w:pPr>
      <w:r>
        <w:t>5. Conclusions</w:t>
      </w:r>
    </w:p>
    <w:p>
      <w:pPr>
        <w:pStyle w:val="MDPI31text"/>
      </w:pPr>
      <w:r>
        <w:t>Wearable- and vision-derived gait measures discriminated future fallers in development and internal-validation studies, particularly through gait variability, trunk stability, turning, and daily walking structure. Confidence in these estimates is low, however, because 45 of 47 evaluations were at high risk of bias and none at low risk, calibration and clinical utility were rarely or never assessed, and the only independent-cohort evaluation of published models found near-chance discrimination. The included evidence therefore does not establish readiness for routine clinical deployment. Progress depends on adequately powered, independent, multisite validation of fully specified sensor-to-model pipelines, with calibration, prespecified decision thresholds, net-benefit analysis, and subsequent impact evaluation.</w:t>
      </w:r>
    </w:p>
    <w:p>
      <w:pPr>
        <w:pStyle w:val="MDPI62backmatter"/>
      </w:pPr>
      <w:r>
        <w:rPr>
          <w:b/>
        </w:rPr>
        <w:t>Supplementary Materials:</w:t>
      </w:r>
      <w:r>
        <w:t xml:space="preserve"> The following supporting information can be downloaded at: https://www.mdpi.com/article/doi/s1, Table S1: Search strategies, interfaces, limits, dates, and yields; Table S2: Detailed data extraction for the 47 included reports; Table S3: Reports assessed without the complete article; Table S4: Excluded reports that might appear eligible, with reasons; Table S5: Cohort-overlap map; Table S6: Representative-estimate selection for each cohort family; Table S7: PROBAST+AI domain judgments with study-specific reasons; Table S8: Applicability judgments against the intended-use population; PRISMA 2020 checklist.</w:t>
      </w:r>
    </w:p>
    <w:p>
      <w:pPr>
        <w:pStyle w:val="MDPI62backmatter"/>
      </w:pPr>
      <w:r>
        <w:rPr>
          <w:b/>
        </w:rPr>
        <w:t>Author Contributions:</w:t>
      </w:r>
      <w:r>
        <w:t xml:space="preserve"> Conceptualization, M.S.A. and Y.H.J.; methodology, M.S.A., Y.H.J. and A.H.I.; validation, F.M.A.S. and M.G.A.; formal analysis, M.S.A. and A.H.I.; investigation, M.S.A., Y.H.J., F.M.A.S. and M.G.A.; data curation, A.H.I. and F.M.A.S.; writing—original draft preparation, M.S.A. and Y.H.J.; writing—review and editing, A.H.I., F.M.A.S. and M.G.A.; visualization, A.H.I.; supervision, Y.H.J.; project administration, Y.H.J.; funding acquisition, Y.H.J. All authors have read and agreed to the published version of the manuscript.</w:t>
      </w:r>
    </w:p>
    <w:p>
      <w:pPr>
        <w:pStyle w:val="MDPI62backmatter"/>
      </w:pPr>
      <w:r>
        <w:rPr>
          <w:b/>
        </w:rPr>
        <w:t>Funding:</w:t>
      </w:r>
      <w:r>
        <w:t xml:space="preserve"> This research was funded by the King Salman Center for Disability Research, grant number KSRG-2026-455.</w:t>
      </w:r>
    </w:p>
    <w:p>
      <w:pPr>
        <w:pStyle w:val="MDPI62backmatter"/>
      </w:pPr>
      <w:r>
        <w:rPr>
          <w:b/>
        </w:rPr>
        <w:t>Institutional Review Board Statement:</w:t>
      </w:r>
      <w:r>
        <w:t xml:space="preserve"> Not applicable; this systematic review analysed data from published studies.</w:t>
      </w:r>
    </w:p>
    <w:p>
      <w:pPr>
        <w:pStyle w:val="MDPI62backmatter"/>
      </w:pPr>
      <w:r>
        <w:rPr>
          <w:b/>
        </w:rPr>
        <w:t>Informed Consent Statement:</w:t>
      </w:r>
      <w:r>
        <w:t xml:space="preserve"> Not applicable.</w:t>
      </w:r>
    </w:p>
    <w:p>
      <w:pPr>
        <w:pStyle w:val="MDPI62backmatter"/>
      </w:pPr>
      <w:r>
        <w:rPr>
          <w:b/>
        </w:rPr>
        <w:t>Data Availability Statement:</w:t>
      </w:r>
      <w:r>
        <w:t xml:space="preserve"> All data extracted and analysed in this review, including the risk-of-bias reasons and the representative-estimate selections, are included in the article and its Supplementary Materials. Further information is available from the corresponding author upon reasonable request.</w:t>
      </w:r>
    </w:p>
    <w:p>
      <w:pPr>
        <w:pStyle w:val="MDPI62backmatter"/>
      </w:pPr>
      <w:r>
        <w:rPr>
          <w:b/>
        </w:rPr>
        <w:t>Acknowledgments:</w:t>
      </w:r>
      <w:r>
        <w:t xml:space="preserve"> The authors extend their appreciation to the King Salman Center for Disability Research for funding this work through Research Group Number KSRG-2026-455.</w:t>
      </w:r>
    </w:p>
    <w:p>
      <w:pPr>
        <w:pStyle w:val="MDPI62backmatter"/>
      </w:pPr>
      <w:r>
        <w:rPr>
          <w:b/>
        </w:rPr>
        <w:t>Conflicts of Interest:</w:t>
      </w:r>
      <w:r>
        <w:t xml:space="preserve"> The authors declare no conflicts of interest. The funders had no role in the design of the study; in the collection, analyses, or interpretation of data; in the writing of the manuscript; or in the decision to publish the results.</w:t>
      </w:r>
    </w:p>
    <w:p>
      <w:pPr>
        <w:pStyle w:val="MDPI21heading1"/>
      </w:pPr>
      <w:r>
        <w:t>Abbreviations</w:t>
      </w:r>
    </w:p>
    <w:p>
      <w:pPr>
        <w:pStyle w:val="MDPI32textnoindent"/>
      </w:pPr>
      <w:r>
        <w:t>The following abbreviations are used in this manuscript: AUC, area under the receiver operating characteristic curve; CHARMS, Critical Appraisal and Data Extraction for Systematic Reviews of Prediction Modelling Studies; CI, confidence interval; C-index, concordance index; FARAO, Fall Risk Assessment in Older Adults; GRADE, Grading of Recommendations Assessment, Development and Evaluation; IMU, inertial measurement unit; IQR, interquartile range; iTUG, instrumented Timed Up and Go; NR, not reported; PICOTS, population, index model, comparator, outcome, timing, and setting; PRISMA, Preferred Reporting Items for Systematic Reviews and Meta-Analyses; PROBAST+AI, Prediction model Risk Of Bias ASsessment Tool, updated for regression and artificial intelligence methods; QTUG, Quantitative Timed Up and Go; QUIPS, Quality In Prognosis Studies; RoB 2, Cochrane risk-of-bias tool for randomized trials; ROBINS-I, Risk Of Bias In Non-randomized Studies of Interventions; SD, standard deviation; TRIPOD+AI, Transparent Reporting of a multivariable prediction model for Individual Prognosis Or Diagnosis, updated for regression and machine learning methods; TRIPOD-SRMA, TRIPOD checklist for systematic reviews and meta-analyses; TUG, Timed Up and Go.</w:t>
      </w:r>
    </w:p>
    <w:p>
      <w:pPr>
        <w:pStyle w:val="MDPI21heading1"/>
      </w:pPr>
      <w:r>
        <w:t>References</w:t>
      </w:r>
    </w:p>
    <w:p>
      <w:pPr>
        <w:pStyle w:val="MDPI81references"/>
      </w:pPr>
      <w:r>
        <w:t>World Health Organization. Falls. Available online: https://www.who.int/news-room/fact-sheets/detail/falls (accessed on 30 July 2026).</w:t>
      </w:r>
    </w:p>
    <w:p>
      <w:pPr>
        <w:pStyle w:val="MDPI81references"/>
      </w:pPr>
      <w:r>
        <w:t xml:space="preserve">Montero-Odasso, M.; van der Velde, N.; Martin, F.C.; Petrovic, M.; Tan, M.P.; Ryg, J.; Aguilar-Navarro, S.; Alexander, N.B.; Becker, C.; Blain, H.; et al. World guidelines for falls prevention and management for older adults: A global initiative. </w:t>
      </w:r>
      <w:r>
        <w:rPr>
          <w:i/>
        </w:rPr>
        <w:t>Age Ageing</w:t>
      </w:r>
      <w:r>
        <w:t xml:space="preserve"> </w:t>
      </w:r>
      <w:r>
        <w:rPr>
          <w:b/>
        </w:rPr>
        <w:t>2022</w:t>
      </w:r>
      <w:r>
        <w:t xml:space="preserve">, </w:t>
      </w:r>
      <w:r>
        <w:rPr>
          <w:i/>
        </w:rPr>
        <w:t>51</w:t>
      </w:r>
      <w:r>
        <w:t>, afac205. https://doi.org/10.1093/ageing/afac205.</w:t>
      </w:r>
    </w:p>
    <w:p>
      <w:pPr>
        <w:pStyle w:val="MDPI81references"/>
      </w:pPr>
      <w:r>
        <w:t xml:space="preserve">Verghese, J.; Holtzer, R.; Lipton, R.B.; Wang, C. Quantitative gait markers and incident fall risk in older adults. </w:t>
      </w:r>
      <w:r>
        <w:rPr>
          <w:i/>
        </w:rPr>
        <w:t>J. Gerontol. A Biol. Sci. Med. Sci.</w:t>
      </w:r>
      <w:r>
        <w:t xml:space="preserve"> </w:t>
      </w:r>
      <w:r>
        <w:rPr>
          <w:b/>
        </w:rPr>
        <w:t>2009</w:t>
      </w:r>
      <w:r>
        <w:t xml:space="preserve">, </w:t>
      </w:r>
      <w:r>
        <w:rPr>
          <w:i/>
        </w:rPr>
        <w:t>64A</w:t>
      </w:r>
      <w:r>
        <w:t>, 896–901. https://doi.org/10.1093/gerona/glp033.</w:t>
      </w:r>
    </w:p>
    <w:p>
      <w:pPr>
        <w:pStyle w:val="MDPI81references"/>
      </w:pPr>
      <w:r>
        <w:t xml:space="preserve">Howcroft, J.; Kofman, J.; Lemaire, E.D. Review of fall risk assessment in geriatric populations using inertial sensors. </w:t>
      </w:r>
      <w:r>
        <w:rPr>
          <w:i/>
        </w:rPr>
        <w:t>J. Neuroeng. Rehabil.</w:t>
      </w:r>
      <w:r>
        <w:t xml:space="preserve"> </w:t>
      </w:r>
      <w:r>
        <w:rPr>
          <w:b/>
        </w:rPr>
        <w:t>2013</w:t>
      </w:r>
      <w:r>
        <w:t xml:space="preserve">, </w:t>
      </w:r>
      <w:r>
        <w:rPr>
          <w:i/>
        </w:rPr>
        <w:t>10</w:t>
      </w:r>
      <w:r>
        <w:t>, 91. https://doi.org/10.1186/1743-0003-10-91.</w:t>
      </w:r>
    </w:p>
    <w:p>
      <w:pPr>
        <w:pStyle w:val="MDPI81references"/>
      </w:pPr>
      <w:r>
        <w:t xml:space="preserve">Patel, M.; Pavic, A.; Goodwin, V.A. Wearable inertial sensors to measure gait and posture characteristic differences in older adult fallers and non-fallers: A scoping review. </w:t>
      </w:r>
      <w:r>
        <w:rPr>
          <w:i/>
        </w:rPr>
        <w:t>Gait Posture</w:t>
      </w:r>
      <w:r>
        <w:t xml:space="preserve"> </w:t>
      </w:r>
      <w:r>
        <w:rPr>
          <w:b/>
        </w:rPr>
        <w:t>2020</w:t>
      </w:r>
      <w:r>
        <w:t xml:space="preserve">, </w:t>
      </w:r>
      <w:r>
        <w:rPr>
          <w:i/>
        </w:rPr>
        <w:t>76</w:t>
      </w:r>
      <w:r>
        <w:t>, 110–121. https://doi.org/10.1016/j.gaitpost.2019.10.039.</w:t>
      </w:r>
    </w:p>
    <w:p>
      <w:pPr>
        <w:pStyle w:val="MDPI81references"/>
      </w:pPr>
      <w:r>
        <w:t xml:space="preserve">Han, X.; Guffanti, D.; Brunete, A. A comprehensive review of vision-based sensor systems for human gait analysis. </w:t>
      </w:r>
      <w:r>
        <w:rPr>
          <w:i/>
        </w:rPr>
        <w:t>Sensors</w:t>
      </w:r>
      <w:r>
        <w:t xml:space="preserve"> </w:t>
      </w:r>
      <w:r>
        <w:rPr>
          <w:b/>
        </w:rPr>
        <w:t>2025</w:t>
      </w:r>
      <w:r>
        <w:t xml:space="preserve">, </w:t>
      </w:r>
      <w:r>
        <w:rPr>
          <w:i/>
        </w:rPr>
        <w:t>25</w:t>
      </w:r>
      <w:r>
        <w:t>, 498. https://doi.org/10.3390/s25020498.</w:t>
      </w:r>
    </w:p>
    <w:p>
      <w:pPr>
        <w:pStyle w:val="MDPI81references"/>
      </w:pPr>
      <w:r>
        <w:t xml:space="preserve">Shany, T.; Wang, K.; Liu, Y.; Lovell, N.H.; Redmond, S.J. Review: Are we stumbling in our quest to find the best predictor? Over-optimism in sensor-based models for predicting falls in older adults. </w:t>
      </w:r>
      <w:r>
        <w:rPr>
          <w:i/>
        </w:rPr>
        <w:t>Healthc. Technol. Lett.</w:t>
      </w:r>
      <w:r>
        <w:t xml:space="preserve"> </w:t>
      </w:r>
      <w:r>
        <w:rPr>
          <w:b/>
        </w:rPr>
        <w:t>2015</w:t>
      </w:r>
      <w:r>
        <w:t xml:space="preserve">, </w:t>
      </w:r>
      <w:r>
        <w:rPr>
          <w:i/>
        </w:rPr>
        <w:t>2</w:t>
      </w:r>
      <w:r>
        <w:t>, 79–88. https://doi.org/10.1049/htl.2015.0019.</w:t>
      </w:r>
    </w:p>
    <w:p>
      <w:pPr>
        <w:pStyle w:val="MDPI81references"/>
      </w:pPr>
      <w:r>
        <w:t xml:space="preserve">Kapoor, S.; Narayanan, A. Leakage and the reproducibility crisis in machine-learning-based science. </w:t>
      </w:r>
      <w:r>
        <w:rPr>
          <w:i/>
        </w:rPr>
        <w:t>Patterns</w:t>
      </w:r>
      <w:r>
        <w:t xml:space="preserve"> </w:t>
      </w:r>
      <w:r>
        <w:rPr>
          <w:b/>
        </w:rPr>
        <w:t>2023</w:t>
      </w:r>
      <w:r>
        <w:t xml:space="preserve">, </w:t>
      </w:r>
      <w:r>
        <w:rPr>
          <w:i/>
        </w:rPr>
        <w:t>4</w:t>
      </w:r>
      <w:r>
        <w:t>, 100804. https://doi.org/10.1016/j.patter.2023.100804.</w:t>
      </w:r>
    </w:p>
    <w:p>
      <w:pPr>
        <w:pStyle w:val="MDPI81references"/>
      </w:pPr>
      <w:r>
        <w:t xml:space="preserve">Mou, C.; Yan, X.; Miao, X.; Zhu, L. Accuracy of wearable devices in predicting falls in older adults: A systematic review and meta-analysis. </w:t>
      </w:r>
      <w:r>
        <w:rPr>
          <w:i/>
        </w:rPr>
        <w:t>Front. Public Health</w:t>
      </w:r>
      <w:r>
        <w:t xml:space="preserve"> </w:t>
      </w:r>
      <w:r>
        <w:rPr>
          <w:b/>
        </w:rPr>
        <w:t>2026</w:t>
      </w:r>
      <w:r>
        <w:t xml:space="preserve">, </w:t>
      </w:r>
      <w:r>
        <w:rPr>
          <w:i/>
        </w:rPr>
        <w:t>14</w:t>
      </w:r>
      <w:r>
        <w:t>, 1778750. https://doi.org/10.3389/fpubh.2026.1778750.</w:t>
      </w:r>
    </w:p>
    <w:p>
      <w:pPr>
        <w:pStyle w:val="MDPI81references"/>
      </w:pPr>
      <w:r>
        <w:t xml:space="preserve">Moons, K.G.M.; Damen, J.A.A.G.; Kaul, T.; Hooft, L.; Andaur Navarro, C.; Dhiman, P.; Beam, A.L.; Van Calster, B.; Celi, L.A.; Denaxas, S.; et al. PROBAST+AI: An updated quality, risk of bias, and applicability assessment tool for prediction models using regression or artificial intelligence methods. </w:t>
      </w:r>
      <w:r>
        <w:rPr>
          <w:i/>
        </w:rPr>
        <w:t>BMJ</w:t>
      </w:r>
      <w:r>
        <w:t xml:space="preserve"> </w:t>
      </w:r>
      <w:r>
        <w:rPr>
          <w:b/>
        </w:rPr>
        <w:t>2025</w:t>
      </w:r>
      <w:r>
        <w:t xml:space="preserve">, </w:t>
      </w:r>
      <w:r>
        <w:rPr>
          <w:i/>
        </w:rPr>
        <w:t>388</w:t>
      </w:r>
      <w:r>
        <w:t>, e082505. https://doi.org/10.1136/bmj-2024-082505.</w:t>
      </w:r>
    </w:p>
    <w:p>
      <w:pPr>
        <w:pStyle w:val="MDPI81references"/>
      </w:pPr>
      <w:r>
        <w:t xml:space="preserve">Collins, G.S.; Moons, K.G.M.; Dhiman, P.; Riley, R.D.; Beam, A.L.; Van Calster, B.; Ghassemi, M.; Liu, X.; Reitsma, J.B.; van Smeden, M.; et al. TRIPOD+AI statement: Updated guidance for reporting clinical prediction models that use regression or machine learning methods. </w:t>
      </w:r>
      <w:r>
        <w:rPr>
          <w:i/>
        </w:rPr>
        <w:t>BMJ</w:t>
      </w:r>
      <w:r>
        <w:t xml:space="preserve"> </w:t>
      </w:r>
      <w:r>
        <w:rPr>
          <w:b/>
        </w:rPr>
        <w:t>2024</w:t>
      </w:r>
      <w:r>
        <w:t xml:space="preserve">, </w:t>
      </w:r>
      <w:r>
        <w:rPr>
          <w:i/>
        </w:rPr>
        <w:t>385</w:t>
      </w:r>
      <w:r>
        <w:t>, e078378. https://doi.org/10.1136/bmj-2023-078378.</w:t>
      </w:r>
    </w:p>
    <w:p>
      <w:pPr>
        <w:pStyle w:val="MDPI81references"/>
      </w:pPr>
      <w:r>
        <w:t xml:space="preserve">Page, M.J.; McKenzie, J.E.; Bossuyt, P.M.; Boutron, I.; Hoffmann, T.C.; Mulrow, C.D.; Shamseer, L.; Tetzlaff, J.M.; Akl, E.A.; Brennan, S.E.; et al. The PRISMA 2020 statement: An updated guideline for reporting systematic reviews. </w:t>
      </w:r>
      <w:r>
        <w:rPr>
          <w:i/>
        </w:rPr>
        <w:t>BMJ</w:t>
      </w:r>
      <w:r>
        <w:t xml:space="preserve"> </w:t>
      </w:r>
      <w:r>
        <w:rPr>
          <w:b/>
        </w:rPr>
        <w:t>2021</w:t>
      </w:r>
      <w:r>
        <w:t xml:space="preserve">, </w:t>
      </w:r>
      <w:r>
        <w:rPr>
          <w:i/>
        </w:rPr>
        <w:t>372</w:t>
      </w:r>
      <w:r>
        <w:t>, n71. https://doi.org/10.1136/bmj.n71.</w:t>
      </w:r>
    </w:p>
    <w:p>
      <w:pPr>
        <w:pStyle w:val="MDPI81references"/>
      </w:pPr>
      <w:r>
        <w:t xml:space="preserve">Snell, K.I.E.; Levis, B.; Damen, J.A.A.G.; Dhiman, P.; Debray, T.P.A.; Hooft, L.; Reitsma, J.B.; Moons, K.G.M.; Collins, G.S.; Riley, R.D. Transparent reporting of multivariable prediction models for individual prognosis or diagnosis: Checklist for systematic reviews and meta-analyses (TRIPOD-SRMA). </w:t>
      </w:r>
      <w:r>
        <w:rPr>
          <w:i/>
        </w:rPr>
        <w:t>BMJ</w:t>
      </w:r>
      <w:r>
        <w:t xml:space="preserve"> </w:t>
      </w:r>
      <w:r>
        <w:rPr>
          <w:b/>
        </w:rPr>
        <w:t>2023</w:t>
      </w:r>
      <w:r>
        <w:t xml:space="preserve">, </w:t>
      </w:r>
      <w:r>
        <w:rPr>
          <w:i/>
        </w:rPr>
        <w:t>381</w:t>
      </w:r>
      <w:r>
        <w:t>, e073538. https://doi.org/10.1136/bmj-2022-073538.</w:t>
      </w:r>
    </w:p>
    <w:p>
      <w:pPr>
        <w:pStyle w:val="MDPI81references"/>
      </w:pPr>
      <w:r>
        <w:t xml:space="preserve">Moons, K.G.M.; de Groot, J.A.H.; Bouwmeester, W.; Vergouwe, Y.; Mallett, S.; Altman, D.G.; Reitsma, J.B.; Collins, G.S. Critical appraisal and data extraction for systematic reviews of prediction modelling studies: The CHARMS checklist. </w:t>
      </w:r>
      <w:r>
        <w:rPr>
          <w:i/>
        </w:rPr>
        <w:t>PLoS Med.</w:t>
      </w:r>
      <w:r>
        <w:t xml:space="preserve"> </w:t>
      </w:r>
      <w:r>
        <w:rPr>
          <w:b/>
        </w:rPr>
        <w:t>2014</w:t>
      </w:r>
      <w:r>
        <w:t xml:space="preserve">, </w:t>
      </w:r>
      <w:r>
        <w:rPr>
          <w:i/>
        </w:rPr>
        <w:t>11</w:t>
      </w:r>
      <w:r>
        <w:t>, e1001744. https://doi.org/10.1371/journal.pmed.1001744.</w:t>
      </w:r>
    </w:p>
    <w:p>
      <w:pPr>
        <w:pStyle w:val="MDPI81references"/>
      </w:pPr>
      <w:r>
        <w:t xml:space="preserve">Suffoletto, B.; Ashenburg, N.; Losak, M.; Kim, D. Brief instrumented mobility testing improves fall risk stratification in older emergency department patients. </w:t>
      </w:r>
      <w:r>
        <w:rPr>
          <w:i/>
        </w:rPr>
        <w:t>Acad. Emerg. Med.</w:t>
      </w:r>
      <w:r>
        <w:t xml:space="preserve"> </w:t>
      </w:r>
      <w:r>
        <w:rPr>
          <w:b/>
        </w:rPr>
        <w:t>2026</w:t>
      </w:r>
      <w:r>
        <w:t xml:space="preserve">, </w:t>
      </w:r>
      <w:r>
        <w:rPr>
          <w:i/>
        </w:rPr>
        <w:t>33</w:t>
      </w:r>
      <w:r>
        <w:t>, e70259. https://doi.org/10.1111/acem.70259.</w:t>
      </w:r>
    </w:p>
    <w:p>
      <w:pPr>
        <w:pStyle w:val="MDPI81references"/>
      </w:pPr>
      <w:r>
        <w:t xml:space="preserve">Giardini, M.; Arcolin, I.; Baracco, S.; Corna, S.; Godi, M. Instrumented Timed Up and Go test: A reliable and valid tool for elderly with femur fracture. </w:t>
      </w:r>
      <w:r>
        <w:rPr>
          <w:i/>
        </w:rPr>
        <w:t>Gait Posture</w:t>
      </w:r>
      <w:r>
        <w:t xml:space="preserve"> </w:t>
      </w:r>
      <w:r>
        <w:rPr>
          <w:b/>
        </w:rPr>
        <w:t>2025</w:t>
      </w:r>
      <w:r>
        <w:t xml:space="preserve">, </w:t>
      </w:r>
      <w:r>
        <w:rPr>
          <w:i/>
        </w:rPr>
        <w:t>122</w:t>
      </w:r>
      <w:r>
        <w:t>, 375–381. https://doi.org/10.1016/j.gaitpost.2025.08.074.</w:t>
      </w:r>
    </w:p>
    <w:p>
      <w:pPr>
        <w:pStyle w:val="MDPI81references"/>
      </w:pPr>
      <w:r>
        <w:t xml:space="preserve">Riley, R.D.; Snell, K.I.E.; Archer, L.; Ensor, J.; Debray, T.P.A.; van Calster, B.; van Smeden, M.; Collins, G.S. Evaluation of clinical prediction models (part 3): Calculating the sample size required for an external validation study. </w:t>
      </w:r>
      <w:r>
        <w:rPr>
          <w:i/>
        </w:rPr>
        <w:t>BMJ</w:t>
      </w:r>
      <w:r>
        <w:t xml:space="preserve"> </w:t>
      </w:r>
      <w:r>
        <w:rPr>
          <w:b/>
        </w:rPr>
        <w:t>2024</w:t>
      </w:r>
      <w:r>
        <w:t xml:space="preserve">, </w:t>
      </w:r>
      <w:r>
        <w:rPr>
          <w:i/>
        </w:rPr>
        <w:t>384</w:t>
      </w:r>
      <w:r>
        <w:t>, e074821. https://doi.org/10.1136/bmj-2023-074821.</w:t>
      </w:r>
    </w:p>
    <w:p>
      <w:pPr>
        <w:pStyle w:val="MDPI81references"/>
      </w:pPr>
      <w:r>
        <w:t xml:space="preserve">Hanley, J.A.; McNeil, B.J. The meaning and use of the area under a receiver operating characteristic (ROC) curve. </w:t>
      </w:r>
      <w:r>
        <w:rPr>
          <w:i/>
        </w:rPr>
        <w:t>Radiology</w:t>
      </w:r>
      <w:r>
        <w:t xml:space="preserve"> </w:t>
      </w:r>
      <w:r>
        <w:rPr>
          <w:b/>
        </w:rPr>
        <w:t>1982</w:t>
      </w:r>
      <w:r>
        <w:t xml:space="preserve">, </w:t>
      </w:r>
      <w:r>
        <w:rPr>
          <w:i/>
        </w:rPr>
        <w:t>143</w:t>
      </w:r>
      <w:r>
        <w:t>, 29–36. https://doi.org/10.1148/radiology.143.1.7063747.</w:t>
      </w:r>
    </w:p>
    <w:p>
      <w:pPr>
        <w:pStyle w:val="MDPI81references"/>
      </w:pPr>
      <w:r>
        <w:t xml:space="preserve">Foroutan, F.; Mayer, M.; Guyatt, G.; Riley, R.D.; Mustafa, R.; Kreuzberger, N.; Skoetz, N.; Darzi, A.; Alba, A.C.; Mowbray, F.; et al. GRADE concept paper 8: Judging the certainty of discrimination performance estimates of prognostic models in a body of validation studies. </w:t>
      </w:r>
      <w:r>
        <w:rPr>
          <w:i/>
        </w:rPr>
        <w:t>J. Clin. Epidemiol.</w:t>
      </w:r>
      <w:r>
        <w:t xml:space="preserve"> </w:t>
      </w:r>
      <w:r>
        <w:rPr>
          <w:b/>
        </w:rPr>
        <w:t>2024</w:t>
      </w:r>
      <w:r>
        <w:t xml:space="preserve">, </w:t>
      </w:r>
      <w:r>
        <w:rPr>
          <w:i/>
        </w:rPr>
        <w:t>170</w:t>
      </w:r>
      <w:r>
        <w:t>, 111344. https://doi.org/10.1016/j.jclinepi.2024.111344.</w:t>
      </w:r>
    </w:p>
    <w:p>
      <w:pPr>
        <w:pStyle w:val="MDPI81references"/>
      </w:pPr>
      <w:r>
        <w:t xml:space="preserve">Marschollek, M.; Rehwald, A.; Wolf, K.H.; Gietzelt, M.; Nemitz, G.; Meyer zu Schwabedissen, H.; Haux, R. Sensor-based fall risk assessment—An expert “to go”. </w:t>
      </w:r>
      <w:r>
        <w:rPr>
          <w:i/>
        </w:rPr>
        <w:t>Methods Inf. Med.</w:t>
      </w:r>
      <w:r>
        <w:t xml:space="preserve"> </w:t>
      </w:r>
      <w:r>
        <w:rPr>
          <w:b/>
        </w:rPr>
        <w:t>2011</w:t>
      </w:r>
      <w:r>
        <w:t xml:space="preserve">, </w:t>
      </w:r>
      <w:r>
        <w:rPr>
          <w:i/>
        </w:rPr>
        <w:t>50</w:t>
      </w:r>
      <w:r>
        <w:t>, 420–426. https://doi.org/10.3414/ME10-01-0040.</w:t>
      </w:r>
    </w:p>
    <w:p>
      <w:pPr>
        <w:pStyle w:val="MDPI81references"/>
      </w:pPr>
      <w:r>
        <w:t xml:space="preserve">Marschollek, M.; Rehwald, A.; Wolf, K.H.; Gietzelt, M.; Nemitz, G.; Meyer zu Schwabedissen, H.; Schulze, M. Sensors vs. experts—A performance comparison of sensor-based fall risk assessment vs. conventional assessment in a sample of geriatric patients. </w:t>
      </w:r>
      <w:r>
        <w:rPr>
          <w:i/>
        </w:rPr>
        <w:t>BMC Med. Inform. Decis. Mak.</w:t>
      </w:r>
      <w:r>
        <w:t xml:space="preserve"> </w:t>
      </w:r>
      <w:r>
        <w:rPr>
          <w:b/>
        </w:rPr>
        <w:t>2011</w:t>
      </w:r>
      <w:r>
        <w:t xml:space="preserve">, </w:t>
      </w:r>
      <w:r>
        <w:rPr>
          <w:i/>
        </w:rPr>
        <w:t>11</w:t>
      </w:r>
      <w:r>
        <w:t>, 48. https://doi.org/10.1186/1472-6947-11-48.</w:t>
      </w:r>
    </w:p>
    <w:p>
      <w:pPr>
        <w:pStyle w:val="MDPI81references"/>
      </w:pPr>
      <w:r>
        <w:t xml:space="preserve">Greene, B.R.; Doheny, E.P.; Walsh, C.; Cunningham, C.; Crosby, L.; Kenny, R.A. Evaluation of falls risk in community-dwelling older adults using body-worn sensors. </w:t>
      </w:r>
      <w:r>
        <w:rPr>
          <w:i/>
        </w:rPr>
        <w:t>Gerontology</w:t>
      </w:r>
      <w:r>
        <w:t xml:space="preserve"> </w:t>
      </w:r>
      <w:r>
        <w:rPr>
          <w:b/>
        </w:rPr>
        <w:t>2012</w:t>
      </w:r>
      <w:r>
        <w:t xml:space="preserve">, </w:t>
      </w:r>
      <w:r>
        <w:rPr>
          <w:i/>
        </w:rPr>
        <w:t>58</w:t>
      </w:r>
      <w:r>
        <w:t>, 472–480. https://doi.org/10.1159/000337259.</w:t>
      </w:r>
    </w:p>
    <w:p>
      <w:pPr>
        <w:pStyle w:val="MDPI81references"/>
      </w:pPr>
      <w:r>
        <w:t xml:space="preserve">Weiss, A.; Brozgol, M.; Dorfman, M.; Herman, T.; Shema, S.; Giladi, N.; Hausdorff, J.M. Does the evaluation of gait quality during daily life provide insight into fall risk? A novel approach using 3-day accelerometer recordings. </w:t>
      </w:r>
      <w:r>
        <w:rPr>
          <w:i/>
        </w:rPr>
        <w:t>Neurorehabil. Neural Repair</w:t>
      </w:r>
      <w:r>
        <w:t xml:space="preserve"> </w:t>
      </w:r>
      <w:r>
        <w:rPr>
          <w:b/>
        </w:rPr>
        <w:t>2013</w:t>
      </w:r>
      <w:r>
        <w:t xml:space="preserve">, </w:t>
      </w:r>
      <w:r>
        <w:rPr>
          <w:i/>
        </w:rPr>
        <w:t>27</w:t>
      </w:r>
      <w:r>
        <w:t>, 742–752. https://doi.org/10.1177/1545968313491004.</w:t>
      </w:r>
    </w:p>
    <w:p>
      <w:pPr>
        <w:pStyle w:val="MDPI81references"/>
      </w:pPr>
      <w:r>
        <w:t xml:space="preserve">Schwesig, R.; Fischer, D.; Lauenroth, A.; Becker, S.; Leuchte, S. Can falls be predicted with gait analytical and posturographic measurement systems? A prospective follow-up study in a nursing home population. </w:t>
      </w:r>
      <w:r>
        <w:rPr>
          <w:i/>
        </w:rPr>
        <w:t>Clin. Rehabil.</w:t>
      </w:r>
      <w:r>
        <w:t xml:space="preserve"> </w:t>
      </w:r>
      <w:r>
        <w:rPr>
          <w:b/>
        </w:rPr>
        <w:t>2013</w:t>
      </w:r>
      <w:r>
        <w:t xml:space="preserve">, </w:t>
      </w:r>
      <w:r>
        <w:rPr>
          <w:i/>
        </w:rPr>
        <w:t>27</w:t>
      </w:r>
      <w:r>
        <w:t>, 183–190. https://doi.org/10.1177/0269215512452880.</w:t>
      </w:r>
    </w:p>
    <w:p>
      <w:pPr>
        <w:pStyle w:val="MDPI81references"/>
      </w:pPr>
      <w:r>
        <w:t xml:space="preserve">Doi, T.; Hirata, S.; Ono, R.; Tsutsumimoto, K.; Misu, S.; Ando, H. The harmonic ratio of trunk acceleration predicts falling among older people: Results of a 1-year prospective study. </w:t>
      </w:r>
      <w:r>
        <w:rPr>
          <w:i/>
        </w:rPr>
        <w:t>J. Neuroeng. Rehabil.</w:t>
      </w:r>
      <w:r>
        <w:t xml:space="preserve"> </w:t>
      </w:r>
      <w:r>
        <w:rPr>
          <w:b/>
        </w:rPr>
        <w:t>2013</w:t>
      </w:r>
      <w:r>
        <w:t xml:space="preserve">, </w:t>
      </w:r>
      <w:r>
        <w:rPr>
          <w:i/>
        </w:rPr>
        <w:t>10</w:t>
      </w:r>
      <w:r>
        <w:t>, 7. https://doi.org/10.1186/1743-0003-10-7.</w:t>
      </w:r>
    </w:p>
    <w:p>
      <w:pPr>
        <w:pStyle w:val="MDPI81references"/>
      </w:pPr>
      <w:r>
        <w:t xml:space="preserve">Mignardot, J.-B.; Deschamps, T.; Barrey, E.; Auvinet, B.; Berrut, G.; Cornu, C.; Constans, T.; de Decker, L. Gait disturbances as specific predictive markers of the first fall onset in elderly people: A two-year prospective observational study. </w:t>
      </w:r>
      <w:r>
        <w:rPr>
          <w:i/>
        </w:rPr>
        <w:t>Front. Aging Neurosci.</w:t>
      </w:r>
      <w:r>
        <w:t xml:space="preserve"> </w:t>
      </w:r>
      <w:r>
        <w:rPr>
          <w:b/>
        </w:rPr>
        <w:t>2014</w:t>
      </w:r>
      <w:r>
        <w:t xml:space="preserve">, </w:t>
      </w:r>
      <w:r>
        <w:rPr>
          <w:i/>
        </w:rPr>
        <w:t>6</w:t>
      </w:r>
      <w:r>
        <w:t>, 22. https://doi.org/10.3389/fnagi.2014.00022.</w:t>
      </w:r>
    </w:p>
    <w:p>
      <w:pPr>
        <w:pStyle w:val="MDPI81references"/>
      </w:pPr>
      <w:r>
        <w:t xml:space="preserve">Schwenk, M.; Hauer, K.; Zieschang, T.; Englert, S.; Mohler, J.; Najafi, B. Sensor-derived physical activity parameters can predict future falls in people with dementia. </w:t>
      </w:r>
      <w:r>
        <w:rPr>
          <w:i/>
        </w:rPr>
        <w:t>Gerontology</w:t>
      </w:r>
      <w:r>
        <w:t xml:space="preserve"> </w:t>
      </w:r>
      <w:r>
        <w:rPr>
          <w:b/>
        </w:rPr>
        <w:t>2014</w:t>
      </w:r>
      <w:r>
        <w:t xml:space="preserve">, </w:t>
      </w:r>
      <w:r>
        <w:rPr>
          <w:i/>
        </w:rPr>
        <w:t>60</w:t>
      </w:r>
      <w:r>
        <w:t>, 483–492. https://doi.org/10.1159/000363136.</w:t>
      </w:r>
    </w:p>
    <w:p>
      <w:pPr>
        <w:pStyle w:val="MDPI81references"/>
      </w:pPr>
      <w:r>
        <w:t xml:space="preserve">van Schooten, K.S.; Pijnappels, M.; Rispens, S.M.; Elders, P.J.M.; Lips, P.; van Dieën, J.H. Ambulatory fall-risk assessment: Amount and quality of daily-life gait predict falls in older adults. </w:t>
      </w:r>
      <w:r>
        <w:rPr>
          <w:i/>
        </w:rPr>
        <w:t>J. Gerontol. A Biol. Sci. Med. Sci.</w:t>
      </w:r>
      <w:r>
        <w:t xml:space="preserve"> </w:t>
      </w:r>
      <w:r>
        <w:rPr>
          <w:b/>
        </w:rPr>
        <w:t>2015</w:t>
      </w:r>
      <w:r>
        <w:t xml:space="preserve">, </w:t>
      </w:r>
      <w:r>
        <w:rPr>
          <w:i/>
        </w:rPr>
        <w:t>70</w:t>
      </w:r>
      <w:r>
        <w:t>, 608–615. https://doi.org/10.1093/gerona/glu225.</w:t>
      </w:r>
    </w:p>
    <w:p>
      <w:pPr>
        <w:pStyle w:val="MDPI81references"/>
      </w:pPr>
      <w:r>
        <w:t xml:space="preserve">van Schooten, K.S.; Pijnappels, M.; Rispens, S.M.; Elders, P.J.M.; Lips, P.; Daffertshofer, A.; Beek, P.J.; van Dieën, J.H. Daily-life gait quality as predictor of falls in older people: A 1-year prospective cohort study. </w:t>
      </w:r>
      <w:r>
        <w:rPr>
          <w:i/>
        </w:rPr>
        <w:t>PLoS ONE</w:t>
      </w:r>
      <w:r>
        <w:t xml:space="preserve"> </w:t>
      </w:r>
      <w:r>
        <w:rPr>
          <w:b/>
        </w:rPr>
        <w:t>2016</w:t>
      </w:r>
      <w:r>
        <w:t xml:space="preserve">, </w:t>
      </w:r>
      <w:r>
        <w:rPr>
          <w:i/>
        </w:rPr>
        <w:t>11</w:t>
      </w:r>
      <w:r>
        <w:t>, e0158623. https://doi.org/10.1371/journal.pone.0158623.</w:t>
      </w:r>
    </w:p>
    <w:p>
      <w:pPr>
        <w:pStyle w:val="MDPI81references"/>
      </w:pPr>
      <w:r>
        <w:t xml:space="preserve">Howcroft, J.; Kofman, J.; Lemaire, E.D. Prospective fall-risk prediction models for older adults based on wearable sensors. </w:t>
      </w:r>
      <w:r>
        <w:rPr>
          <w:i/>
        </w:rPr>
        <w:t>IEEE Trans. Neural Syst. Rehabil. Eng.</w:t>
      </w:r>
      <w:r>
        <w:t xml:space="preserve"> </w:t>
      </w:r>
      <w:r>
        <w:rPr>
          <w:b/>
        </w:rPr>
        <w:t>2017</w:t>
      </w:r>
      <w:r>
        <w:t xml:space="preserve">, </w:t>
      </w:r>
      <w:r>
        <w:rPr>
          <w:i/>
        </w:rPr>
        <w:t>25</w:t>
      </w:r>
      <w:r>
        <w:t>, 1812–1820. https://doi.org/10.1109/TNSRE.2017.2687100.</w:t>
      </w:r>
    </w:p>
    <w:p>
      <w:pPr>
        <w:pStyle w:val="MDPI81references"/>
      </w:pPr>
      <w:r>
        <w:t xml:space="preserve">Drover, D.; Howcroft, J.; Kofman, J.; Lemaire, E.D. Faller classification in older adults using wearable sensors based on turn and straight-walking accelerometer-based features. </w:t>
      </w:r>
      <w:r>
        <w:rPr>
          <w:i/>
        </w:rPr>
        <w:t>Sensors</w:t>
      </w:r>
      <w:r>
        <w:t xml:space="preserve"> </w:t>
      </w:r>
      <w:r>
        <w:rPr>
          <w:b/>
        </w:rPr>
        <w:t>2017</w:t>
      </w:r>
      <w:r>
        <w:t xml:space="preserve">, </w:t>
      </w:r>
      <w:r>
        <w:rPr>
          <w:i/>
        </w:rPr>
        <w:t>17</w:t>
      </w:r>
      <w:r>
        <w:t>, 1321. https://doi.org/10.3390/s17061321.</w:t>
      </w:r>
    </w:p>
    <w:p>
      <w:pPr>
        <w:pStyle w:val="MDPI81references"/>
      </w:pPr>
      <w:r>
        <w:t xml:space="preserve">Greene, B.R.; Caulfield, B.; Lamichhane, D.; Bond, W.; Svendsen, J.; Zurski, C.; Pratt, D. Longitudinal assessment of falls in patients with Parkinson’s disease using inertial sensors and the Timed Up and Go test. </w:t>
      </w:r>
      <w:r>
        <w:rPr>
          <w:i/>
        </w:rPr>
        <w:t>J. Rehabil. Assist. Technol. Eng.</w:t>
      </w:r>
      <w:r>
        <w:t xml:space="preserve"> </w:t>
      </w:r>
      <w:r>
        <w:rPr>
          <w:b/>
        </w:rPr>
        <w:t>2018</w:t>
      </w:r>
      <w:r>
        <w:t xml:space="preserve">, </w:t>
      </w:r>
      <w:r>
        <w:rPr>
          <w:i/>
        </w:rPr>
        <w:t>5</w:t>
      </w:r>
      <w:r>
        <w:t>, 2055668317750811. https://doi.org/10.1177/2055668317750811.</w:t>
      </w:r>
    </w:p>
    <w:p>
      <w:pPr>
        <w:pStyle w:val="MDPI81references"/>
      </w:pPr>
      <w:r>
        <w:t xml:space="preserve">Ihlen, E.A.F.; van Schooten, K.S.; Bruijn, S.M.; van Dieën, J.H.; Vereijken, B.; Helbostad, J.L.; Pijnappels, M. Improved prediction of falls in community-dwelling older adults through phase-dependent entropy of daily-life walking. </w:t>
      </w:r>
      <w:r>
        <w:rPr>
          <w:i/>
        </w:rPr>
        <w:t>Front. Aging Neurosci.</w:t>
      </w:r>
      <w:r>
        <w:t xml:space="preserve"> </w:t>
      </w:r>
      <w:r>
        <w:rPr>
          <w:b/>
        </w:rPr>
        <w:t>2018</w:t>
      </w:r>
      <w:r>
        <w:t xml:space="preserve">, </w:t>
      </w:r>
      <w:r>
        <w:rPr>
          <w:i/>
        </w:rPr>
        <w:t>10</w:t>
      </w:r>
      <w:r>
        <w:t>, 44. https://doi.org/10.3389/fnagi.2018.00044.</w:t>
      </w:r>
    </w:p>
    <w:p>
      <w:pPr>
        <w:pStyle w:val="MDPI81references"/>
      </w:pPr>
      <w:r>
        <w:t xml:space="preserve">Nait Aicha, A.; Englebienne, G.; van Schooten, K.S.; Pijnappels, M.; Kröse, B. Deep learning to predict falls in older adults based on daily-life trunk accelerometry. </w:t>
      </w:r>
      <w:r>
        <w:rPr>
          <w:i/>
        </w:rPr>
        <w:t>Sensors</w:t>
      </w:r>
      <w:r>
        <w:t xml:space="preserve"> </w:t>
      </w:r>
      <w:r>
        <w:rPr>
          <w:b/>
        </w:rPr>
        <w:t>2018</w:t>
      </w:r>
      <w:r>
        <w:t xml:space="preserve">, </w:t>
      </w:r>
      <w:r>
        <w:rPr>
          <w:i/>
        </w:rPr>
        <w:t>18</w:t>
      </w:r>
      <w:r>
        <w:t>, 1654. https://doi.org/10.3390/s18051654.</w:t>
      </w:r>
    </w:p>
    <w:p>
      <w:pPr>
        <w:pStyle w:val="MDPI81references"/>
      </w:pPr>
      <w:r>
        <w:t xml:space="preserve">Howcroft, J.; Lemaire, E.D.; Kofman, J. Prospective elderly fall prediction by older-adult fall-risk modeling with feature selection. </w:t>
      </w:r>
      <w:r>
        <w:rPr>
          <w:i/>
        </w:rPr>
        <w:t>Biomed. Signal Process. Control</w:t>
      </w:r>
      <w:r>
        <w:t xml:space="preserve"> </w:t>
      </w:r>
      <w:r>
        <w:rPr>
          <w:b/>
        </w:rPr>
        <w:t>2018</w:t>
      </w:r>
      <w:r>
        <w:t xml:space="preserve">, </w:t>
      </w:r>
      <w:r>
        <w:rPr>
          <w:i/>
        </w:rPr>
        <w:t>43</w:t>
      </w:r>
      <w:r>
        <w:t>, 320–328. https://doi.org/10.1016/j.bspc.2018.03.005.</w:t>
      </w:r>
    </w:p>
    <w:p>
      <w:pPr>
        <w:pStyle w:val="MDPI81references"/>
      </w:pPr>
      <w:r>
        <w:t xml:space="preserve">Bizovska, L.; Svoboda, Z.; Janura, M.; Bisi, M.C.; Vuillerme, N. Local dynamic stability during gait for predicting falls in elderly people: A one-year prospective study. </w:t>
      </w:r>
      <w:r>
        <w:rPr>
          <w:i/>
        </w:rPr>
        <w:t>PLoS ONE</w:t>
      </w:r>
      <w:r>
        <w:t xml:space="preserve"> </w:t>
      </w:r>
      <w:r>
        <w:rPr>
          <w:b/>
        </w:rPr>
        <w:t>2018</w:t>
      </w:r>
      <w:r>
        <w:t xml:space="preserve">, </w:t>
      </w:r>
      <w:r>
        <w:rPr>
          <w:i/>
        </w:rPr>
        <w:t>13</w:t>
      </w:r>
      <w:r>
        <w:t>, e0197091. https://doi.org/10.1371/journal.pone.0197091.</w:t>
      </w:r>
    </w:p>
    <w:p>
      <w:pPr>
        <w:pStyle w:val="MDPI81references"/>
      </w:pPr>
      <w:r>
        <w:t xml:space="preserve">Marques, N.R.; Spinoso, D.H.; Cardoso, B.C.; Moreno, V.C.; Kuroda, M.H.; Navega, M.T. Is it possible to predict falls in older adults using gait kinematics? </w:t>
      </w:r>
      <w:r>
        <w:rPr>
          <w:i/>
        </w:rPr>
        <w:t>Clin. Biomech.</w:t>
      </w:r>
      <w:r>
        <w:t xml:space="preserve"> </w:t>
      </w:r>
      <w:r>
        <w:rPr>
          <w:b/>
        </w:rPr>
        <w:t>2018</w:t>
      </w:r>
      <w:r>
        <w:t xml:space="preserve">, </w:t>
      </w:r>
      <w:r>
        <w:rPr>
          <w:i/>
        </w:rPr>
        <w:t>59</w:t>
      </w:r>
      <w:r>
        <w:t>, 15–18. https://doi.org/10.1016/j.clinbiomech.2018.08.006.</w:t>
      </w:r>
    </w:p>
    <w:p>
      <w:pPr>
        <w:pStyle w:val="MDPI81references"/>
      </w:pPr>
      <w:r>
        <w:t xml:space="preserve">Lo, C.; Arora, S.; Baig, F.; Lawton, M.A.; El Mouden, C.; Barber, T.R.; Ruffmann, C.; Klein, J.C.; Brown, P.; Ben-Shlomo, Y.; et al. Predicting motor, cognitive &amp; functional impairment in Parkinson’s. </w:t>
      </w:r>
      <w:r>
        <w:rPr>
          <w:i/>
        </w:rPr>
        <w:t>Ann. Clin. Transl. Neurol.</w:t>
      </w:r>
      <w:r>
        <w:t xml:space="preserve"> </w:t>
      </w:r>
      <w:r>
        <w:rPr>
          <w:b/>
        </w:rPr>
        <w:t>2019</w:t>
      </w:r>
      <w:r>
        <w:t xml:space="preserve">, </w:t>
      </w:r>
      <w:r>
        <w:rPr>
          <w:i/>
        </w:rPr>
        <w:t>6</w:t>
      </w:r>
      <w:r>
        <w:t>, 1498–1509. https://doi.org/10.1002/acn3.50853.</w:t>
      </w:r>
    </w:p>
    <w:p>
      <w:pPr>
        <w:pStyle w:val="MDPI81references"/>
      </w:pPr>
      <w:r>
        <w:t xml:space="preserve">Marques, N.R.; Camilo, G.F.; de Martini Lopes dos Santos, A.P.; Cardoso, B.C.; Navega, M.T.; de Abreu, D.C.C. The ability of gait kinematic parameters to predict falls in older adults with cognitive impairments living in long term institutions. </w:t>
      </w:r>
      <w:r>
        <w:rPr>
          <w:i/>
        </w:rPr>
        <w:t>Clin. Biomech.</w:t>
      </w:r>
      <w:r>
        <w:t xml:space="preserve"> </w:t>
      </w:r>
      <w:r>
        <w:rPr>
          <w:b/>
        </w:rPr>
        <w:t>2019</w:t>
      </w:r>
      <w:r>
        <w:t xml:space="preserve">, </w:t>
      </w:r>
      <w:r>
        <w:rPr>
          <w:i/>
        </w:rPr>
        <w:t>65</w:t>
      </w:r>
      <w:r>
        <w:t>, 123–127. https://doi.org/10.1016/j.clinbiomech.2019.04.011.</w:t>
      </w:r>
    </w:p>
    <w:p>
      <w:pPr>
        <w:pStyle w:val="MDPI81references"/>
      </w:pPr>
      <w:r>
        <w:t xml:space="preserve">Gillain, S.; Boutaayamou, M.; Schwartz, C.; Brüls, O.; Bruyère, O.; Croisier, J.-L.; Salmon, E.; Reginster, J.-Y.; Garraux, G.; Petermans, J. Using supervised learning machine algorithm to identify future fallers based on gait patterns: A two-year longitudinal study. </w:t>
      </w:r>
      <w:r>
        <w:rPr>
          <w:i/>
        </w:rPr>
        <w:t>Exp. Gerontol.</w:t>
      </w:r>
      <w:r>
        <w:t xml:space="preserve"> </w:t>
      </w:r>
      <w:r>
        <w:rPr>
          <w:b/>
        </w:rPr>
        <w:t>2019</w:t>
      </w:r>
      <w:r>
        <w:t xml:space="preserve">, </w:t>
      </w:r>
      <w:r>
        <w:rPr>
          <w:i/>
        </w:rPr>
        <w:t>127</w:t>
      </w:r>
      <w:r>
        <w:t>, 110730. https://doi.org/10.1016/j.exger.2019.110730.</w:t>
      </w:r>
    </w:p>
    <w:p>
      <w:pPr>
        <w:pStyle w:val="MDPI81references"/>
      </w:pPr>
      <w:r>
        <w:t xml:space="preserve">Buisseret, F.; Catinus, L.; Grenard, R.; Jojczyk, L.; Fievez, D.; Barvaux, V.; Dierick, F. Timed Up and Go and Six-Minute Walking Tests with wearable inertial sensor: One step further for the prediction of the risk of fall in elderly nursing home people. </w:t>
      </w:r>
      <w:r>
        <w:rPr>
          <w:i/>
        </w:rPr>
        <w:t>Sensors</w:t>
      </w:r>
      <w:r>
        <w:t xml:space="preserve"> </w:t>
      </w:r>
      <w:r>
        <w:rPr>
          <w:b/>
        </w:rPr>
        <w:t>2020</w:t>
      </w:r>
      <w:r>
        <w:t xml:space="preserve">, </w:t>
      </w:r>
      <w:r>
        <w:rPr>
          <w:i/>
        </w:rPr>
        <w:t>20</w:t>
      </w:r>
      <w:r>
        <w:t>, 3207. https://doi.org/10.3390/s20113207.</w:t>
      </w:r>
    </w:p>
    <w:p>
      <w:pPr>
        <w:pStyle w:val="MDPI81references"/>
      </w:pPr>
      <w:r>
        <w:t xml:space="preserve">Silva, J.; Sousa, I.; Cardoso, J.S. Fusion of clinical, self-reported, and multisensor data for predicting falls. </w:t>
      </w:r>
      <w:r>
        <w:rPr>
          <w:i/>
        </w:rPr>
        <w:t>IEEE J. Biomed. Health Inform.</w:t>
      </w:r>
      <w:r>
        <w:t xml:space="preserve"> </w:t>
      </w:r>
      <w:r>
        <w:rPr>
          <w:b/>
        </w:rPr>
        <w:t>2020</w:t>
      </w:r>
      <w:r>
        <w:t xml:space="preserve">, </w:t>
      </w:r>
      <w:r>
        <w:rPr>
          <w:i/>
        </w:rPr>
        <w:t>24</w:t>
      </w:r>
      <w:r>
        <w:t>, 50–56. https://doi.org/10.1109/JBHI.2019.2951230.</w:t>
      </w:r>
    </w:p>
    <w:p>
      <w:pPr>
        <w:pStyle w:val="MDPI81references"/>
      </w:pPr>
      <w:r>
        <w:t xml:space="preserve">Sturchio, A.; Dwivedi, A.K.; Marsili, L.; Hadley, A.; Sobrero, G.; Heldman, D.; Maule, S.; Lopiano, L.; Comi, C.; Versino, M.; et al. Kinematic but not clinical measures predict falls in Parkinson-related orthostatic hypotension. </w:t>
      </w:r>
      <w:r>
        <w:rPr>
          <w:i/>
        </w:rPr>
        <w:t>J. Neurol.</w:t>
      </w:r>
      <w:r>
        <w:t xml:space="preserve"> </w:t>
      </w:r>
      <w:r>
        <w:rPr>
          <w:b/>
        </w:rPr>
        <w:t>2021</w:t>
      </w:r>
      <w:r>
        <w:t xml:space="preserve">, </w:t>
      </w:r>
      <w:r>
        <w:rPr>
          <w:i/>
        </w:rPr>
        <w:t>268</w:t>
      </w:r>
      <w:r>
        <w:t>, 1006–1015. https://doi.org/10.1007/s00415-020-10240-8.</w:t>
      </w:r>
    </w:p>
    <w:p>
      <w:pPr>
        <w:pStyle w:val="MDPI81references"/>
      </w:pPr>
      <w:r>
        <w:t xml:space="preserve">Bet, P.; Castro, P.C.; Ponti, M.A. Foreseeing future falls with accelerometer features in active community-dwelling older persons with no recent history of falls. </w:t>
      </w:r>
      <w:r>
        <w:rPr>
          <w:i/>
        </w:rPr>
        <w:t>Exp. Gerontol.</w:t>
      </w:r>
      <w:r>
        <w:t xml:space="preserve"> </w:t>
      </w:r>
      <w:r>
        <w:rPr>
          <w:b/>
        </w:rPr>
        <w:t>2021</w:t>
      </w:r>
      <w:r>
        <w:t xml:space="preserve">, </w:t>
      </w:r>
      <w:r>
        <w:rPr>
          <w:i/>
        </w:rPr>
        <w:t>143</w:t>
      </w:r>
      <w:r>
        <w:t>, 111139. https://doi.org/10.1016/j.exger.2020.111139.</w:t>
      </w:r>
    </w:p>
    <w:p>
      <w:pPr>
        <w:pStyle w:val="MDPI81references"/>
      </w:pPr>
      <w:r>
        <w:t xml:space="preserve">Mehdizadeh, S.; Sabo, A.; Ng, K.-D.; Mansfield, A.; Flint, A.J.; Taati, B.; Iaboni, A. Predicting short-term risk of falls in a high-risk group with dementia. </w:t>
      </w:r>
      <w:r>
        <w:rPr>
          <w:i/>
        </w:rPr>
        <w:t>J. Am. Med. Dir. Assoc.</w:t>
      </w:r>
      <w:r>
        <w:t xml:space="preserve"> </w:t>
      </w:r>
      <w:r>
        <w:rPr>
          <w:b/>
        </w:rPr>
        <w:t>2021</w:t>
      </w:r>
      <w:r>
        <w:t xml:space="preserve">, </w:t>
      </w:r>
      <w:r>
        <w:rPr>
          <w:i/>
        </w:rPr>
        <w:t>22</w:t>
      </w:r>
      <w:r>
        <w:t>, 689–695.e1. https://doi.org/10.1016/j.jamda.2020.07.030.</w:t>
      </w:r>
    </w:p>
    <w:p>
      <w:pPr>
        <w:pStyle w:val="MDPI81references"/>
      </w:pPr>
      <w:r>
        <w:t xml:space="preserve">Lockhart, T.E.; Soangra, R.; Yoon, H.; Wu, T.; Frames, C.W.; Weaver, R.; Roberto, K.A. Prediction of fall risk among community-dwelling older adults using a wearable system. </w:t>
      </w:r>
      <w:r>
        <w:rPr>
          <w:i/>
        </w:rPr>
        <w:t>Sci. Rep.</w:t>
      </w:r>
      <w:r>
        <w:t xml:space="preserve"> </w:t>
      </w:r>
      <w:r>
        <w:rPr>
          <w:b/>
        </w:rPr>
        <w:t>2021</w:t>
      </w:r>
      <w:r>
        <w:t xml:space="preserve">, </w:t>
      </w:r>
      <w:r>
        <w:rPr>
          <w:i/>
        </w:rPr>
        <w:t>11</w:t>
      </w:r>
      <w:r>
        <w:t>, 20976. https://doi.org/10.1038/s41598-021-00458-5.</w:t>
      </w:r>
    </w:p>
    <w:p>
      <w:pPr>
        <w:pStyle w:val="MDPI81references"/>
      </w:pPr>
      <w:r>
        <w:t xml:space="preserve">Roshdibenam, V.; Jogerst, G.J.; Butler, N.R.; Baek, S. Machine learning prediction of fall risk in older adults using Timed Up and Go test kinematics. </w:t>
      </w:r>
      <w:r>
        <w:rPr>
          <w:i/>
        </w:rPr>
        <w:t>Sensors</w:t>
      </w:r>
      <w:r>
        <w:t xml:space="preserve"> </w:t>
      </w:r>
      <w:r>
        <w:rPr>
          <w:b/>
        </w:rPr>
        <w:t>2021</w:t>
      </w:r>
      <w:r>
        <w:t xml:space="preserve">, </w:t>
      </w:r>
      <w:r>
        <w:rPr>
          <w:i/>
        </w:rPr>
        <w:t>21</w:t>
      </w:r>
      <w:r>
        <w:t>, 3481. https://doi.org/10.3390/s21103481.</w:t>
      </w:r>
    </w:p>
    <w:p>
      <w:pPr>
        <w:pStyle w:val="MDPI81references"/>
      </w:pPr>
      <w:r>
        <w:t xml:space="preserve">Greene, B.R.; Premoli, I.; McManus, K.; McGrath, D.; Caulfield, B. Predicting fall counts using wearable sensors: A novel digital biomarker for Parkinson’s disease. </w:t>
      </w:r>
      <w:r>
        <w:rPr>
          <w:i/>
        </w:rPr>
        <w:t>Sensors</w:t>
      </w:r>
      <w:r>
        <w:t xml:space="preserve"> </w:t>
      </w:r>
      <w:r>
        <w:rPr>
          <w:b/>
        </w:rPr>
        <w:t>2022</w:t>
      </w:r>
      <w:r>
        <w:t xml:space="preserve">, </w:t>
      </w:r>
      <w:r>
        <w:rPr>
          <w:i/>
        </w:rPr>
        <w:t>22</w:t>
      </w:r>
      <w:r>
        <w:t>, 54. https://doi.org/10.3390/s22010054.</w:t>
      </w:r>
    </w:p>
    <w:p>
      <w:pPr>
        <w:pStyle w:val="MDPI81references"/>
      </w:pPr>
      <w:r>
        <w:t xml:space="preserve">Kelly, D.; Condell, J.; Gillespie, J.; Muñoz Esquivel, K.; Barton, J.; Tedesco, S.; Nordström, A.; Åkerlund Larsson, M.; Alamäki, A. Improved screening of fall risk using free-living based accelerometer data. </w:t>
      </w:r>
      <w:r>
        <w:rPr>
          <w:i/>
        </w:rPr>
        <w:t>J. Biomed. Inform.</w:t>
      </w:r>
      <w:r>
        <w:t xml:space="preserve"> </w:t>
      </w:r>
      <w:r>
        <w:rPr>
          <w:b/>
        </w:rPr>
        <w:t>2022</w:t>
      </w:r>
      <w:r>
        <w:t xml:space="preserve">, </w:t>
      </w:r>
      <w:r>
        <w:rPr>
          <w:i/>
        </w:rPr>
        <w:t>131</w:t>
      </w:r>
      <w:r>
        <w:t>, 104116. https://doi.org/10.1016/j.jbi.2022.104116.</w:t>
      </w:r>
    </w:p>
    <w:p>
      <w:pPr>
        <w:pStyle w:val="MDPI81references"/>
      </w:pPr>
      <w:r>
        <w:t xml:space="preserve">Dierick, F.; Stoffel, P.L.; Schütz, G.; Buisseret, F. High specificity of single inertial sensor-supplemented Timed Up and Go test for assessing fall risk in elderly nursing home residents. </w:t>
      </w:r>
      <w:r>
        <w:rPr>
          <w:i/>
        </w:rPr>
        <w:t>Sensors</w:t>
      </w:r>
      <w:r>
        <w:t xml:space="preserve"> </w:t>
      </w:r>
      <w:r>
        <w:rPr>
          <w:b/>
        </w:rPr>
        <w:t>2022</w:t>
      </w:r>
      <w:r>
        <w:t xml:space="preserve">, </w:t>
      </w:r>
      <w:r>
        <w:rPr>
          <w:i/>
        </w:rPr>
        <w:t>22</w:t>
      </w:r>
      <w:r>
        <w:t>, 2339. https://doi.org/10.3390/s22062339.</w:t>
      </w:r>
    </w:p>
    <w:p>
      <w:pPr>
        <w:pStyle w:val="MDPI81references"/>
      </w:pPr>
      <w:r>
        <w:t xml:space="preserve">Ma, L.; Mi, T.M.; Jia, Q.; Han, C.; Chhetri, J.K.; Chan, P. Gait variability is sensitive to detect Parkinson’s disease patients at high fall risk. </w:t>
      </w:r>
      <w:r>
        <w:rPr>
          <w:i/>
        </w:rPr>
        <w:t>Int. J. Neurosci.</w:t>
      </w:r>
      <w:r>
        <w:t xml:space="preserve"> </w:t>
      </w:r>
      <w:r>
        <w:rPr>
          <w:b/>
        </w:rPr>
        <w:t>2022</w:t>
      </w:r>
      <w:r>
        <w:t xml:space="preserve">, </w:t>
      </w:r>
      <w:r>
        <w:rPr>
          <w:i/>
        </w:rPr>
        <w:t>132</w:t>
      </w:r>
      <w:r>
        <w:t>, 888–893. https://doi.org/10.1080/00207454.2020.1849189.</w:t>
      </w:r>
    </w:p>
    <w:p>
      <w:pPr>
        <w:pStyle w:val="MDPI81references"/>
      </w:pPr>
      <w:r>
        <w:t xml:space="preserve">Dasgupta, P.; Frisch, A.; Huber, J.; Sejdić, E.; Suffoletto, B. Predicting falls within 3 months of emergency department discharge among community-dwelling older adults using self-report tools versus a brief functional assessment. </w:t>
      </w:r>
      <w:r>
        <w:rPr>
          <w:i/>
        </w:rPr>
        <w:t>Am. J. Emerg. Med.</w:t>
      </w:r>
      <w:r>
        <w:t xml:space="preserve"> </w:t>
      </w:r>
      <w:r>
        <w:rPr>
          <w:b/>
        </w:rPr>
        <w:t>2022</w:t>
      </w:r>
      <w:r>
        <w:t xml:space="preserve">, </w:t>
      </w:r>
      <w:r>
        <w:rPr>
          <w:i/>
        </w:rPr>
        <w:t>53</w:t>
      </w:r>
      <w:r>
        <w:t>, 245–249. https://doi.org/10.1016/j.ajem.2021.12.071.</w:t>
      </w:r>
    </w:p>
    <w:p>
      <w:pPr>
        <w:pStyle w:val="MDPI81references"/>
      </w:pPr>
      <w:r>
        <w:t xml:space="preserve">Caronni, A.; Picardi, M.; Scarano, S.; Malloggi, C.; Tropea, P.; Gilardone, G.; Aristidou, E.; Pintavalle, G.; Redaelli, V.; Antoniotti, P.; et al. Pay attention: You can fall! The Mini-BESTest scale and the turning duration of the TUG test provide valid balance measures in neurological patients: A prospective study with falls as the balance criterion. </w:t>
      </w:r>
      <w:r>
        <w:rPr>
          <w:i/>
        </w:rPr>
        <w:t>Front. Neurol.</w:t>
      </w:r>
      <w:r>
        <w:t xml:space="preserve"> </w:t>
      </w:r>
      <w:r>
        <w:rPr>
          <w:b/>
        </w:rPr>
        <w:t>2023</w:t>
      </w:r>
      <w:r>
        <w:t xml:space="preserve">, </w:t>
      </w:r>
      <w:r>
        <w:rPr>
          <w:i/>
        </w:rPr>
        <w:t>14</w:t>
      </w:r>
      <w:r>
        <w:t>, 1228302. https://doi.org/10.3389/fneur.2023.1228302.</w:t>
      </w:r>
    </w:p>
    <w:p>
      <w:pPr>
        <w:pStyle w:val="MDPI81references"/>
      </w:pPr>
      <w:r>
        <w:t xml:space="preserve">Horak, F.B.; Laird, A.; Carlson-Kuhta, P.; Abrahamson, M.; Mancini, M.; Orwoll, E.S.; Lapidus, J.A.; Shah, V.V. The Instrumented Stand and Walk (ISAW) test to predict falls in older men. </w:t>
      </w:r>
      <w:r>
        <w:rPr>
          <w:i/>
        </w:rPr>
        <w:t>GeroScience</w:t>
      </w:r>
      <w:r>
        <w:t xml:space="preserve"> </w:t>
      </w:r>
      <w:r>
        <w:rPr>
          <w:b/>
        </w:rPr>
        <w:t>2023</w:t>
      </w:r>
      <w:r>
        <w:t xml:space="preserve">, </w:t>
      </w:r>
      <w:r>
        <w:rPr>
          <w:i/>
        </w:rPr>
        <w:t>45</w:t>
      </w:r>
      <w:r>
        <w:t>, 823–836. https://doi.org/10.1007/s11357-022-00675-4.</w:t>
      </w:r>
    </w:p>
    <w:p>
      <w:pPr>
        <w:pStyle w:val="MDPI81references"/>
      </w:pPr>
      <w:r>
        <w:t xml:space="preserve">Ullrich, M.; Roth, N.; Küderle, A.; Richer, R.; Gladow, T.; Gaßner, H.; Marxreiter, F.; Klucken, J.; Eskofier, B.M.; Kluge, F. Fall risk prediction in Parkinson’s disease using real-world inertial sensor gait data. </w:t>
      </w:r>
      <w:r>
        <w:rPr>
          <w:i/>
        </w:rPr>
        <w:t>IEEE J. Biomed. Health Inform.</w:t>
      </w:r>
      <w:r>
        <w:t xml:space="preserve"> </w:t>
      </w:r>
      <w:r>
        <w:rPr>
          <w:b/>
        </w:rPr>
        <w:t>2023</w:t>
      </w:r>
      <w:r>
        <w:t xml:space="preserve">, </w:t>
      </w:r>
      <w:r>
        <w:rPr>
          <w:i/>
        </w:rPr>
        <w:t>27</w:t>
      </w:r>
      <w:r>
        <w:t>, 319–328. https://doi.org/10.1109/JBHI.2022.3215921.</w:t>
      </w:r>
    </w:p>
    <w:p>
      <w:pPr>
        <w:pStyle w:val="MDPI81references"/>
      </w:pPr>
      <w:r>
        <w:t xml:space="preserve">Al Abiad, N.; van Schooten, K.S.; Renaudin, V.; Delbaere, K.; Robert, T. Association of prospective falls in older people with ubiquitous step-based fall risk parameters calculated from ambulatory inertial signals: Secondary data analysis. </w:t>
      </w:r>
      <w:r>
        <w:rPr>
          <w:i/>
        </w:rPr>
        <w:t>JMIR Aging</w:t>
      </w:r>
      <w:r>
        <w:t xml:space="preserve"> </w:t>
      </w:r>
      <w:r>
        <w:rPr>
          <w:b/>
        </w:rPr>
        <w:t>2023</w:t>
      </w:r>
      <w:r>
        <w:t xml:space="preserve">, </w:t>
      </w:r>
      <w:r>
        <w:rPr>
          <w:i/>
        </w:rPr>
        <w:t>6</w:t>
      </w:r>
      <w:r>
        <w:t>, e49587. https://doi.org/10.2196/49587.</w:t>
      </w:r>
    </w:p>
    <w:p>
      <w:pPr>
        <w:pStyle w:val="MDPI81references"/>
      </w:pPr>
      <w:r>
        <w:t xml:space="preserve">Adeli, V.; Korhani, N.; Sabo, A.; Mehdizadeh, S.; Mansfield, A.; Flint, A.; Iaboni, A.; Taati, B. Ambient monitoring of gait and machine learning models for dynamic and short-term falls risk assessment in people with dementia. </w:t>
      </w:r>
      <w:r>
        <w:rPr>
          <w:i/>
        </w:rPr>
        <w:t>IEEE J. Biomed. Health Inform.</w:t>
      </w:r>
      <w:r>
        <w:t xml:space="preserve"> </w:t>
      </w:r>
      <w:r>
        <w:rPr>
          <w:b/>
        </w:rPr>
        <w:t>2023</w:t>
      </w:r>
      <w:r>
        <w:t xml:space="preserve">, </w:t>
      </w:r>
      <w:r>
        <w:rPr>
          <w:i/>
        </w:rPr>
        <w:t>27</w:t>
      </w:r>
      <w:r>
        <w:t>, 3599–3609. https://doi.org/10.1109/JBHI.2023.3267039.</w:t>
      </w:r>
    </w:p>
    <w:p>
      <w:pPr>
        <w:pStyle w:val="MDPI81references"/>
      </w:pPr>
      <w:r>
        <w:t xml:space="preserve">Shah, V.V.; Jagodinsky, A.; McNames, J.; Carlson-Kuhta, P.; Nutt, J.G.; El-Gohary, M.; Sowalsky, K.; Harker, G.; Mancini, M.; Horak, F.B. Gait and turning characteristics from daily life increase ability to predict future falls in people with Parkinson’s disease. </w:t>
      </w:r>
      <w:r>
        <w:rPr>
          <w:i/>
        </w:rPr>
        <w:t>Front. Neurol.</w:t>
      </w:r>
      <w:r>
        <w:t xml:space="preserve"> </w:t>
      </w:r>
      <w:r>
        <w:rPr>
          <w:b/>
        </w:rPr>
        <w:t>2023</w:t>
      </w:r>
      <w:r>
        <w:t xml:space="preserve">, </w:t>
      </w:r>
      <w:r>
        <w:rPr>
          <w:i/>
        </w:rPr>
        <w:t>14</w:t>
      </w:r>
      <w:r>
        <w:t>, 1096401. https://doi.org/10.3389/fneur.2023.1096401.</w:t>
      </w:r>
    </w:p>
    <w:p>
      <w:pPr>
        <w:pStyle w:val="MDPI81references"/>
      </w:pPr>
      <w:r>
        <w:t xml:space="preserve">Sotirakis, C.; Brzezicki, M.A.; Patel, S.; Conway, N.; FitzGerald, J.J.; Antoniades, C.A. Predicting future fallers in Parkinson’s disease using kinematic data over a period of 5 years. </w:t>
      </w:r>
      <w:r>
        <w:rPr>
          <w:i/>
        </w:rPr>
        <w:t>npj Digit. Med.</w:t>
      </w:r>
      <w:r>
        <w:t xml:space="preserve"> </w:t>
      </w:r>
      <w:r>
        <w:rPr>
          <w:b/>
        </w:rPr>
        <w:t>2024</w:t>
      </w:r>
      <w:r>
        <w:t xml:space="preserve">, </w:t>
      </w:r>
      <w:r>
        <w:rPr>
          <w:i/>
        </w:rPr>
        <w:t>7</w:t>
      </w:r>
      <w:r>
        <w:t>, 345. https://doi.org/10.1038/s41746-024-01311-5.</w:t>
      </w:r>
    </w:p>
    <w:p>
      <w:pPr>
        <w:pStyle w:val="MDPI81references"/>
      </w:pPr>
      <w:r>
        <w:t xml:space="preserve">Zhang, H.; Wu, C.; Huang, Y.; Song, R.; Zanotto, D.; Agrawal, S.K. Fall risk prediction using instrumented footwear in institutionalized older adults. </w:t>
      </w:r>
      <w:r>
        <w:rPr>
          <w:i/>
        </w:rPr>
        <w:t>IEEE Trans. Neural Syst. Rehabil. Eng.</w:t>
      </w:r>
      <w:r>
        <w:t xml:space="preserve"> </w:t>
      </w:r>
      <w:r>
        <w:rPr>
          <w:b/>
        </w:rPr>
        <w:t>2024</w:t>
      </w:r>
      <w:r>
        <w:t xml:space="preserve">, </w:t>
      </w:r>
      <w:r>
        <w:rPr>
          <w:i/>
        </w:rPr>
        <w:t>32</w:t>
      </w:r>
      <w:r>
        <w:t>, 4260–4269. https://doi.org/10.1109/TNSRE.2024.3510300.</w:t>
      </w:r>
    </w:p>
    <w:p>
      <w:pPr>
        <w:pStyle w:val="MDPI81references"/>
      </w:pPr>
      <w:r>
        <w:t xml:space="preserve">Maiora, J.; Rezola-Pardo, C.; García, G.; Sanz, B.; Graña, M. Older adult fall risk prediction with deep learning and Timed Up and Go (TUG) test data. </w:t>
      </w:r>
      <w:r>
        <w:rPr>
          <w:i/>
        </w:rPr>
        <w:t>Bioengineering</w:t>
      </w:r>
      <w:r>
        <w:t xml:space="preserve"> </w:t>
      </w:r>
      <w:r>
        <w:rPr>
          <w:b/>
        </w:rPr>
        <w:t>2024</w:t>
      </w:r>
      <w:r>
        <w:t xml:space="preserve">, </w:t>
      </w:r>
      <w:r>
        <w:rPr>
          <w:i/>
        </w:rPr>
        <w:t>11</w:t>
      </w:r>
      <w:r>
        <w:t>, 1000. https://doi.org/10.3390/bioengineering11101000.</w:t>
      </w:r>
    </w:p>
    <w:p>
      <w:pPr>
        <w:pStyle w:val="MDPI81references"/>
      </w:pPr>
      <w:r>
        <w:t xml:space="preserve">Zhang, Y.; Weijer, R.H.A.; van Schooten, K.S.; Bruijn, S.M.; Pijnappels, M. External validation and further exploration of fall prediction models based on questionnaires and daily-life trunk accelerometry. </w:t>
      </w:r>
      <w:r>
        <w:rPr>
          <w:i/>
        </w:rPr>
        <w:t>J. Am. Med. Dir. Assoc.</w:t>
      </w:r>
      <w:r>
        <w:t xml:space="preserve"> </w:t>
      </w:r>
      <w:r>
        <w:rPr>
          <w:b/>
        </w:rPr>
        <w:t>2024</w:t>
      </w:r>
      <w:r>
        <w:t xml:space="preserve">, </w:t>
      </w:r>
      <w:r>
        <w:rPr>
          <w:i/>
        </w:rPr>
        <w:t>25</w:t>
      </w:r>
      <w:r>
        <w:t>, 105107. https://doi.org/10.1016/j.jamda.2024.105107.</w:t>
      </w:r>
    </w:p>
    <w:p>
      <w:pPr>
        <w:pStyle w:val="MDPI81references"/>
      </w:pPr>
      <w:r>
        <w:t xml:space="preserve">Lai, K.M.; Fong, K.N.K. Efficacy of a waist-mounted sensor in predicting prospective falls among older people residing in community dwellings: A prospective cohort study. </w:t>
      </w:r>
      <w:r>
        <w:rPr>
          <w:i/>
        </w:rPr>
        <w:t>Sensors</w:t>
      </w:r>
      <w:r>
        <w:t xml:space="preserve"> </w:t>
      </w:r>
      <w:r>
        <w:rPr>
          <w:b/>
        </w:rPr>
        <w:t>2025</w:t>
      </w:r>
      <w:r>
        <w:t xml:space="preserve">, </w:t>
      </w:r>
      <w:r>
        <w:rPr>
          <w:i/>
        </w:rPr>
        <w:t>25</w:t>
      </w:r>
      <w:r>
        <w:t>, 2516. https://doi.org/10.3390/s25082516.</w:t>
      </w:r>
    </w:p>
    <w:p>
      <w:pPr>
        <w:pStyle w:val="MDPI81references"/>
      </w:pPr>
      <w:r>
        <w:t xml:space="preserve">Guan, Z.; Cai, J.; Wang, J.; Li, Y.; Song, R.; Zanotto, D.; Agrawal, S.K.; Zhang, H. Accuracy and precision of wearable-derived gait parameters: How these affect the performance of models for fall prediction in the elderly. </w:t>
      </w:r>
      <w:r>
        <w:rPr>
          <w:i/>
        </w:rPr>
        <w:t>IEEE Trans. Neural Syst. Rehabil. Eng.</w:t>
      </w:r>
      <w:r>
        <w:t xml:space="preserve"> </w:t>
      </w:r>
      <w:r>
        <w:rPr>
          <w:b/>
        </w:rPr>
        <w:t>2025</w:t>
      </w:r>
      <w:r>
        <w:t xml:space="preserve">, </w:t>
      </w:r>
      <w:r>
        <w:rPr>
          <w:i/>
        </w:rPr>
        <w:t>33</w:t>
      </w:r>
      <w:r>
        <w:t>, 4255–4266. https://doi.org/10.1109/TNSRE.2025.3623129.</w:t>
      </w:r>
    </w:p>
    <w:p>
      <w:pPr>
        <w:pStyle w:val="MDPI81references"/>
      </w:pPr>
      <w:r>
        <w:t xml:space="preserve">Riley, R.D.; Ensor, J.; Snell, K.I.E.; Harrell, F.E., Jr.; Martin, G.P.; Reitsma, J.B.; Moons, K.G.M.; Collins, G.; van Smeden, M. Calculating the sample size required for developing a clinical prediction model. </w:t>
      </w:r>
      <w:r>
        <w:rPr>
          <w:i/>
        </w:rPr>
        <w:t>BMJ</w:t>
      </w:r>
      <w:r>
        <w:t xml:space="preserve"> </w:t>
      </w:r>
      <w:r>
        <w:rPr>
          <w:b/>
        </w:rPr>
        <w:t>2020</w:t>
      </w:r>
      <w:r>
        <w:t xml:space="preserve">, </w:t>
      </w:r>
      <w:r>
        <w:rPr>
          <w:i/>
        </w:rPr>
        <w:t>368</w:t>
      </w:r>
      <w:r>
        <w:t>, m441. https://doi.org/10.1136/bmj.m441.</w:t>
      </w:r>
    </w:p>
    <w:p>
      <w:pPr>
        <w:pStyle w:val="MDPI81references"/>
      </w:pPr>
      <w:r>
        <w:t xml:space="preserve">Van Calster, B.; McLernon, D.J.; van Smeden, M.; Wynants, L.; Steyerberg, E.W. Calibration: The Achilles heel of predictive analytics. </w:t>
      </w:r>
      <w:r>
        <w:rPr>
          <w:i/>
        </w:rPr>
        <w:t>BMC Med.</w:t>
      </w:r>
      <w:r>
        <w:t xml:space="preserve"> </w:t>
      </w:r>
      <w:r>
        <w:rPr>
          <w:b/>
        </w:rPr>
        <w:t>2019</w:t>
      </w:r>
      <w:r>
        <w:t xml:space="preserve">, </w:t>
      </w:r>
      <w:r>
        <w:rPr>
          <w:i/>
        </w:rPr>
        <w:t>17</w:t>
      </w:r>
      <w:r>
        <w:t>, 230. https://doi.org/10.1186/s12916-019-1466-7.</w:t>
      </w:r>
    </w:p>
    <w:p>
      <w:pPr>
        <w:pStyle w:val="MDPI81references"/>
      </w:pPr>
      <w:r>
        <w:t xml:space="preserve">Vickers, A.J.; Elkin, E.B. Decision curve analysis: A novel method for evaluating prediction models. </w:t>
      </w:r>
      <w:r>
        <w:rPr>
          <w:i/>
        </w:rPr>
        <w:t>Med. Decis. Making</w:t>
      </w:r>
      <w:r>
        <w:t xml:space="preserve"> </w:t>
      </w:r>
      <w:r>
        <w:rPr>
          <w:b/>
        </w:rPr>
        <w:t>2006</w:t>
      </w:r>
      <w:r>
        <w:t xml:space="preserve">, </w:t>
      </w:r>
      <w:r>
        <w:rPr>
          <w:i/>
        </w:rPr>
        <w:t>26</w:t>
      </w:r>
      <w:r>
        <w:t>, 565–574. https://doi.org/10.1177/0272989X06295361.</w:t>
      </w:r>
    </w:p>
    <w:p>
      <w:pPr>
        <w:pStyle w:val="MDPI81references"/>
      </w:pPr>
      <w:r>
        <w:t xml:space="preserve">Lamb, S.E.; Jørstad-Stein, E.C.; Hauer, K.; Becker, C.; Prevention of Falls Network Europe and Outcomes Consensus Group. Development of a common outcome data set for fall injury prevention trials: The Prevention of Falls Network Europe consensus. </w:t>
      </w:r>
      <w:r>
        <w:rPr>
          <w:i/>
        </w:rPr>
        <w:t>J. Am. Geriatr. Soc.</w:t>
      </w:r>
      <w:r>
        <w:t xml:space="preserve"> </w:t>
      </w:r>
      <w:r>
        <w:rPr>
          <w:b/>
        </w:rPr>
        <w:t>2005</w:t>
      </w:r>
      <w:r>
        <w:t xml:space="preserve">, </w:t>
      </w:r>
      <w:r>
        <w:rPr>
          <w:i/>
        </w:rPr>
        <w:t>53</w:t>
      </w:r>
      <w:r>
        <w:t>, 1618–1622. https://doi.org/10.1111/j.1532-5415.2005.53455.x.</w:t>
      </w:r>
    </w:p>
    <w:sectPr w:rsidR="007C1CDA" w:rsidRPr="00A054DE" w:rsidSect="006D1F3D">
      <w:headerReference w:type="even" r:id="rId10"/>
      <w:headerReference w:type="default" r:id="rId11"/>
      <w:footerReference w:type="default" r:id="rId12"/>
      <w:type w:val="nextPage"/>
      <w:pgSz w:w="11906" w:h="16838" w:code="9"/>
      <w:pgMar w:top="1417" w:right="720" w:bottom="907" w:left="720" w:header="720" w:footer="612" w:gutter="0"/>
      <w:lnNumType w:countBy="1" w:distance="255" w:restart="continuous"/>
      <w:cols w:space="425"/>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71E0F" w14:textId="77777777" w:rsidR="003E7DAD" w:rsidRPr="001A0468" w:rsidRDefault="003E7DAD">
      <w:pPr>
        <w:spacing w:line="240" w:lineRule="auto"/>
      </w:pPr>
      <w:r w:rsidRPr="001A0468">
        <w:separator/>
      </w:r>
    </w:p>
  </w:endnote>
  <w:endnote w:type="continuationSeparator" w:id="0">
    <w:p w14:paraId="2F5D01EA" w14:textId="77777777" w:rsidR="003E7DAD" w:rsidRPr="001A0468" w:rsidRDefault="003E7DAD">
      <w:pPr>
        <w:spacing w:line="240" w:lineRule="auto"/>
      </w:pPr>
      <w:r w:rsidRPr="001A046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6472D" w14:textId="77777777" w:rsidR="00F1277D" w:rsidRPr="001A0468" w:rsidRDefault="00F1277D" w:rsidP="00F1277D">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7FDF4" w14:textId="77777777" w:rsidR="002F4399" w:rsidRPr="001A0468" w:rsidRDefault="002F4399" w:rsidP="004C34E8">
    <w:pPr>
      <w:pBdr>
        <w:top w:val="single" w:sz="4" w:space="0" w:color="000000"/>
      </w:pBdr>
      <w:tabs>
        <w:tab w:val="right" w:pos="8844"/>
      </w:tabs>
      <w:adjustRightInd w:val="0"/>
      <w:snapToGrid w:val="0"/>
      <w:spacing w:before="480" w:line="100" w:lineRule="exact"/>
      <w:jc w:val="left"/>
      <w:rPr>
        <w:i/>
        <w:sz w:val="16"/>
        <w:szCs w:val="16"/>
      </w:rPr>
    </w:pPr>
  </w:p>
  <w:p w14:paraId="27362E18" w14:textId="77777777" w:rsidR="00F1277D" w:rsidRPr="001A0468" w:rsidRDefault="00F1277D" w:rsidP="008244B9">
    <w:pPr>
      <w:tabs>
        <w:tab w:val="right" w:pos="10466"/>
      </w:tabs>
      <w:adjustRightInd w:val="0"/>
      <w:snapToGrid w:val="0"/>
      <w:spacing w:line="240" w:lineRule="auto"/>
      <w:rPr>
        <w:sz w:val="16"/>
        <w:szCs w:val="16"/>
      </w:rPr>
    </w:pPr>
    <w:r w:rsidRPr="001A0468">
      <w:rPr>
        <w:i/>
        <w:sz w:val="16"/>
        <w:szCs w:val="16"/>
      </w:rPr>
      <w:t xml:space="preserve">Diagnostics </w:t>
    </w:r>
    <w:r w:rsidR="006D1F3D" w:rsidRPr="001A0468">
      <w:rPr>
        <w:b/>
        <w:bCs/>
        <w:iCs/>
        <w:sz w:val="16"/>
        <w:szCs w:val="16"/>
      </w:rPr>
      <w:t>2026</w:t>
    </w:r>
    <w:r w:rsidR="004C7C2C" w:rsidRPr="001A0468">
      <w:rPr>
        <w:bCs/>
        <w:iCs/>
        <w:sz w:val="16"/>
        <w:szCs w:val="16"/>
      </w:rPr>
      <w:t>,</w:t>
    </w:r>
    <w:r w:rsidR="006D1F3D" w:rsidRPr="001A0468">
      <w:rPr>
        <w:bCs/>
        <w:i/>
        <w:iCs/>
        <w:sz w:val="16"/>
        <w:szCs w:val="16"/>
      </w:rPr>
      <w:t xml:space="preserve"> 16</w:t>
    </w:r>
    <w:r w:rsidR="004C7C2C" w:rsidRPr="001A0468">
      <w:rPr>
        <w:bCs/>
        <w:iCs/>
        <w:sz w:val="16"/>
        <w:szCs w:val="16"/>
      </w:rPr>
      <w:t xml:space="preserve">, </w:t>
    </w:r>
    <w:r w:rsidR="00F97C0B" w:rsidRPr="001A0468">
      <w:rPr>
        <w:bCs/>
        <w:iCs/>
        <w:sz w:val="16"/>
        <w:szCs w:val="16"/>
      </w:rPr>
      <w:t>x</w:t>
    </w:r>
    <w:r w:rsidR="008244B9" w:rsidRPr="001A0468">
      <w:rPr>
        <w:sz w:val="16"/>
        <w:szCs w:val="16"/>
      </w:rPr>
      <w:tab/>
    </w:r>
    <w:r w:rsidR="006D1F3D" w:rsidRPr="001A0468">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830D6" w14:textId="77777777" w:rsidR="003E7DAD" w:rsidRPr="001A0468" w:rsidRDefault="003E7DAD">
      <w:pPr>
        <w:spacing w:line="240" w:lineRule="auto"/>
      </w:pPr>
      <w:r w:rsidRPr="001A0468">
        <w:separator/>
      </w:r>
    </w:p>
  </w:footnote>
  <w:footnote w:type="continuationSeparator" w:id="0">
    <w:p w14:paraId="39639310" w14:textId="77777777" w:rsidR="003E7DAD" w:rsidRPr="001A0468" w:rsidRDefault="003E7DAD">
      <w:pPr>
        <w:spacing w:line="240" w:lineRule="auto"/>
      </w:pPr>
      <w:r w:rsidRPr="001A046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D69B5" w14:textId="77777777" w:rsidR="00F1277D" w:rsidRPr="001A0468" w:rsidRDefault="00F1277D" w:rsidP="00F1277D">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9FF5A" w14:textId="77777777" w:rsidR="002F4399" w:rsidRPr="001A0468" w:rsidRDefault="00F1277D" w:rsidP="008244B9">
    <w:pPr>
      <w:tabs>
        <w:tab w:val="right" w:pos="10466"/>
      </w:tabs>
      <w:adjustRightInd w:val="0"/>
      <w:snapToGrid w:val="0"/>
      <w:spacing w:line="240" w:lineRule="auto"/>
      <w:rPr>
        <w:sz w:val="16"/>
      </w:rPr>
    </w:pPr>
    <w:r w:rsidRPr="001A0468">
      <w:rPr>
        <w:i/>
        <w:sz w:val="16"/>
      </w:rPr>
      <w:t xml:space="preserve">Diagnostics </w:t>
    </w:r>
    <w:r w:rsidR="006D1F3D" w:rsidRPr="001A0468">
      <w:rPr>
        <w:b/>
        <w:sz w:val="16"/>
      </w:rPr>
      <w:t>2026</w:t>
    </w:r>
    <w:r w:rsidR="004C7C2C" w:rsidRPr="001A0468">
      <w:rPr>
        <w:sz w:val="16"/>
      </w:rPr>
      <w:t>,</w:t>
    </w:r>
    <w:r w:rsidR="006D1F3D" w:rsidRPr="001A0468">
      <w:rPr>
        <w:i/>
        <w:sz w:val="16"/>
      </w:rPr>
      <w:t xml:space="preserve"> 16</w:t>
    </w:r>
    <w:r w:rsidR="00F97C0B" w:rsidRPr="001A0468">
      <w:rPr>
        <w:sz w:val="16"/>
      </w:rPr>
      <w:t xml:space="preserve">, x </w:t>
    </w:r>
    <w:r w:rsidR="006D1F3D" w:rsidRPr="001A0468">
      <w:rPr>
        <w:sz w:val="16"/>
      </w:rPr>
      <w:t>FOR PEER REVIEW</w:t>
    </w:r>
    <w:r w:rsidR="006D1F3D" w:rsidRPr="001A0468">
      <w:rPr>
        <w:sz w:val="16"/>
      </w:rPr>
      <w:ptab w:relativeTo="margin" w:alignment="right" w:leader="none"/>
    </w:r>
    <w:r w:rsidR="006D1F3D" w:rsidRPr="001A0468">
      <w:rPr>
        <w:sz w:val="16"/>
      </w:rPr>
      <w:fldChar w:fldCharType="begin"/>
    </w:r>
    <w:r w:rsidR="006D1F3D" w:rsidRPr="001A0468">
      <w:rPr>
        <w:sz w:val="16"/>
      </w:rPr>
      <w:instrText xml:space="preserve"> PAGE   \* MERGEFORMAT </w:instrText>
    </w:r>
    <w:r w:rsidR="006D1F3D" w:rsidRPr="001A0468">
      <w:rPr>
        <w:sz w:val="16"/>
      </w:rPr>
      <w:fldChar w:fldCharType="separate"/>
    </w:r>
    <w:r w:rsidR="006D1F3D" w:rsidRPr="001A0468">
      <w:rPr>
        <w:sz w:val="16"/>
      </w:rPr>
      <w:t>2</w:t>
    </w:r>
    <w:r w:rsidR="006D1F3D" w:rsidRPr="001A0468">
      <w:rPr>
        <w:sz w:val="16"/>
      </w:rPr>
      <w:fldChar w:fldCharType="end"/>
    </w:r>
    <w:r w:rsidR="006D1F3D" w:rsidRPr="001A0468">
      <w:rPr>
        <w:sz w:val="16"/>
      </w:rPr>
      <w:t xml:space="preserve"> of </w:t>
    </w:r>
    <w:r w:rsidR="006D1F3D" w:rsidRPr="001A0468">
      <w:rPr>
        <w:sz w:val="16"/>
      </w:rPr>
      <w:fldChar w:fldCharType="begin"/>
    </w:r>
    <w:r w:rsidR="006D1F3D" w:rsidRPr="001A0468">
      <w:rPr>
        <w:sz w:val="16"/>
      </w:rPr>
      <w:instrText xml:space="preserve"> NUMPAGES   \* MERGEFORMAT </w:instrText>
    </w:r>
    <w:r w:rsidR="006D1F3D" w:rsidRPr="001A0468">
      <w:rPr>
        <w:sz w:val="16"/>
      </w:rPr>
      <w:fldChar w:fldCharType="separate"/>
    </w:r>
    <w:r w:rsidR="006D1F3D" w:rsidRPr="001A0468">
      <w:rPr>
        <w:sz w:val="16"/>
      </w:rPr>
      <w:t>7</w:t>
    </w:r>
    <w:r w:rsidR="006D1F3D" w:rsidRPr="001A0468">
      <w:rPr>
        <w:sz w:val="16"/>
      </w:rPr>
      <w:fldChar w:fldCharType="end"/>
    </w:r>
  </w:p>
  <w:p w14:paraId="5915F7A9" w14:textId="77777777" w:rsidR="00F1277D" w:rsidRPr="001A0468" w:rsidRDefault="00F1277D" w:rsidP="004C34E8">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2F4399" w:rsidRPr="001A0468" w14:paraId="51B70991" w14:textId="77777777" w:rsidTr="008F7645">
      <w:trPr>
        <w:trHeight w:val="686"/>
      </w:trPr>
      <w:tc>
        <w:tcPr>
          <w:tcW w:w="3679" w:type="dxa"/>
          <w:vAlign w:val="center"/>
        </w:tcPr>
        <w:p w14:paraId="5A961E52" w14:textId="77777777" w:rsidR="002F4399" w:rsidRPr="001A0468" w:rsidRDefault="00F17F40" w:rsidP="008244B9">
          <w:pPr>
            <w:pStyle w:val="Header"/>
            <w:pBdr>
              <w:bottom w:val="none" w:sz="0" w:space="0" w:color="auto"/>
            </w:pBdr>
            <w:jc w:val="left"/>
            <w:rPr>
              <w:rFonts w:eastAsia="DengXian"/>
              <w:b/>
              <w:bCs/>
            </w:rPr>
          </w:pPr>
          <w:r w:rsidRPr="001A0468">
            <w:rPr>
              <w:rFonts w:eastAsia="DengXian"/>
              <w:b/>
              <w:bCs/>
              <w:noProof/>
            </w:rPr>
            <w:drawing>
              <wp:inline distT="0" distB="0" distL="0" distR="0" wp14:anchorId="266D32D0" wp14:editId="5CB7B20A">
                <wp:extent cx="1542423" cy="432000"/>
                <wp:effectExtent l="0" t="0" r="635" b="6350"/>
                <wp:docPr id="5581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1520" name=""/>
                        <pic:cNvPicPr/>
                      </pic:nvPicPr>
                      <pic:blipFill>
                        <a:blip r:embed="rId1"/>
                        <a:stretch>
                          <a:fillRect/>
                        </a:stretch>
                      </pic:blipFill>
                      <pic:spPr>
                        <a:xfrm>
                          <a:off x="0" y="0"/>
                          <a:ext cx="1542423" cy="432000"/>
                        </a:xfrm>
                        <a:prstGeom prst="rect">
                          <a:avLst/>
                        </a:prstGeom>
                      </pic:spPr>
                    </pic:pic>
                  </a:graphicData>
                </a:graphic>
              </wp:inline>
            </w:drawing>
          </w:r>
        </w:p>
      </w:tc>
      <w:tc>
        <w:tcPr>
          <w:tcW w:w="4535" w:type="dxa"/>
          <w:vAlign w:val="center"/>
        </w:tcPr>
        <w:p w14:paraId="4C160C2D" w14:textId="77777777" w:rsidR="002F4399" w:rsidRPr="001A0468" w:rsidRDefault="002F4399" w:rsidP="008244B9">
          <w:pPr>
            <w:pStyle w:val="Header"/>
            <w:pBdr>
              <w:bottom w:val="none" w:sz="0" w:space="0" w:color="auto"/>
            </w:pBdr>
            <w:rPr>
              <w:rFonts w:eastAsia="DengXian"/>
              <w:b/>
              <w:bCs/>
            </w:rPr>
          </w:pPr>
        </w:p>
      </w:tc>
      <w:tc>
        <w:tcPr>
          <w:tcW w:w="2273" w:type="dxa"/>
          <w:vAlign w:val="center"/>
        </w:tcPr>
        <w:p w14:paraId="04DDF2C4" w14:textId="77777777" w:rsidR="002F4399" w:rsidRPr="001A0468" w:rsidRDefault="008F7645" w:rsidP="008F7645">
          <w:pPr>
            <w:pStyle w:val="Header"/>
            <w:pBdr>
              <w:bottom w:val="none" w:sz="0" w:space="0" w:color="auto"/>
            </w:pBdr>
            <w:jc w:val="right"/>
            <w:rPr>
              <w:rFonts w:eastAsia="DengXian"/>
              <w:b/>
              <w:bCs/>
            </w:rPr>
          </w:pPr>
          <w:r w:rsidRPr="001A0468">
            <w:rPr>
              <w:rFonts w:eastAsia="DengXian"/>
              <w:b/>
              <w:bCs/>
              <w:noProof/>
            </w:rPr>
            <w:drawing>
              <wp:inline distT="0" distB="0" distL="0" distR="0" wp14:anchorId="4EF1E053" wp14:editId="4D7FA45B">
                <wp:extent cx="540000" cy="360000"/>
                <wp:effectExtent l="0" t="0" r="0" b="2540"/>
                <wp:docPr id="1859630180" name="Picture 1"/>
                <wp:cNvGraphicFramePr/>
                <a:graphic xmlns:a="http://schemas.openxmlformats.org/drawingml/2006/main">
                  <a:graphicData uri="http://schemas.openxmlformats.org/drawingml/2006/picture">
                    <pic:pic xmlns:pic="http://schemas.openxmlformats.org/drawingml/2006/picture">
                      <pic:nvPicPr>
                        <pic:cNvPr id="1859630180" name=""/>
                        <pic:cNvPicPr/>
                      </pic:nvPicPr>
                      <pic:blipFill>
                        <a:blip r:embed="rId2"/>
                        <a:stretch>
                          <a:fillRect/>
                        </a:stretch>
                      </pic:blipFill>
                      <pic:spPr>
                        <a:xfrm>
                          <a:off x="0" y="0"/>
                          <a:ext cx="540000" cy="360000"/>
                        </a:xfrm>
                        <a:prstGeom prst="rect">
                          <a:avLst/>
                        </a:prstGeom>
                      </pic:spPr>
                    </pic:pic>
                  </a:graphicData>
                </a:graphic>
              </wp:inline>
            </w:drawing>
          </w:r>
        </w:p>
      </w:tc>
    </w:tr>
  </w:tbl>
  <w:p w14:paraId="75F6DAA3" w14:textId="77777777" w:rsidR="00F1277D" w:rsidRPr="001A0468" w:rsidRDefault="00F1277D" w:rsidP="006D1F3D">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37DA4"/>
    <w:multiLevelType w:val="hybridMultilevel"/>
    <w:tmpl w:val="9DCC18D0"/>
    <w:lvl w:ilvl="0" w:tplc="1B4A3466">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0A7C9E58"/>
    <w:lvl w:ilvl="0" w:tplc="29F60EAA">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38CE7A6F"/>
    <w:multiLevelType w:val="hybridMultilevel"/>
    <w:tmpl w:val="E8A6BE1E"/>
    <w:lvl w:ilvl="0" w:tplc="595EF18A">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F3720F"/>
    <w:multiLevelType w:val="hybridMultilevel"/>
    <w:tmpl w:val="778E0D1C"/>
    <w:lvl w:ilvl="0" w:tplc="47D41B60">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7435843">
    <w:abstractNumId w:val="4"/>
  </w:num>
  <w:num w:numId="2" w16cid:durableId="2067558058">
    <w:abstractNumId w:val="6"/>
  </w:num>
  <w:num w:numId="3" w16cid:durableId="705176169">
    <w:abstractNumId w:val="3"/>
  </w:num>
  <w:num w:numId="4" w16cid:durableId="22474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0465304">
    <w:abstractNumId w:val="5"/>
  </w:num>
  <w:num w:numId="6" w16cid:durableId="336930266">
    <w:abstractNumId w:val="10"/>
  </w:num>
  <w:num w:numId="7" w16cid:durableId="645429088">
    <w:abstractNumId w:val="2"/>
  </w:num>
  <w:num w:numId="8" w16cid:durableId="805199283">
    <w:abstractNumId w:val="10"/>
  </w:num>
  <w:num w:numId="9" w16cid:durableId="244071345">
    <w:abstractNumId w:val="2"/>
  </w:num>
  <w:num w:numId="10" w16cid:durableId="657226210">
    <w:abstractNumId w:val="10"/>
  </w:num>
  <w:num w:numId="11" w16cid:durableId="140849554">
    <w:abstractNumId w:val="2"/>
  </w:num>
  <w:num w:numId="12" w16cid:durableId="1514607303">
    <w:abstractNumId w:val="11"/>
  </w:num>
  <w:num w:numId="13" w16cid:durableId="960066478">
    <w:abstractNumId w:val="10"/>
  </w:num>
  <w:num w:numId="14" w16cid:durableId="2051219325">
    <w:abstractNumId w:val="2"/>
  </w:num>
  <w:num w:numId="15" w16cid:durableId="1483038518">
    <w:abstractNumId w:val="1"/>
  </w:num>
  <w:num w:numId="16" w16cid:durableId="1036740188">
    <w:abstractNumId w:val="9"/>
  </w:num>
  <w:num w:numId="17" w16cid:durableId="1196501769">
    <w:abstractNumId w:val="0"/>
  </w:num>
  <w:num w:numId="18" w16cid:durableId="955216231">
    <w:abstractNumId w:val="10"/>
  </w:num>
  <w:num w:numId="19" w16cid:durableId="2072149230">
    <w:abstractNumId w:val="2"/>
  </w:num>
  <w:num w:numId="20" w16cid:durableId="791288244">
    <w:abstractNumId w:val="1"/>
  </w:num>
  <w:num w:numId="21" w16cid:durableId="1117218266">
    <w:abstractNumId w:val="0"/>
  </w:num>
  <w:num w:numId="22" w16cid:durableId="705714496">
    <w:abstractNumId w:val="8"/>
  </w:num>
  <w:num w:numId="23" w16cid:durableId="510005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CF2"/>
    <w:rsid w:val="00007207"/>
    <w:rsid w:val="00013D75"/>
    <w:rsid w:val="000164B0"/>
    <w:rsid w:val="00030B46"/>
    <w:rsid w:val="00054A98"/>
    <w:rsid w:val="00061C10"/>
    <w:rsid w:val="00073F7C"/>
    <w:rsid w:val="00092C95"/>
    <w:rsid w:val="000B0016"/>
    <w:rsid w:val="000B7CB5"/>
    <w:rsid w:val="000F467E"/>
    <w:rsid w:val="000F5580"/>
    <w:rsid w:val="00126651"/>
    <w:rsid w:val="00132F5E"/>
    <w:rsid w:val="001505DB"/>
    <w:rsid w:val="00176AFB"/>
    <w:rsid w:val="00184462"/>
    <w:rsid w:val="001961E4"/>
    <w:rsid w:val="001A0468"/>
    <w:rsid w:val="001A6901"/>
    <w:rsid w:val="001B4F61"/>
    <w:rsid w:val="001C0886"/>
    <w:rsid w:val="001C3DE8"/>
    <w:rsid w:val="001D79D4"/>
    <w:rsid w:val="001E2469"/>
    <w:rsid w:val="001E2AEB"/>
    <w:rsid w:val="001E5F1B"/>
    <w:rsid w:val="001E6509"/>
    <w:rsid w:val="0020045E"/>
    <w:rsid w:val="002134D1"/>
    <w:rsid w:val="00225608"/>
    <w:rsid w:val="0023048B"/>
    <w:rsid w:val="00235537"/>
    <w:rsid w:val="00247F3A"/>
    <w:rsid w:val="00250A90"/>
    <w:rsid w:val="00260AEA"/>
    <w:rsid w:val="00266FA8"/>
    <w:rsid w:val="002704EA"/>
    <w:rsid w:val="00270FD5"/>
    <w:rsid w:val="00295161"/>
    <w:rsid w:val="002A0454"/>
    <w:rsid w:val="002A25A3"/>
    <w:rsid w:val="002B1E7B"/>
    <w:rsid w:val="002C3BB4"/>
    <w:rsid w:val="002D4077"/>
    <w:rsid w:val="002D75EC"/>
    <w:rsid w:val="002F10C7"/>
    <w:rsid w:val="002F4399"/>
    <w:rsid w:val="002F6FA4"/>
    <w:rsid w:val="002F6FFF"/>
    <w:rsid w:val="00326141"/>
    <w:rsid w:val="00331773"/>
    <w:rsid w:val="00335ED0"/>
    <w:rsid w:val="00340315"/>
    <w:rsid w:val="00347E92"/>
    <w:rsid w:val="00381F51"/>
    <w:rsid w:val="00396A9C"/>
    <w:rsid w:val="003B2401"/>
    <w:rsid w:val="003B4C16"/>
    <w:rsid w:val="003D7BB8"/>
    <w:rsid w:val="003E7DAD"/>
    <w:rsid w:val="003F2905"/>
    <w:rsid w:val="003F328F"/>
    <w:rsid w:val="00401D30"/>
    <w:rsid w:val="00404CF2"/>
    <w:rsid w:val="00435E83"/>
    <w:rsid w:val="004524FF"/>
    <w:rsid w:val="00454A4A"/>
    <w:rsid w:val="0047542C"/>
    <w:rsid w:val="00481F84"/>
    <w:rsid w:val="00483986"/>
    <w:rsid w:val="004854D9"/>
    <w:rsid w:val="00491E1B"/>
    <w:rsid w:val="00497A05"/>
    <w:rsid w:val="004A09E2"/>
    <w:rsid w:val="004A5019"/>
    <w:rsid w:val="004A7E7E"/>
    <w:rsid w:val="004B6062"/>
    <w:rsid w:val="004C34E8"/>
    <w:rsid w:val="004C76DD"/>
    <w:rsid w:val="004C7C2C"/>
    <w:rsid w:val="004D23FC"/>
    <w:rsid w:val="004D6841"/>
    <w:rsid w:val="004F5EE7"/>
    <w:rsid w:val="00501924"/>
    <w:rsid w:val="005314C2"/>
    <w:rsid w:val="005452CD"/>
    <w:rsid w:val="00545B32"/>
    <w:rsid w:val="0055258A"/>
    <w:rsid w:val="00563F8C"/>
    <w:rsid w:val="00564ED2"/>
    <w:rsid w:val="00586D34"/>
    <w:rsid w:val="005C4B93"/>
    <w:rsid w:val="005C6726"/>
    <w:rsid w:val="005D5420"/>
    <w:rsid w:val="005E5501"/>
    <w:rsid w:val="005F60CF"/>
    <w:rsid w:val="00604882"/>
    <w:rsid w:val="006320EE"/>
    <w:rsid w:val="00643C8E"/>
    <w:rsid w:val="006515A7"/>
    <w:rsid w:val="006539A7"/>
    <w:rsid w:val="00662394"/>
    <w:rsid w:val="00671FBF"/>
    <w:rsid w:val="00671FD1"/>
    <w:rsid w:val="00684FC0"/>
    <w:rsid w:val="00692393"/>
    <w:rsid w:val="00694F17"/>
    <w:rsid w:val="00697840"/>
    <w:rsid w:val="006B599F"/>
    <w:rsid w:val="006B6DE7"/>
    <w:rsid w:val="006C4DAF"/>
    <w:rsid w:val="006D1F3D"/>
    <w:rsid w:val="006E22B1"/>
    <w:rsid w:val="006F6AD5"/>
    <w:rsid w:val="0070063D"/>
    <w:rsid w:val="0072027F"/>
    <w:rsid w:val="0073728B"/>
    <w:rsid w:val="00741861"/>
    <w:rsid w:val="007474A9"/>
    <w:rsid w:val="00760E13"/>
    <w:rsid w:val="00787B55"/>
    <w:rsid w:val="00791896"/>
    <w:rsid w:val="007B0621"/>
    <w:rsid w:val="007C1CDA"/>
    <w:rsid w:val="007F15EC"/>
    <w:rsid w:val="007F5EB6"/>
    <w:rsid w:val="007F627F"/>
    <w:rsid w:val="008060C7"/>
    <w:rsid w:val="00812901"/>
    <w:rsid w:val="008244B9"/>
    <w:rsid w:val="0085755C"/>
    <w:rsid w:val="00862536"/>
    <w:rsid w:val="00865AC6"/>
    <w:rsid w:val="008838FC"/>
    <w:rsid w:val="00883ADD"/>
    <w:rsid w:val="008B21E3"/>
    <w:rsid w:val="008C2375"/>
    <w:rsid w:val="008D2C40"/>
    <w:rsid w:val="008E43BC"/>
    <w:rsid w:val="008F7645"/>
    <w:rsid w:val="0090634D"/>
    <w:rsid w:val="00911D7D"/>
    <w:rsid w:val="00915926"/>
    <w:rsid w:val="00926358"/>
    <w:rsid w:val="00941F95"/>
    <w:rsid w:val="00947E23"/>
    <w:rsid w:val="00954876"/>
    <w:rsid w:val="0095592C"/>
    <w:rsid w:val="00957FCA"/>
    <w:rsid w:val="00981C19"/>
    <w:rsid w:val="00985255"/>
    <w:rsid w:val="00990AA3"/>
    <w:rsid w:val="009B0F3A"/>
    <w:rsid w:val="009B6587"/>
    <w:rsid w:val="009E4B64"/>
    <w:rsid w:val="009E6AEB"/>
    <w:rsid w:val="009F70E6"/>
    <w:rsid w:val="00A01E0D"/>
    <w:rsid w:val="00A054DE"/>
    <w:rsid w:val="00A120CD"/>
    <w:rsid w:val="00A15456"/>
    <w:rsid w:val="00A44D35"/>
    <w:rsid w:val="00A4506D"/>
    <w:rsid w:val="00A5467C"/>
    <w:rsid w:val="00A67AA9"/>
    <w:rsid w:val="00A7099E"/>
    <w:rsid w:val="00A73DC5"/>
    <w:rsid w:val="00A744C4"/>
    <w:rsid w:val="00A776AA"/>
    <w:rsid w:val="00A77F88"/>
    <w:rsid w:val="00A90CDF"/>
    <w:rsid w:val="00A9280F"/>
    <w:rsid w:val="00AA115C"/>
    <w:rsid w:val="00AC3F86"/>
    <w:rsid w:val="00B13530"/>
    <w:rsid w:val="00B21EF0"/>
    <w:rsid w:val="00B329F2"/>
    <w:rsid w:val="00B5330D"/>
    <w:rsid w:val="00B6423E"/>
    <w:rsid w:val="00B64378"/>
    <w:rsid w:val="00B65CD8"/>
    <w:rsid w:val="00B83F29"/>
    <w:rsid w:val="00B86987"/>
    <w:rsid w:val="00B95C2F"/>
    <w:rsid w:val="00BC77CF"/>
    <w:rsid w:val="00BF39E3"/>
    <w:rsid w:val="00C06B40"/>
    <w:rsid w:val="00C077BE"/>
    <w:rsid w:val="00C12F6B"/>
    <w:rsid w:val="00C14E68"/>
    <w:rsid w:val="00C2125A"/>
    <w:rsid w:val="00C220A1"/>
    <w:rsid w:val="00C37459"/>
    <w:rsid w:val="00C42C58"/>
    <w:rsid w:val="00C94760"/>
    <w:rsid w:val="00CB5CC4"/>
    <w:rsid w:val="00CB7A69"/>
    <w:rsid w:val="00CD3F81"/>
    <w:rsid w:val="00CF5D67"/>
    <w:rsid w:val="00D00E18"/>
    <w:rsid w:val="00D0760F"/>
    <w:rsid w:val="00D14C36"/>
    <w:rsid w:val="00D2020E"/>
    <w:rsid w:val="00D20290"/>
    <w:rsid w:val="00D21D2E"/>
    <w:rsid w:val="00D4514A"/>
    <w:rsid w:val="00D727CC"/>
    <w:rsid w:val="00D8038F"/>
    <w:rsid w:val="00D85F80"/>
    <w:rsid w:val="00D949EE"/>
    <w:rsid w:val="00DB3246"/>
    <w:rsid w:val="00DC0B90"/>
    <w:rsid w:val="00DE5E15"/>
    <w:rsid w:val="00E2332E"/>
    <w:rsid w:val="00E413C9"/>
    <w:rsid w:val="00E44645"/>
    <w:rsid w:val="00E47504"/>
    <w:rsid w:val="00E47C2E"/>
    <w:rsid w:val="00E52BAD"/>
    <w:rsid w:val="00E648A5"/>
    <w:rsid w:val="00E76A66"/>
    <w:rsid w:val="00E77632"/>
    <w:rsid w:val="00E87069"/>
    <w:rsid w:val="00E911E5"/>
    <w:rsid w:val="00EB2850"/>
    <w:rsid w:val="00EB7E41"/>
    <w:rsid w:val="00EC4E34"/>
    <w:rsid w:val="00ED43E4"/>
    <w:rsid w:val="00ED7886"/>
    <w:rsid w:val="00EE03CA"/>
    <w:rsid w:val="00EE34AB"/>
    <w:rsid w:val="00F1277D"/>
    <w:rsid w:val="00F17F40"/>
    <w:rsid w:val="00F326B3"/>
    <w:rsid w:val="00F34FEE"/>
    <w:rsid w:val="00F41042"/>
    <w:rsid w:val="00F515E1"/>
    <w:rsid w:val="00F70F25"/>
    <w:rsid w:val="00F77DC6"/>
    <w:rsid w:val="00F97C0B"/>
    <w:rsid w:val="00FA7223"/>
    <w:rsid w:val="00FB035B"/>
    <w:rsid w:val="00FC076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AFFC14"/>
  <w15:chartTrackingRefBased/>
  <w15:docId w15:val="{8D78E336-7A7D-4A09-B389-524F3EFD8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CDA"/>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7C1CDA"/>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7C1CDA"/>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7C1CDA"/>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7C1CDA"/>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7C1CDA"/>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7C1CDA"/>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7C1CDA"/>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7C1CDA"/>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D85F80"/>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7C1CDA"/>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7C1CDA"/>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7C1CDA"/>
    <w:rPr>
      <w:rFonts w:ascii="Palatino Linotype" w:hAnsi="Palatino Linotype"/>
      <w:noProof/>
      <w:color w:val="000000"/>
      <w:szCs w:val="18"/>
    </w:rPr>
  </w:style>
  <w:style w:type="paragraph" w:styleId="Header">
    <w:name w:val="header"/>
    <w:basedOn w:val="Normal"/>
    <w:link w:val="HeaderChar"/>
    <w:uiPriority w:val="99"/>
    <w:rsid w:val="007C1CDA"/>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7C1CDA"/>
    <w:rPr>
      <w:rFonts w:ascii="Palatino Linotype" w:hAnsi="Palatino Linotype"/>
      <w:noProof/>
      <w:color w:val="000000"/>
      <w:szCs w:val="18"/>
    </w:rPr>
  </w:style>
  <w:style w:type="paragraph" w:customStyle="1" w:styleId="MDPI32textnoindent">
    <w:name w:val="MDPI_3.2_text_no_indent"/>
    <w:basedOn w:val="MDPI31text"/>
    <w:qFormat/>
    <w:rsid w:val="007C1CDA"/>
    <w:pPr>
      <w:ind w:firstLine="0"/>
    </w:pPr>
  </w:style>
  <w:style w:type="paragraph" w:customStyle="1" w:styleId="MDPI31text">
    <w:name w:val="MDPI_3.1_text"/>
    <w:qFormat/>
    <w:rsid w:val="00671FBF"/>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7C1CDA"/>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7C1CDA"/>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7C1CDA"/>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EE03CA"/>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EE03CA"/>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7C1CDA"/>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7C1CDA"/>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7C1CDA"/>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381F51"/>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7C1CDA"/>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7C1CDA"/>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7C1CDA"/>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7C1CDA"/>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7C1CDA"/>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7C1CDA"/>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1E5F1B"/>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7C1CDA"/>
    <w:rPr>
      <w:rFonts w:cs="Tahoma"/>
      <w:szCs w:val="18"/>
    </w:rPr>
  </w:style>
  <w:style w:type="character" w:customStyle="1" w:styleId="BalloonTextChar">
    <w:name w:val="Balloon Text Char"/>
    <w:link w:val="BalloonText"/>
    <w:uiPriority w:val="99"/>
    <w:rsid w:val="007C1CDA"/>
    <w:rPr>
      <w:rFonts w:ascii="Palatino Linotype" w:hAnsi="Palatino Linotype" w:cs="Tahoma"/>
      <w:noProof/>
      <w:color w:val="000000"/>
      <w:szCs w:val="18"/>
    </w:rPr>
  </w:style>
  <w:style w:type="character" w:styleId="LineNumber">
    <w:name w:val="line number"/>
    <w:uiPriority w:val="99"/>
    <w:rsid w:val="00A15456"/>
    <w:rPr>
      <w:rFonts w:ascii="Palatino Linotype" w:hAnsi="Palatino Linotype"/>
      <w:sz w:val="16"/>
    </w:rPr>
  </w:style>
  <w:style w:type="table" w:customStyle="1" w:styleId="MDPI41threelinetable">
    <w:name w:val="MDPI_4.1_three_line_table"/>
    <w:basedOn w:val="TableNormal"/>
    <w:uiPriority w:val="99"/>
    <w:rsid w:val="007C1CDA"/>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7C1CDA"/>
    <w:rPr>
      <w:color w:val="0000FF"/>
      <w:u w:val="single"/>
    </w:rPr>
  </w:style>
  <w:style w:type="character" w:styleId="UnresolvedMention">
    <w:name w:val="Unresolved Mention"/>
    <w:uiPriority w:val="99"/>
    <w:semiHidden/>
    <w:unhideWhenUsed/>
    <w:rsid w:val="00F70F25"/>
    <w:rPr>
      <w:color w:val="605E5C"/>
      <w:shd w:val="clear" w:color="auto" w:fill="E1DFDD"/>
    </w:rPr>
  </w:style>
  <w:style w:type="table" w:styleId="PlainTable4">
    <w:name w:val="Plain Table 4"/>
    <w:basedOn w:val="TableNormal"/>
    <w:uiPriority w:val="44"/>
    <w:rsid w:val="004C7C2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7C1CDA"/>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7C1CDA"/>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7C1CDA"/>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7C1CDA"/>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7C1CDA"/>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7C1CDA"/>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7474A9"/>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7C1CDA"/>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7C1CDA"/>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3F328F"/>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7C1CDA"/>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7C1CDA"/>
  </w:style>
  <w:style w:type="paragraph" w:styleId="Bibliography">
    <w:name w:val="Bibliography"/>
    <w:basedOn w:val="Normal"/>
    <w:next w:val="Normal"/>
    <w:uiPriority w:val="37"/>
    <w:semiHidden/>
    <w:unhideWhenUsed/>
    <w:rsid w:val="007C1CDA"/>
  </w:style>
  <w:style w:type="paragraph" w:styleId="BodyText">
    <w:name w:val="Body Text"/>
    <w:link w:val="BodyTextChar"/>
    <w:rsid w:val="007C1CDA"/>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7C1CDA"/>
    <w:rPr>
      <w:rFonts w:ascii="Palatino Linotype" w:hAnsi="Palatino Linotype"/>
      <w:color w:val="000000"/>
      <w:sz w:val="24"/>
      <w:lang w:eastAsia="de-DE"/>
    </w:rPr>
  </w:style>
  <w:style w:type="character" w:styleId="CommentReference">
    <w:name w:val="annotation reference"/>
    <w:rsid w:val="007C1CDA"/>
    <w:rPr>
      <w:sz w:val="21"/>
      <w:szCs w:val="21"/>
    </w:rPr>
  </w:style>
  <w:style w:type="paragraph" w:styleId="CommentText">
    <w:name w:val="annotation text"/>
    <w:basedOn w:val="Normal"/>
    <w:link w:val="CommentTextChar"/>
    <w:rsid w:val="007C1CDA"/>
  </w:style>
  <w:style w:type="character" w:customStyle="1" w:styleId="CommentTextChar">
    <w:name w:val="Comment Text Char"/>
    <w:link w:val="CommentText"/>
    <w:rsid w:val="007C1CDA"/>
    <w:rPr>
      <w:rFonts w:ascii="Palatino Linotype" w:hAnsi="Palatino Linotype"/>
      <w:noProof/>
      <w:color w:val="000000"/>
    </w:rPr>
  </w:style>
  <w:style w:type="paragraph" w:styleId="CommentSubject">
    <w:name w:val="annotation subject"/>
    <w:basedOn w:val="CommentText"/>
    <w:next w:val="CommentText"/>
    <w:link w:val="CommentSubjectChar"/>
    <w:rsid w:val="007C1CDA"/>
    <w:rPr>
      <w:b/>
      <w:bCs/>
    </w:rPr>
  </w:style>
  <w:style w:type="character" w:customStyle="1" w:styleId="CommentSubjectChar">
    <w:name w:val="Comment Subject Char"/>
    <w:link w:val="CommentSubject"/>
    <w:rsid w:val="007C1CDA"/>
    <w:rPr>
      <w:rFonts w:ascii="Palatino Linotype" w:hAnsi="Palatino Linotype"/>
      <w:b/>
      <w:bCs/>
      <w:noProof/>
      <w:color w:val="000000"/>
    </w:rPr>
  </w:style>
  <w:style w:type="character" w:styleId="EndnoteReference">
    <w:name w:val="endnote reference"/>
    <w:rsid w:val="007C1CDA"/>
    <w:rPr>
      <w:vertAlign w:val="superscript"/>
    </w:rPr>
  </w:style>
  <w:style w:type="paragraph" w:styleId="EndnoteText">
    <w:name w:val="endnote text"/>
    <w:basedOn w:val="Normal"/>
    <w:link w:val="EndnoteTextChar"/>
    <w:semiHidden/>
    <w:unhideWhenUsed/>
    <w:rsid w:val="007C1CDA"/>
    <w:pPr>
      <w:spacing w:line="240" w:lineRule="auto"/>
    </w:pPr>
  </w:style>
  <w:style w:type="character" w:customStyle="1" w:styleId="EndnoteTextChar">
    <w:name w:val="Endnote Text Char"/>
    <w:link w:val="EndnoteText"/>
    <w:semiHidden/>
    <w:rsid w:val="007C1CDA"/>
    <w:rPr>
      <w:rFonts w:ascii="Palatino Linotype" w:hAnsi="Palatino Linotype"/>
      <w:noProof/>
      <w:color w:val="000000"/>
    </w:rPr>
  </w:style>
  <w:style w:type="character" w:styleId="FollowedHyperlink">
    <w:name w:val="FollowedHyperlink"/>
    <w:rsid w:val="007C1CDA"/>
    <w:rPr>
      <w:color w:val="954F72"/>
      <w:u w:val="single"/>
    </w:rPr>
  </w:style>
  <w:style w:type="paragraph" w:styleId="FootnoteText">
    <w:name w:val="footnote text"/>
    <w:basedOn w:val="Normal"/>
    <w:link w:val="FootnoteTextChar"/>
    <w:semiHidden/>
    <w:unhideWhenUsed/>
    <w:rsid w:val="007C1CDA"/>
    <w:pPr>
      <w:spacing w:line="240" w:lineRule="auto"/>
    </w:pPr>
  </w:style>
  <w:style w:type="character" w:customStyle="1" w:styleId="FootnoteTextChar">
    <w:name w:val="Footnote Text Char"/>
    <w:link w:val="FootnoteText"/>
    <w:semiHidden/>
    <w:rsid w:val="007C1CDA"/>
    <w:rPr>
      <w:rFonts w:ascii="Palatino Linotype" w:hAnsi="Palatino Linotype"/>
      <w:noProof/>
      <w:color w:val="000000"/>
    </w:rPr>
  </w:style>
  <w:style w:type="paragraph" w:styleId="NormalWeb">
    <w:name w:val="Normal (Web)"/>
    <w:basedOn w:val="Normal"/>
    <w:uiPriority w:val="99"/>
    <w:rsid w:val="007C1CDA"/>
    <w:rPr>
      <w:szCs w:val="24"/>
    </w:rPr>
  </w:style>
  <w:style w:type="paragraph" w:customStyle="1" w:styleId="MsoFootnoteText0">
    <w:name w:val="MsoFootnoteText"/>
    <w:basedOn w:val="NormalWeb"/>
    <w:qFormat/>
    <w:rsid w:val="007C1CDA"/>
    <w:rPr>
      <w:rFonts w:ascii="Times New Roman" w:hAnsi="Times New Roman"/>
    </w:rPr>
  </w:style>
  <w:style w:type="character" w:styleId="PageNumber">
    <w:name w:val="page number"/>
    <w:rsid w:val="007C1CDA"/>
  </w:style>
  <w:style w:type="character" w:styleId="PlaceholderText">
    <w:name w:val="Placeholder Text"/>
    <w:uiPriority w:val="99"/>
    <w:semiHidden/>
    <w:rsid w:val="007C1CDA"/>
    <w:rPr>
      <w:color w:val="808080"/>
    </w:rPr>
  </w:style>
  <w:style w:type="paragraph" w:customStyle="1" w:styleId="MDPI71footnotes">
    <w:name w:val="MDPI_7.1_footnotes"/>
    <w:qFormat/>
    <w:rsid w:val="006C4DAF"/>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C212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img.mdpi.org/data/contributor-role-instruction.pdf" TargetMode="External"/><Relationship Id="rId14" Type="http://schemas.openxmlformats.org/officeDocument/2006/relationships/footer" Target="footer2.xml"/><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sama\Downloads\diagnostic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diagnostics-template</Template>
  <TotalTime>0</TotalTime>
  <Pages>6</Pages>
  <Words>2418</Words>
  <Characters>13788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 Digital Gait Biomarkers Ready to Predict Falls? A Systematic Review and PROBAST+AI Appraisal of Wearable and Vision-Based Prognostic Models in Older Adults</dc:title>
  <dc:subject>Diagnostics</dc:subject>
  <dc:creator>Majed S. Alsanea; Yosef Hasan Jbara; Alshimaa Hamdy Ismail; Farha Mujeeb Ahmed Shaikh; Mohammed Gh. Alzahrani</dc:creator>
  <cp:keywords>accidental falls; older adults; gait analysis; wearable sensors; computer vision; prognostic model; machine learning; external validation; PROBAST+AI; digital biomarkers</cp:keywords>
  <dc:description/>
  <cp:lastModifiedBy>Yosef Hasan Jbara</cp:lastModifiedBy>
  <cp:revision>1</cp:revision>
  <dcterms:created xsi:type="dcterms:W3CDTF">2026-09-29T12:00:00Z</dcterms:created>
  <dcterms:modified xsi:type="dcterms:W3CDTF">2026-09-29T12:00:00Z</dcterms:modified>
</cp:coreProperties>
</file>