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32textnoindent"/>
        <w:spacing w:before="0" w:after="120"/>
        <w:ind w:left="0" w:firstLine="0"/>
      </w:pPr>
      <w:r>
        <w:rPr>
          <w:b/>
          <w:sz w:val="32"/>
        </w:rPr>
        <w:t>Supplementary Materials</w:t>
      </w:r>
    </w:p>
    <w:p>
      <w:pPr>
        <w:pStyle w:val="MDPI32textnoindent"/>
        <w:spacing w:before="0" w:after="80"/>
        <w:ind w:left="0" w:firstLine="0"/>
      </w:pPr>
      <w:r>
        <w:t>Are Digital Gait Biomarkers Ready to Predict Falls? A Systematic Review of Wearable and Vision-Based Prognostic Models in Older Adults</w:t>
      </w:r>
    </w:p>
    <w:p>
      <w:pPr>
        <w:pStyle w:val="MDPI32textnoindent"/>
        <w:spacing w:before="0" w:after="80"/>
        <w:ind w:left="0" w:firstLine="0"/>
      </w:pPr>
      <w:r>
        <w:rPr>
          <w:sz w:val="20"/>
        </w:rPr>
        <w:t>Majed S. Alsanea, Yosef Hasan Jbara, Alshimaa Hamdy Ismail, Farha Mujeeb Ahmed Shaikh and Mohammed Gh. Alzahrani</w:t>
      </w:r>
    </w:p>
    <w:p>
      <w:pPr>
        <w:pStyle w:val="MDPI32textnoindent"/>
        <w:spacing w:before="0" w:after="160"/>
        <w:ind w:left="0" w:firstLine="0"/>
      </w:pPr>
      <w:r>
        <w:t>Contents: Table S1. Search strategies as recorded, limits, dates, and yields. Table S2. Detailed data extraction for the 47 included reports. Table S3. Reports assessed without the complete article. Table S4. Excluded reports that might appear eligible, with reasons. Table S5. Cohort-overlap map. Table S6. Representative-estimate selection for each cohort family. Table S7. Archived report-level PROBAST+AI-informed risk-of-bias and applicability judgments, with rationales. Reference numbers in square brackets refer to the reference list of the main article.</w:t>
      </w:r>
    </w:p>
    <w:p>
      <w:pPr>
        <w:pStyle w:val="MDPI32textnoindent"/>
        <w:spacing w:before="200" w:after="80"/>
        <w:ind w:left="0" w:firstLine="0"/>
      </w:pPr>
      <w:r>
        <w:rPr>
          <w:b/>
          <w:sz w:val="20"/>
        </w:rPr>
        <w:t>Table S1. Search strategies as recorded, limits, dates, and yields</w:t>
      </w:r>
    </w:p>
    <w:tbl>
      <w:tblPr>
        <w:tblStyle w:val="MDPI41threelinetable"/>
        <w:tblW w:type="dxa" w:w="15398"/>
        <w:tblLook w:firstColumn="1" w:firstRow="1" w:lastColumn="0" w:lastRow="0" w:noHBand="0" w:noVBand="1" w:val="04A0"/>
        <w:tblLayout w:type="fixed"/>
      </w:tblPr>
      <w:tblGrid>
        <w:gridCol w:w="2274"/>
        <w:gridCol w:w="9921"/>
        <w:gridCol w:w="2067"/>
        <w:gridCol w:w="1136"/>
      </w:tblGrid>
      <w:tr>
        <w:trPr>
          <w:tblHeader/>
        </w:trPr>
        <w:tc>
          <w:tcPr>
            <w:tcW w:type="dxa" w:w="2274"/>
          </w:tcPr>
          <w:p>
            <w:pPr>
              <w:pStyle w:val="MDPI42tablebody"/>
              <w:jc w:val="left"/>
            </w:pPr>
            <w:r>
              <w:rPr>
                <w:b/>
                <w:sz w:val="16"/>
              </w:rPr>
              <w:t>Source (interface)</w:t>
            </w:r>
          </w:p>
        </w:tc>
        <w:tc>
          <w:tcPr>
            <w:tcW w:type="dxa" w:w="9921"/>
          </w:tcPr>
          <w:p>
            <w:pPr>
              <w:pStyle w:val="MDPI42tablebody"/>
              <w:jc w:val="left"/>
            </w:pPr>
            <w:r>
              <w:rPr>
                <w:b/>
                <w:sz w:val="16"/>
              </w:rPr>
              <w:t>Strategy (presented line by line)</w:t>
            </w:r>
          </w:p>
        </w:tc>
        <w:tc>
          <w:tcPr>
            <w:tcW w:type="dxa" w:w="2067"/>
          </w:tcPr>
          <w:p>
            <w:pPr>
              <w:pStyle w:val="MDPI42tablebody"/>
              <w:jc w:val="left"/>
            </w:pPr>
            <w:r>
              <w:rPr>
                <w:b/>
                <w:sz w:val="16"/>
              </w:rPr>
              <w:t>Limits</w:t>
            </w:r>
          </w:p>
        </w:tc>
        <w:tc>
          <w:tcPr>
            <w:tcW w:type="dxa" w:w="1136"/>
          </w:tcPr>
          <w:p>
            <w:pPr>
              <w:pStyle w:val="MDPI42tablebody"/>
              <w:jc w:val="left"/>
            </w:pPr>
            <w:r>
              <w:rPr>
                <w:b/>
                <w:sz w:val="16"/>
              </w:rPr>
              <w:t>Records</w:t>
            </w:r>
          </w:p>
        </w:tc>
      </w:tr>
      <w:tr>
        <w:tc>
          <w:tcPr>
            <w:tcW w:type="dxa" w:w="2274"/>
          </w:tcPr>
          <w:p>
            <w:pPr>
              <w:pStyle w:val="MDPI42tablebody"/>
              <w:jc w:val="left"/>
            </w:pPr>
            <w:r>
              <w:rPr>
                <w:sz w:val="16"/>
              </w:rPr>
              <w:t>MEDLINE (PubMed, NCBI)</w:t>
            </w:r>
          </w:p>
        </w:tc>
        <w:tc>
          <w:tcPr>
            <w:tcW w:type="dxa" w:w="9921"/>
          </w:tcPr>
          <w:p>
            <w:pPr>
              <w:pStyle w:val="MDPI42tablebody"/>
              <w:jc w:val="left"/>
            </w:pPr>
            <w:r>
              <w:rPr>
                <w:sz w:val="16"/>
              </w:rPr>
              <w:t>#1 "Aged"[Mesh] OR "Aged, 80 and over"[Mesh] OR "older adult*"[tiab] OR elderly[tiab] OR geriatric*[tiab] OR "community-dwelling"[tiab]</w:t>
            </w:r>
          </w:p>
          <w:p>
            <w:pPr>
              <w:pStyle w:val="MDPI42tablebody"/>
              <w:jc w:val="left"/>
            </w:pPr>
            <w:r>
              <w:rPr>
                <w:sz w:val="16"/>
              </w:rPr>
              <w:t>#2 "Gait"[Mesh] OR "Gait Analysis"[Mesh] OR "Walking"[Mesh] OR "Postural Balance"[Mesh] OR gait[tiab] OR walking[tiab] OR ambulat*[tiab] OR stride*[tiab] OR spatiotemporal[tiab]</w:t>
            </w:r>
          </w:p>
          <w:p>
            <w:pPr>
              <w:pStyle w:val="MDPI42tablebody"/>
              <w:jc w:val="left"/>
            </w:pPr>
            <w:r>
              <w:rPr>
                <w:sz w:val="16"/>
              </w:rPr>
              <w:t>#3 "Wearable Electronic Devices"[Mesh] OR "Accelerometry"[Mesh] OR accelerometer*[tiab] OR "inertial measurement unit*"[tiab] OR IMU[tiab] OR wearable*[tiab] OR "body-worn"[tiab] OR smartphone*[tiab] OR insole*[tiab] OR "instrumented walkway"[tiab] OR GAITRite[tiab] OR Kinect[tiab] OR "depth camera"[tiab] OR markerless[tiab] OR "pose estimation"[tiab] OR "computer vision"[tiab]</w:t>
            </w:r>
          </w:p>
          <w:p>
            <w:pPr>
              <w:pStyle w:val="MDPI42tablebody"/>
              <w:jc w:val="left"/>
            </w:pPr>
            <w:r>
              <w:rPr>
                <w:sz w:val="16"/>
              </w:rPr>
              <w:t>#4 "Accidental Falls"[Mesh] OR fall[tiab] OR falls[tiab] OR faller*[tiab]</w:t>
            </w:r>
          </w:p>
          <w:p>
            <w:pPr>
              <w:pStyle w:val="MDPI42tablebody"/>
              <w:jc w:val="left"/>
            </w:pPr>
            <w:r>
              <w:rPr>
                <w:sz w:val="16"/>
              </w:rPr>
              <w:t>#5 predict*[tiab] OR prognos*[tiab] OR "risk score"[tiab] OR "machine learning"[tiab] OR AUC[tiab] OR ROC[tiab] OR c-statistic*[tiab] OR calibrat*[tiab] OR validat*[tiab]</w:t>
            </w:r>
          </w:p>
          <w:p>
            <w:pPr>
              <w:pStyle w:val="MDPI42tablebody"/>
              <w:jc w:val="left"/>
            </w:pPr>
            <w:r>
              <w:rPr>
                <w:sz w:val="16"/>
              </w:rPr>
              <w:t>#6 #1 AND #2 AND #3 AND #4 AND #5</w:t>
            </w:r>
          </w:p>
        </w:tc>
        <w:tc>
          <w:tcPr>
            <w:tcW w:type="dxa" w:w="2067"/>
          </w:tcPr>
          <w:p>
            <w:pPr>
              <w:pStyle w:val="MDPI42tablebody"/>
              <w:jc w:val="left"/>
            </w:pPr>
            <w:r>
              <w:rPr>
                <w:sz w:val="16"/>
              </w:rPr>
              <w:t>Publication date 2000/01/01–2026/07/20</w:t>
            </w:r>
          </w:p>
        </w:tc>
        <w:tc>
          <w:tcPr>
            <w:tcW w:type="dxa" w:w="1136"/>
          </w:tcPr>
          <w:p>
            <w:pPr>
              <w:pStyle w:val="MDPI42tablebody"/>
              <w:jc w:val="left"/>
            </w:pPr>
            <w:r>
              <w:rPr>
                <w:sz w:val="16"/>
              </w:rPr>
              <w:t>2418</w:t>
            </w:r>
          </w:p>
        </w:tc>
      </w:tr>
      <w:tr>
        <w:tc>
          <w:tcPr>
            <w:tcW w:type="dxa" w:w="2274"/>
          </w:tcPr>
          <w:p>
            <w:pPr>
              <w:pStyle w:val="MDPI42tablebody"/>
              <w:jc w:val="left"/>
            </w:pPr>
            <w:r>
              <w:rPr>
                <w:sz w:val="16"/>
              </w:rPr>
              <w:t>Embase (Ovid)</w:t>
            </w:r>
          </w:p>
        </w:tc>
        <w:tc>
          <w:tcPr>
            <w:tcW w:type="dxa" w:w="9921"/>
          </w:tcPr>
          <w:p>
            <w:pPr>
              <w:pStyle w:val="MDPI42tablebody"/>
              <w:jc w:val="left"/>
            </w:pPr>
            <w:r>
              <w:rPr>
                <w:sz w:val="16"/>
              </w:rPr>
              <w:t>1 exp aged/</w:t>
            </w:r>
          </w:p>
          <w:p>
            <w:pPr>
              <w:pStyle w:val="MDPI42tablebody"/>
              <w:jc w:val="left"/>
            </w:pPr>
            <w:r>
              <w:rPr>
                <w:sz w:val="16"/>
              </w:rPr>
              <w:t>2 (older adult* or elderly or geriatric*).ti,ab,kw.</w:t>
            </w:r>
          </w:p>
          <w:p>
            <w:pPr>
              <w:pStyle w:val="MDPI42tablebody"/>
              <w:jc w:val="left"/>
            </w:pPr>
            <w:r>
              <w:rPr>
                <w:sz w:val="16"/>
              </w:rPr>
              <w:t>3 1 or 2</w:t>
            </w:r>
          </w:p>
          <w:p>
            <w:pPr>
              <w:pStyle w:val="MDPI42tablebody"/>
              <w:jc w:val="left"/>
            </w:pPr>
            <w:r>
              <w:rPr>
                <w:sz w:val="16"/>
              </w:rPr>
              <w:t>4 exp gait/ or exp walking/ or exp gait analysis/</w:t>
            </w:r>
          </w:p>
          <w:p>
            <w:pPr>
              <w:pStyle w:val="MDPI42tablebody"/>
              <w:jc w:val="left"/>
            </w:pPr>
            <w:r>
              <w:rPr>
                <w:sz w:val="16"/>
              </w:rPr>
              <w:t>5 (gait or walking or ambulat* or stride* or spatiotemporal).ti,ab,kw.</w:t>
            </w:r>
          </w:p>
          <w:p>
            <w:pPr>
              <w:pStyle w:val="MDPI42tablebody"/>
              <w:jc w:val="left"/>
            </w:pPr>
            <w:r>
              <w:rPr>
                <w:sz w:val="16"/>
              </w:rPr>
              <w:t>6 4 or 5</w:t>
            </w:r>
          </w:p>
          <w:p>
            <w:pPr>
              <w:pStyle w:val="MDPI42tablebody"/>
              <w:jc w:val="left"/>
            </w:pPr>
            <w:r>
              <w:rPr>
                <w:sz w:val="16"/>
              </w:rPr>
              <w:t>7 exp wearable computer/ or exp accelerometer/</w:t>
            </w:r>
          </w:p>
          <w:p>
            <w:pPr>
              <w:pStyle w:val="MDPI42tablebody"/>
              <w:jc w:val="left"/>
            </w:pPr>
            <w:r>
              <w:rPr>
                <w:sz w:val="16"/>
              </w:rPr>
              <w:t>8 (accelerometer* or "inertial measurement unit*" or IMU or wearable* or body-worn or smartphone* or insole* or GAITRite or Kinect or "depth camera" or markerless or "pose estimation").ti,ab,kw.</w:t>
            </w:r>
          </w:p>
          <w:p>
            <w:pPr>
              <w:pStyle w:val="MDPI42tablebody"/>
              <w:jc w:val="left"/>
            </w:pPr>
            <w:r>
              <w:rPr>
                <w:sz w:val="16"/>
              </w:rPr>
              <w:t>9 7 or 8</w:t>
            </w:r>
          </w:p>
          <w:p>
            <w:pPr>
              <w:pStyle w:val="MDPI42tablebody"/>
              <w:jc w:val="left"/>
            </w:pPr>
            <w:r>
              <w:rPr>
                <w:sz w:val="16"/>
              </w:rPr>
              <w:t>10 exp falling/ or (fall or falls or faller*).ti,ab,kw.</w:t>
            </w:r>
          </w:p>
          <w:p>
            <w:pPr>
              <w:pStyle w:val="MDPI42tablebody"/>
              <w:jc w:val="left"/>
            </w:pPr>
            <w:r>
              <w:rPr>
                <w:sz w:val="16"/>
              </w:rPr>
              <w:t>11 (predict* or prognos* or "risk score" or "machine learning" or AUC or ROC or c-statistic* or calibrat* or validat*).ti,ab,kw.</w:t>
            </w:r>
          </w:p>
          <w:p>
            <w:pPr>
              <w:pStyle w:val="MDPI42tablebody"/>
              <w:jc w:val="left"/>
            </w:pPr>
            <w:r>
              <w:rPr>
                <w:sz w:val="16"/>
              </w:rPr>
              <w:t>12 3 and 6 and 9 and 10 and 11</w:t>
            </w:r>
          </w:p>
          <w:p>
            <w:pPr>
              <w:pStyle w:val="MDPI42tablebody"/>
              <w:jc w:val="left"/>
            </w:pPr>
            <w:r>
              <w:rPr>
                <w:sz w:val="16"/>
              </w:rPr>
              <w:t>13 limit 12 to yr="2000-2026"</w:t>
            </w:r>
          </w:p>
        </w:tc>
        <w:tc>
          <w:tcPr>
            <w:tcW w:type="dxa" w:w="2067"/>
          </w:tcPr>
          <w:p>
            <w:pPr>
              <w:pStyle w:val="MDPI42tablebody"/>
              <w:jc w:val="left"/>
            </w:pPr>
            <w:r>
              <w:rPr>
                <w:sz w:val="16"/>
              </w:rPr>
              <w:t>Line 13</w:t>
            </w:r>
          </w:p>
        </w:tc>
        <w:tc>
          <w:tcPr>
            <w:tcW w:type="dxa" w:w="1136"/>
          </w:tcPr>
          <w:p>
            <w:pPr>
              <w:pStyle w:val="MDPI42tablebody"/>
              <w:jc w:val="left"/>
            </w:pPr>
            <w:r>
              <w:rPr>
                <w:sz w:val="16"/>
              </w:rPr>
              <w:t>3106</w:t>
            </w:r>
          </w:p>
        </w:tc>
      </w:tr>
      <w:tr>
        <w:tc>
          <w:tcPr>
            <w:tcW w:type="dxa" w:w="2274"/>
          </w:tcPr>
          <w:p>
            <w:pPr>
              <w:pStyle w:val="MDPI42tablebody"/>
              <w:jc w:val="left"/>
            </w:pPr>
            <w:r>
              <w:rPr>
                <w:sz w:val="16"/>
              </w:rPr>
              <w:t>Scopus (Elsevier)</w:t>
            </w:r>
          </w:p>
        </w:tc>
        <w:tc>
          <w:tcPr>
            <w:tcW w:type="dxa" w:w="9921"/>
          </w:tcPr>
          <w:p>
            <w:pPr>
              <w:pStyle w:val="MDPI42tablebody"/>
              <w:jc w:val="left"/>
            </w:pPr>
            <w:r>
              <w:rPr>
                <w:sz w:val="16"/>
              </w:rPr>
              <w:t>TITLE-ABS-KEY("older adult*" OR elderly OR geriatric* OR "community-dwelling")</w:t>
            </w:r>
          </w:p>
          <w:p>
            <w:pPr>
              <w:pStyle w:val="MDPI42tablebody"/>
              <w:jc w:val="left"/>
            </w:pPr>
            <w:r>
              <w:rPr>
                <w:sz w:val="16"/>
              </w:rPr>
              <w:t>AND TITLE-ABS-KEY(gait OR walking OR ambulat* OR stride* OR "spatiotemporal parameter*")</w:t>
            </w:r>
          </w:p>
          <w:p>
            <w:pPr>
              <w:pStyle w:val="MDPI42tablebody"/>
              <w:jc w:val="left"/>
            </w:pPr>
            <w:r>
              <w:rPr>
                <w:sz w:val="16"/>
              </w:rPr>
              <w:t>AND TITLE-ABS-KEY(wearable* OR accelerometer* OR "inertial measurement unit*" OR IMU OR smartphone* OR insole* OR "instrumented walkway" OR GAITRite OR Kinect OR "depth camera" OR markerless OR "pose estimation" OR "computer vision")</w:t>
            </w:r>
          </w:p>
          <w:p>
            <w:pPr>
              <w:pStyle w:val="MDPI42tablebody"/>
              <w:jc w:val="left"/>
            </w:pPr>
            <w:r>
              <w:rPr>
                <w:sz w:val="16"/>
              </w:rPr>
              <w:t>AND TITLE-ABS-KEY(fall OR falls OR faller*)</w:t>
            </w:r>
          </w:p>
        </w:tc>
        <w:tc>
          <w:tcPr>
            <w:tcW w:type="dxa" w:w="2067"/>
          </w:tcPr>
          <w:p>
            <w:pPr>
              <w:pStyle w:val="MDPI42tablebody"/>
              <w:jc w:val="left"/>
            </w:pPr>
            <w:r>
              <w:rPr>
                <w:sz w:val="16"/>
              </w:rPr>
              <w:t>PUBYEAR &gt; 1999 AND PUBYEAR &lt; 2027</w:t>
            </w:r>
          </w:p>
        </w:tc>
        <w:tc>
          <w:tcPr>
            <w:tcW w:type="dxa" w:w="1136"/>
          </w:tcPr>
          <w:p>
            <w:pPr>
              <w:pStyle w:val="MDPI42tablebody"/>
              <w:jc w:val="left"/>
            </w:pPr>
            <w:r>
              <w:rPr>
                <w:sz w:val="16"/>
              </w:rPr>
              <w:t>2874</w:t>
            </w:r>
          </w:p>
        </w:tc>
      </w:tr>
      <w:tr>
        <w:tc>
          <w:tcPr>
            <w:tcW w:type="dxa" w:w="2274"/>
          </w:tcPr>
          <w:p>
            <w:pPr>
              <w:pStyle w:val="MDPI42tablebody"/>
              <w:jc w:val="left"/>
            </w:pPr>
            <w:r>
              <w:rPr>
                <w:sz w:val="16"/>
              </w:rPr>
              <w:t>Web of Science Core Collection (Clarivate)</w:t>
            </w:r>
          </w:p>
        </w:tc>
        <w:tc>
          <w:tcPr>
            <w:tcW w:type="dxa" w:w="9921"/>
          </w:tcPr>
          <w:p>
            <w:pPr>
              <w:pStyle w:val="MDPI42tablebody"/>
              <w:jc w:val="left"/>
            </w:pPr>
            <w:r>
              <w:rPr>
                <w:sz w:val="16"/>
              </w:rPr>
              <w:t>#1 TS=("older adult*" OR elderly OR geriatric*)</w:t>
            </w:r>
          </w:p>
          <w:p>
            <w:pPr>
              <w:pStyle w:val="MDPI42tablebody"/>
              <w:jc w:val="left"/>
            </w:pPr>
            <w:r>
              <w:rPr>
                <w:sz w:val="16"/>
              </w:rPr>
              <w:t>#2 TS=(gait OR walking OR ambulat* OR stride* OR "gait variability")</w:t>
            </w:r>
          </w:p>
          <w:p>
            <w:pPr>
              <w:pStyle w:val="MDPI42tablebody"/>
              <w:jc w:val="left"/>
            </w:pPr>
            <w:r>
              <w:rPr>
                <w:sz w:val="16"/>
              </w:rPr>
              <w:t>#3 TS=(wearable* OR accelerometer* OR "inertial measurement unit*" OR IMU OR smartphone* OR insole* OR GAITRite OR Kinect OR "depth camera" OR markerless OR "pose estimation")</w:t>
            </w:r>
          </w:p>
          <w:p>
            <w:pPr>
              <w:pStyle w:val="MDPI42tablebody"/>
              <w:jc w:val="left"/>
            </w:pPr>
            <w:r>
              <w:rPr>
                <w:sz w:val="16"/>
              </w:rPr>
              <w:t>#4 TS=(fall OR falls OR faller*)</w:t>
            </w:r>
          </w:p>
          <w:p>
            <w:pPr>
              <w:pStyle w:val="MDPI42tablebody"/>
              <w:jc w:val="left"/>
            </w:pPr>
            <w:r>
              <w:rPr>
                <w:sz w:val="16"/>
              </w:rPr>
              <w:t>#5 #1 AND #2 AND #3 AND #4</w:t>
            </w:r>
          </w:p>
        </w:tc>
        <w:tc>
          <w:tcPr>
            <w:tcW w:type="dxa" w:w="2067"/>
          </w:tcPr>
          <w:p>
            <w:pPr>
              <w:pStyle w:val="MDPI42tablebody"/>
              <w:jc w:val="left"/>
            </w:pPr>
            <w:r>
              <w:rPr>
                <w:sz w:val="16"/>
              </w:rPr>
              <w:t>Publication years 2000–2026</w:t>
            </w:r>
          </w:p>
        </w:tc>
        <w:tc>
          <w:tcPr>
            <w:tcW w:type="dxa" w:w="1136"/>
          </w:tcPr>
          <w:p>
            <w:pPr>
              <w:pStyle w:val="MDPI42tablebody"/>
              <w:jc w:val="left"/>
            </w:pPr>
            <w:r>
              <w:rPr>
                <w:sz w:val="16"/>
              </w:rPr>
              <w:t>2239</w:t>
            </w:r>
          </w:p>
        </w:tc>
      </w:tr>
      <w:tr>
        <w:tc>
          <w:tcPr>
            <w:tcW w:type="dxa" w:w="2274"/>
          </w:tcPr>
          <w:p>
            <w:pPr>
              <w:pStyle w:val="MDPI42tablebody"/>
              <w:jc w:val="left"/>
            </w:pPr>
            <w:r>
              <w:rPr>
                <w:sz w:val="16"/>
              </w:rPr>
              <w:t>IEEE Xplore (IEEE)</w:t>
            </w:r>
          </w:p>
        </w:tc>
        <w:tc>
          <w:tcPr>
            <w:tcW w:type="dxa" w:w="9921"/>
          </w:tcPr>
          <w:p>
            <w:pPr>
              <w:pStyle w:val="MDPI42tablebody"/>
              <w:jc w:val="left"/>
            </w:pPr>
            <w:r>
              <w:rPr>
                <w:sz w:val="16"/>
              </w:rPr>
              <w:t>("All Metadata":gait OR "All Metadata":walking OR "All Metadata":stride)</w:t>
            </w:r>
          </w:p>
          <w:p>
            <w:pPr>
              <w:pStyle w:val="MDPI42tablebody"/>
              <w:jc w:val="left"/>
            </w:pPr>
            <w:r>
              <w:rPr>
                <w:sz w:val="16"/>
              </w:rPr>
              <w:t>AND ("All Metadata":"older adult*" OR "All Metadata":elderly OR "All Metadata":geriatric)</w:t>
            </w:r>
          </w:p>
          <w:p>
            <w:pPr>
              <w:pStyle w:val="MDPI42tablebody"/>
              <w:jc w:val="left"/>
            </w:pPr>
            <w:r>
              <w:rPr>
                <w:sz w:val="16"/>
              </w:rPr>
              <w:t>AND ("All Metadata":fall OR "All Metadata":falls OR "All Metadata":faller)</w:t>
            </w:r>
          </w:p>
          <w:p>
            <w:pPr>
              <w:pStyle w:val="MDPI42tablebody"/>
              <w:jc w:val="left"/>
            </w:pPr>
            <w:r>
              <w:rPr>
                <w:sz w:val="16"/>
              </w:rPr>
              <w:t>AND ("All Metadata":predict* OR "All Metadata":"machine learning" OR "All Metadata":classif* OR "All Metadata":prognos*)</w:t>
            </w:r>
          </w:p>
          <w:p>
            <w:pPr>
              <w:pStyle w:val="MDPI42tablebody"/>
              <w:jc w:val="left"/>
            </w:pPr>
            <w:r>
              <w:rPr>
                <w:sz w:val="16"/>
              </w:rPr>
              <w:t>AND ("All Metadata":wearable OR "All Metadata":accelerometer OR "All Metadata":IMU OR "All Metadata":inertial OR "All Metadata":camera OR "All Metadata":vision OR "All Metadata":depth)</w:t>
            </w:r>
          </w:p>
        </w:tc>
        <w:tc>
          <w:tcPr>
            <w:tcW w:type="dxa" w:w="2067"/>
          </w:tcPr>
          <w:p>
            <w:pPr>
              <w:pStyle w:val="MDPI42tablebody"/>
              <w:jc w:val="left"/>
            </w:pPr>
            <w:r>
              <w:rPr>
                <w:sz w:val="16"/>
              </w:rPr>
              <w:t>Publication years 2000–2026</w:t>
            </w:r>
          </w:p>
        </w:tc>
        <w:tc>
          <w:tcPr>
            <w:tcW w:type="dxa" w:w="1136"/>
          </w:tcPr>
          <w:p>
            <w:pPr>
              <w:pStyle w:val="MDPI42tablebody"/>
              <w:jc w:val="left"/>
            </w:pPr>
            <w:r>
              <w:rPr>
                <w:sz w:val="16"/>
              </w:rPr>
              <w:t>1653</w:t>
            </w:r>
          </w:p>
        </w:tc>
      </w:tr>
      <w:tr>
        <w:tc>
          <w:tcPr>
            <w:tcW w:type="dxa" w:w="2274"/>
          </w:tcPr>
          <w:p>
            <w:pPr>
              <w:pStyle w:val="MDPI42tablebody"/>
              <w:jc w:val="left"/>
            </w:pPr>
            <w:r>
              <w:rPr>
                <w:sz w:val="16"/>
              </w:rPr>
              <w:t>CINAHL (EBSCOhost)</w:t>
            </w:r>
          </w:p>
        </w:tc>
        <w:tc>
          <w:tcPr>
            <w:tcW w:type="dxa" w:w="9921"/>
          </w:tcPr>
          <w:p>
            <w:pPr>
              <w:pStyle w:val="MDPI42tablebody"/>
              <w:jc w:val="left"/>
            </w:pPr>
            <w:r>
              <w:rPr>
                <w:sz w:val="16"/>
              </w:rPr>
              <w:t>S1 (MH "Aged+") OR TI ("older adult*" OR elderly) OR AB ("older adult*" OR elderly)</w:t>
            </w:r>
          </w:p>
          <w:p>
            <w:pPr>
              <w:pStyle w:val="MDPI42tablebody"/>
              <w:jc w:val="left"/>
            </w:pPr>
            <w:r>
              <w:rPr>
                <w:sz w:val="16"/>
              </w:rPr>
              <w:t>S2 (MH "Gait+") OR (MH "Walking") OR TI (gait OR walking OR stride*) OR AB (gait OR walking OR stride*)</w:t>
            </w:r>
          </w:p>
          <w:p>
            <w:pPr>
              <w:pStyle w:val="MDPI42tablebody"/>
              <w:jc w:val="left"/>
            </w:pPr>
            <w:r>
              <w:rPr>
                <w:sz w:val="16"/>
              </w:rPr>
              <w:t>S3 (MH "Accelerometry") OR TI (accelerometer* OR wearable* OR "inertial measurement unit*" OR Kinect OR "depth camera") OR AB (accelerometer* OR wearable* OR "inertial measurement unit*" OR Kinect OR "depth camera")</w:t>
            </w:r>
          </w:p>
          <w:p>
            <w:pPr>
              <w:pStyle w:val="MDPI42tablebody"/>
              <w:jc w:val="left"/>
            </w:pPr>
            <w:r>
              <w:rPr>
                <w:sz w:val="16"/>
              </w:rPr>
              <w:t>S4 (MH "Accidental Falls+") OR TI (fall OR falls OR faller*) OR AB (fall OR falls OR faller*)</w:t>
            </w:r>
          </w:p>
          <w:p>
            <w:pPr>
              <w:pStyle w:val="MDPI42tablebody"/>
              <w:jc w:val="left"/>
            </w:pPr>
            <w:r>
              <w:rPr>
                <w:sz w:val="16"/>
              </w:rPr>
              <w:t>S5 TI (predict* OR prognos* OR "risk score" OR AUC OR ROC OR validat*) OR AB (predict* OR prognos* OR "risk score" OR AUC OR ROC OR validat*)</w:t>
            </w:r>
          </w:p>
          <w:p>
            <w:pPr>
              <w:pStyle w:val="MDPI42tablebody"/>
              <w:jc w:val="left"/>
            </w:pPr>
            <w:r>
              <w:rPr>
                <w:sz w:val="16"/>
              </w:rPr>
              <w:t>S6 S1 AND S2 AND S3 AND S4 AND S5</w:t>
            </w:r>
          </w:p>
        </w:tc>
        <w:tc>
          <w:tcPr>
            <w:tcW w:type="dxa" w:w="2067"/>
          </w:tcPr>
          <w:p>
            <w:pPr>
              <w:pStyle w:val="MDPI42tablebody"/>
              <w:jc w:val="left"/>
            </w:pPr>
            <w:r>
              <w:rPr>
                <w:sz w:val="16"/>
              </w:rPr>
              <w:t>Published date 20000101–20260720</w:t>
            </w:r>
          </w:p>
        </w:tc>
        <w:tc>
          <w:tcPr>
            <w:tcW w:type="dxa" w:w="1136"/>
          </w:tcPr>
          <w:p>
            <w:pPr>
              <w:pStyle w:val="MDPI42tablebody"/>
              <w:jc w:val="left"/>
            </w:pPr>
            <w:r>
              <w:rPr>
                <w:sz w:val="16"/>
              </w:rPr>
              <w:t>811</w:t>
            </w:r>
          </w:p>
        </w:tc>
      </w:tr>
      <w:tr>
        <w:tc>
          <w:tcPr>
            <w:tcW w:type="dxa" w:w="2274"/>
          </w:tcPr>
          <w:p>
            <w:pPr>
              <w:pStyle w:val="MDPI42tablebody"/>
              <w:jc w:val="left"/>
            </w:pPr>
            <w:r>
              <w:rPr>
                <w:sz w:val="16"/>
              </w:rPr>
              <w:t>APA PsycInfo (EBSCOhost)</w:t>
            </w:r>
          </w:p>
        </w:tc>
        <w:tc>
          <w:tcPr>
            <w:tcW w:type="dxa" w:w="9921"/>
          </w:tcPr>
          <w:p>
            <w:pPr>
              <w:pStyle w:val="MDPI42tablebody"/>
              <w:jc w:val="left"/>
            </w:pPr>
            <w:r>
              <w:rPr>
                <w:sz w:val="16"/>
              </w:rPr>
              <w:t>S1 DE "Geriatrics" OR DE "Aging" OR TI ("older adult*" OR elderly) OR AB ("older adult*" OR elderly)</w:t>
            </w:r>
          </w:p>
          <w:p>
            <w:pPr>
              <w:pStyle w:val="MDPI42tablebody"/>
              <w:jc w:val="left"/>
            </w:pPr>
            <w:r>
              <w:rPr>
                <w:sz w:val="16"/>
              </w:rPr>
              <w:t>S2 DE "Gait" OR DE "Walking" OR TI (gait OR walking OR stride*) OR AB (gait OR walking OR stride*)</w:t>
            </w:r>
          </w:p>
          <w:p>
            <w:pPr>
              <w:pStyle w:val="MDPI42tablebody"/>
              <w:jc w:val="left"/>
            </w:pPr>
            <w:r>
              <w:rPr>
                <w:sz w:val="16"/>
              </w:rPr>
              <w:t>S3 DE "Falls" OR TI (fall OR falls OR faller*) OR AB (fall OR falls OR faller*)</w:t>
            </w:r>
          </w:p>
          <w:p>
            <w:pPr>
              <w:pStyle w:val="MDPI42tablebody"/>
              <w:jc w:val="left"/>
            </w:pPr>
            <w:r>
              <w:rPr>
                <w:sz w:val="16"/>
              </w:rPr>
              <w:t>S4 TI (accelerometer* OR wearable* OR "inertial measurement unit*" OR "depth camera" OR "computer vision") OR AB (accelerometer* OR wearable* OR "inertial measurement unit*" OR "depth camera" OR "computer vision")</w:t>
            </w:r>
          </w:p>
          <w:p>
            <w:pPr>
              <w:pStyle w:val="MDPI42tablebody"/>
              <w:jc w:val="left"/>
            </w:pPr>
            <w:r>
              <w:rPr>
                <w:sz w:val="16"/>
              </w:rPr>
              <w:t>S5 TI (predict* OR prognos* OR "machine learning" OR ROC OR AUC) OR AB (predict* OR prognos* OR "machine learning" OR ROC OR AUC)</w:t>
            </w:r>
          </w:p>
          <w:p>
            <w:pPr>
              <w:pStyle w:val="MDPI42tablebody"/>
              <w:jc w:val="left"/>
            </w:pPr>
            <w:r>
              <w:rPr>
                <w:sz w:val="16"/>
              </w:rPr>
              <w:t>S6 S1 AND S2 AND S3 AND S4 AND S5</w:t>
            </w:r>
          </w:p>
        </w:tc>
        <w:tc>
          <w:tcPr>
            <w:tcW w:type="dxa" w:w="2067"/>
          </w:tcPr>
          <w:p>
            <w:pPr>
              <w:pStyle w:val="MDPI42tablebody"/>
              <w:jc w:val="left"/>
            </w:pPr>
            <w:r>
              <w:rPr>
                <w:sz w:val="16"/>
              </w:rPr>
              <w:t>Publication year 2000–2026</w:t>
            </w:r>
          </w:p>
        </w:tc>
        <w:tc>
          <w:tcPr>
            <w:tcW w:type="dxa" w:w="1136"/>
          </w:tcPr>
          <w:p>
            <w:pPr>
              <w:pStyle w:val="MDPI42tablebody"/>
              <w:jc w:val="left"/>
            </w:pPr>
            <w:r>
              <w:rPr>
                <w:sz w:val="16"/>
              </w:rPr>
              <w:t>486</w:t>
            </w:r>
          </w:p>
        </w:tc>
      </w:tr>
      <w:tr>
        <w:tc>
          <w:tcPr>
            <w:tcW w:type="dxa" w:w="2274"/>
          </w:tcPr>
          <w:p>
            <w:pPr>
              <w:pStyle w:val="MDPI42tablebody"/>
              <w:jc w:val="left"/>
            </w:pPr>
            <w:r>
              <w:rPr>
                <w:sz w:val="16"/>
              </w:rPr>
              <w:t>ACM Digital Library</w:t>
            </w:r>
          </w:p>
        </w:tc>
        <w:tc>
          <w:tcPr>
            <w:tcW w:type="dxa" w:w="9921"/>
          </w:tcPr>
          <w:p>
            <w:pPr>
              <w:pStyle w:val="MDPI42tablebody"/>
              <w:jc w:val="left"/>
            </w:pPr>
            <w:r>
              <w:rPr>
                <w:sz w:val="16"/>
              </w:rPr>
              <w:t>Abstract:(gait OR walking)</w:t>
            </w:r>
          </w:p>
          <w:p>
            <w:pPr>
              <w:pStyle w:val="MDPI42tablebody"/>
              <w:jc w:val="left"/>
            </w:pPr>
            <w:r>
              <w:rPr>
                <w:sz w:val="16"/>
              </w:rPr>
              <w:t>AND Abstract:("older adult*" OR elderly)</w:t>
            </w:r>
          </w:p>
          <w:p>
            <w:pPr>
              <w:pStyle w:val="MDPI42tablebody"/>
              <w:jc w:val="left"/>
            </w:pPr>
            <w:r>
              <w:rPr>
                <w:sz w:val="16"/>
              </w:rPr>
              <w:t>AND Abstract:(fall OR falls)</w:t>
            </w:r>
          </w:p>
          <w:p>
            <w:pPr>
              <w:pStyle w:val="MDPI42tablebody"/>
              <w:jc w:val="left"/>
            </w:pPr>
            <w:r>
              <w:rPr>
                <w:sz w:val="16"/>
              </w:rPr>
              <w:t>AND Abstract:(predict* OR "machine learning" OR classif*)</w:t>
            </w:r>
          </w:p>
          <w:p>
            <w:pPr>
              <w:pStyle w:val="MDPI42tablebody"/>
              <w:jc w:val="left"/>
            </w:pPr>
            <w:r>
              <w:rPr>
                <w:sz w:val="16"/>
              </w:rPr>
              <w:t>AND Abstract:(wearable OR accelerometer OR sensor OR camera OR vision)</w:t>
            </w:r>
          </w:p>
        </w:tc>
        <w:tc>
          <w:tcPr>
            <w:tcW w:type="dxa" w:w="2067"/>
          </w:tcPr>
          <w:p>
            <w:pPr>
              <w:pStyle w:val="MDPI42tablebody"/>
              <w:jc w:val="left"/>
            </w:pPr>
            <w:r>
              <w:rPr>
                <w:sz w:val="16"/>
              </w:rPr>
              <w:t>Publication date 2000–2026</w:t>
            </w:r>
          </w:p>
        </w:tc>
        <w:tc>
          <w:tcPr>
            <w:tcW w:type="dxa" w:w="1136"/>
          </w:tcPr>
          <w:p>
            <w:pPr>
              <w:pStyle w:val="MDPI42tablebody"/>
              <w:jc w:val="left"/>
            </w:pPr>
            <w:r>
              <w:rPr>
                <w:sz w:val="16"/>
              </w:rPr>
              <w:t>429</w:t>
            </w:r>
          </w:p>
        </w:tc>
      </w:tr>
      <w:tr>
        <w:tc>
          <w:tcPr>
            <w:tcW w:type="dxa" w:w="2274"/>
          </w:tcPr>
          <w:p>
            <w:pPr>
              <w:pStyle w:val="MDPI42tablebody"/>
              <w:jc w:val="left"/>
            </w:pPr>
            <w:r>
              <w:rPr>
                <w:sz w:val="16"/>
              </w:rPr>
              <w:t>Cochrane CENTRAL (Cochrane Library)</w:t>
            </w:r>
          </w:p>
        </w:tc>
        <w:tc>
          <w:tcPr>
            <w:tcW w:type="dxa" w:w="9921"/>
          </w:tcPr>
          <w:p>
            <w:pPr>
              <w:pStyle w:val="MDPI42tablebody"/>
              <w:jc w:val="left"/>
            </w:pPr>
            <w:r>
              <w:rPr>
                <w:sz w:val="16"/>
              </w:rPr>
              <w:t>#1 MeSH descriptor: [Accidental Falls] explode all trees</w:t>
            </w:r>
          </w:p>
          <w:p>
            <w:pPr>
              <w:pStyle w:val="MDPI42tablebody"/>
              <w:jc w:val="left"/>
            </w:pPr>
            <w:r>
              <w:rPr>
                <w:sz w:val="16"/>
              </w:rPr>
              <w:t>#2 (gait OR walking OR mobility):ti,ab,kw</w:t>
            </w:r>
          </w:p>
          <w:p>
            <w:pPr>
              <w:pStyle w:val="MDPI42tablebody"/>
              <w:jc w:val="left"/>
            </w:pPr>
            <w:r>
              <w:rPr>
                <w:sz w:val="16"/>
              </w:rPr>
              <w:t>#3 (wearable OR accelerometer OR sensor OR camera):ti,ab,kw</w:t>
            </w:r>
          </w:p>
          <w:p>
            <w:pPr>
              <w:pStyle w:val="MDPI42tablebody"/>
              <w:jc w:val="left"/>
            </w:pPr>
            <w:r>
              <w:rPr>
                <w:sz w:val="16"/>
              </w:rPr>
              <w:t>#4 (predict* OR prognos* OR "risk score"):ti,ab,kw</w:t>
            </w:r>
          </w:p>
          <w:p>
            <w:pPr>
              <w:pStyle w:val="MDPI42tablebody"/>
              <w:jc w:val="left"/>
            </w:pPr>
            <w:r>
              <w:rPr>
                <w:sz w:val="16"/>
              </w:rPr>
              <w:t>#5 #1 AND #2 AND #3 AND #4</w:t>
            </w:r>
          </w:p>
        </w:tc>
        <w:tc>
          <w:tcPr>
            <w:tcW w:type="dxa" w:w="2067"/>
          </w:tcPr>
          <w:p>
            <w:pPr>
              <w:pStyle w:val="MDPI42tablebody"/>
              <w:jc w:val="left"/>
            </w:pPr>
            <w:r>
              <w:rPr>
                <w:sz w:val="16"/>
              </w:rPr>
              <w:t>Custom date range January 2000–July 2026</w:t>
            </w:r>
          </w:p>
        </w:tc>
        <w:tc>
          <w:tcPr>
            <w:tcW w:type="dxa" w:w="1136"/>
          </w:tcPr>
          <w:p>
            <w:pPr>
              <w:pStyle w:val="MDPI42tablebody"/>
              <w:jc w:val="left"/>
            </w:pPr>
            <w:r>
              <w:rPr>
                <w:sz w:val="16"/>
              </w:rPr>
              <w:t>372</w:t>
            </w:r>
          </w:p>
        </w:tc>
      </w:tr>
      <w:tr>
        <w:tc>
          <w:tcPr>
            <w:tcW w:type="dxa" w:w="2274"/>
          </w:tcPr>
          <w:p>
            <w:pPr>
              <w:pStyle w:val="MDPI42tablebody"/>
              <w:jc w:val="left"/>
            </w:pPr>
            <w:r>
              <w:rPr>
                <w:sz w:val="16"/>
              </w:rPr>
              <w:t>Subtotal: nine bibliographic databases</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6"/>
              </w:rPr>
              <w:t>14,388</w:t>
            </w:r>
          </w:p>
        </w:tc>
      </w:tr>
      <w:tr>
        <w:tc>
          <w:tcPr>
            <w:tcW w:type="dxa" w:w="2274"/>
          </w:tcPr>
          <w:p>
            <w:pPr>
              <w:pStyle w:val="MDPI42tablebody"/>
              <w:jc w:val="left"/>
            </w:pPr>
            <w:r>
              <w:rPr>
                <w:sz w:val="16"/>
              </w:rPr>
              <w:t>Google Scholar</w:t>
            </w:r>
          </w:p>
        </w:tc>
        <w:tc>
          <w:tcPr>
            <w:tcW w:type="dxa" w:w="9921"/>
          </w:tcPr>
          <w:p>
            <w:pPr>
              <w:pStyle w:val="MDPI42tablebody"/>
              <w:jc w:val="left"/>
            </w:pPr>
            <w:r>
              <w:rPr>
                <w:sz w:val="16"/>
              </w:rPr>
              <w:t>("older adults" OR elderly) ("gait" OR "walking") ("fall prediction" OR "falls risk" OR "prospective falls") (wearable OR accelerometer OR inertial OR camera)</w:t>
            </w:r>
          </w:p>
          <w:p>
            <w:pPr>
              <w:pStyle w:val="MDPI42tablebody"/>
              <w:jc w:val="left"/>
            </w:pPr>
            <w:r>
              <w:rPr>
                <w:sz w:val="16"/>
              </w:rPr>
              <w:t>Google Scholar does not support truncation; ranked results are not exhaustively exportable, so the first 200 relevance-ranked records were screened.</w:t>
            </w:r>
          </w:p>
        </w:tc>
        <w:tc>
          <w:tcPr>
            <w:tcW w:type="dxa" w:w="2067"/>
          </w:tcPr>
          <w:p>
            <w:pPr>
              <w:pStyle w:val="MDPI42tablebody"/>
              <w:jc w:val="left"/>
            </w:pPr>
            <w:r>
              <w:rPr>
                <w:sz w:val="16"/>
              </w:rPr>
              <w:t>Custom range 2000–2026; first 200 records</w:t>
            </w:r>
          </w:p>
        </w:tc>
        <w:tc>
          <w:tcPr>
            <w:tcW w:type="dxa" w:w="1136"/>
          </w:tcPr>
          <w:p>
            <w:pPr>
              <w:pStyle w:val="MDPI42tablebody"/>
              <w:jc w:val="left"/>
            </w:pPr>
            <w:r>
              <w:rPr>
                <w:sz w:val="16"/>
              </w:rPr>
              <w:t>200</w:t>
            </w:r>
          </w:p>
        </w:tc>
      </w:tr>
      <w:tr>
        <w:tc>
          <w:tcPr>
            <w:tcW w:type="dxa" w:w="2274"/>
          </w:tcPr>
          <w:p>
            <w:pPr>
              <w:pStyle w:val="MDPI42tablebody"/>
              <w:jc w:val="left"/>
            </w:pPr>
            <w:r>
              <w:rPr>
                <w:sz w:val="16"/>
              </w:rPr>
              <w:t>Trial and study registries</w:t>
            </w:r>
          </w:p>
        </w:tc>
        <w:tc>
          <w:tcPr>
            <w:tcW w:type="dxa" w:w="9921"/>
          </w:tcPr>
          <w:p>
            <w:pPr>
              <w:pStyle w:val="MDPI42tablebody"/>
              <w:jc w:val="left"/>
            </w:pPr>
            <w:r>
              <w:rPr>
                <w:sz w:val="16"/>
              </w:rPr>
              <w:t>Retained aggregate record: older adults; gait or walking; wearable or vision sensing; falls; prediction. Registry names and exact queries were not retained.</w:t>
            </w:r>
          </w:p>
        </w:tc>
        <w:tc>
          <w:tcPr>
            <w:tcW w:type="dxa" w:w="2067"/>
          </w:tcPr>
          <w:p>
            <w:pPr>
              <w:pStyle w:val="MDPI42tablebody"/>
              <w:jc w:val="left"/>
            </w:pPr>
            <w:r>
              <w:rPr>
                <w:sz w:val="16"/>
              </w:rPr>
              <w:t>2000–2026</w:t>
            </w:r>
          </w:p>
        </w:tc>
        <w:tc>
          <w:tcPr>
            <w:tcW w:type="dxa" w:w="1136"/>
          </w:tcPr>
          <w:p>
            <w:pPr>
              <w:pStyle w:val="MDPI42tablebody"/>
              <w:jc w:val="left"/>
            </w:pPr>
            <w:r>
              <w:rPr>
                <w:sz w:val="16"/>
              </w:rPr>
              <w:t>41</w:t>
            </w:r>
          </w:p>
        </w:tc>
      </w:tr>
      <w:tr>
        <w:tc>
          <w:tcPr>
            <w:tcW w:type="dxa" w:w="2274"/>
          </w:tcPr>
          <w:p>
            <w:pPr>
              <w:pStyle w:val="MDPI42tablebody"/>
              <w:jc w:val="left"/>
            </w:pPr>
            <w:r>
              <w:rPr>
                <w:sz w:val="16"/>
              </w:rPr>
              <w:t>ProQuest Dissertations &amp; Theses Global</w:t>
            </w:r>
          </w:p>
        </w:tc>
        <w:tc>
          <w:tcPr>
            <w:tcW w:type="dxa" w:w="9921"/>
          </w:tcPr>
          <w:p>
            <w:pPr>
              <w:pStyle w:val="MDPI42tablebody"/>
              <w:jc w:val="left"/>
            </w:pPr>
            <w:r>
              <w:rPr>
                <w:sz w:val="16"/>
              </w:rPr>
              <w:t>Core concepts searched: older adults; gait or walking; wearable or vision sensing; falls; prediction.</w:t>
            </w:r>
          </w:p>
        </w:tc>
        <w:tc>
          <w:tcPr>
            <w:tcW w:type="dxa" w:w="2067"/>
          </w:tcPr>
          <w:p>
            <w:pPr>
              <w:pStyle w:val="MDPI42tablebody"/>
              <w:jc w:val="left"/>
            </w:pPr>
            <w:r>
              <w:rPr>
                <w:sz w:val="16"/>
              </w:rPr>
              <w:t>2000–2026</w:t>
            </w:r>
          </w:p>
        </w:tc>
        <w:tc>
          <w:tcPr>
            <w:tcW w:type="dxa" w:w="1136"/>
          </w:tcPr>
          <w:p>
            <w:pPr>
              <w:pStyle w:val="MDPI42tablebody"/>
              <w:jc w:val="left"/>
            </w:pPr>
            <w:r>
              <w:rPr>
                <w:sz w:val="16"/>
              </w:rPr>
              <w:t>38</w:t>
            </w:r>
          </w:p>
        </w:tc>
      </w:tr>
      <w:tr>
        <w:tc>
          <w:tcPr>
            <w:tcW w:type="dxa" w:w="2274"/>
          </w:tcPr>
          <w:p>
            <w:pPr>
              <w:pStyle w:val="MDPI42tablebody"/>
              <w:jc w:val="left"/>
            </w:pPr>
            <w:r>
              <w:rPr>
                <w:sz w:val="16"/>
              </w:rPr>
              <w:t>Subtotal: database and register route</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6"/>
              </w:rPr>
              <w:t>14,667</w:t>
            </w:r>
          </w:p>
        </w:tc>
      </w:tr>
      <w:tr>
        <w:tc>
          <w:tcPr>
            <w:tcW w:type="dxa" w:w="2274"/>
          </w:tcPr>
          <w:p>
            <w:pPr>
              <w:pStyle w:val="MDPI42tablebody"/>
              <w:jc w:val="left"/>
            </w:pPr>
            <w:r>
              <w:rPr>
                <w:sz w:val="16"/>
              </w:rPr>
              <w:t>Citation searching</w:t>
            </w:r>
          </w:p>
        </w:tc>
        <w:tc>
          <w:tcPr>
            <w:tcW w:type="dxa" w:w="9921"/>
          </w:tcPr>
          <w:p>
            <w:pPr>
              <w:pStyle w:val="MDPI42tablebody"/>
              <w:jc w:val="left"/>
            </w:pPr>
            <w:r>
              <w:rPr>
                <w:sz w:val="16"/>
              </w:rPr>
              <w:t>Reference lists (backward) and citing articles (forward) of included reports and relevant reviews.</w:t>
            </w:r>
          </w:p>
        </w:tc>
        <w:tc>
          <w:tcPr>
            <w:tcW w:type="dxa" w:w="2067"/>
          </w:tcPr>
          <w:p>
            <w:pPr>
              <w:pStyle w:val="MDPI42tablebody"/>
              <w:jc w:val="left"/>
            </w:pPr>
            <w:r>
              <w:rPr>
                <w:sz w:val="16"/>
              </w:rPr>
              <w:t>To 20 July 2026</w:t>
            </w:r>
          </w:p>
        </w:tc>
        <w:tc>
          <w:tcPr>
            <w:tcW w:type="dxa" w:w="1136"/>
          </w:tcPr>
          <w:p>
            <w:pPr>
              <w:pStyle w:val="MDPI42tablebody"/>
              <w:jc w:val="left"/>
            </w:pPr>
            <w:r>
              <w:rPr>
                <w:sz w:val="16"/>
              </w:rPr>
              <w:t>147</w:t>
            </w:r>
          </w:p>
        </w:tc>
      </w:tr>
      <w:tr>
        <w:tc>
          <w:tcPr>
            <w:tcW w:type="dxa" w:w="2274"/>
          </w:tcPr>
          <w:p>
            <w:pPr>
              <w:pStyle w:val="MDPI42tablebody"/>
              <w:jc w:val="left"/>
            </w:pPr>
            <w:r>
              <w:rPr>
                <w:sz w:val="16"/>
              </w:rPr>
              <w:t>Preprint servers (medRxiv, arXiv)</w:t>
            </w:r>
          </w:p>
        </w:tc>
        <w:tc>
          <w:tcPr>
            <w:tcW w:type="dxa" w:w="9921"/>
          </w:tcPr>
          <w:p>
            <w:pPr>
              <w:pStyle w:val="MDPI42tablebody"/>
              <w:jc w:val="left"/>
            </w:pPr>
            <w:r>
              <w:rPr>
                <w:sz w:val="16"/>
              </w:rPr>
              <w:t>Core concepts searched: older adults; gait or walking; wearable or vision sensing; falls; prediction.</w:t>
            </w:r>
          </w:p>
        </w:tc>
        <w:tc>
          <w:tcPr>
            <w:tcW w:type="dxa" w:w="2067"/>
          </w:tcPr>
          <w:p>
            <w:pPr>
              <w:pStyle w:val="MDPI42tablebody"/>
              <w:jc w:val="left"/>
            </w:pPr>
            <w:r>
              <w:rPr>
                <w:sz w:val="16"/>
              </w:rPr>
              <w:t>2000–2026</w:t>
            </w:r>
          </w:p>
        </w:tc>
        <w:tc>
          <w:tcPr>
            <w:tcW w:type="dxa" w:w="1136"/>
          </w:tcPr>
          <w:p>
            <w:pPr>
              <w:pStyle w:val="MDPI42tablebody"/>
              <w:jc w:val="left"/>
            </w:pPr>
            <w:r>
              <w:rPr>
                <w:sz w:val="16"/>
              </w:rPr>
              <w:t>63</w:t>
            </w:r>
          </w:p>
        </w:tc>
      </w:tr>
      <w:tr>
        <w:tc>
          <w:tcPr>
            <w:tcW w:type="dxa" w:w="2274"/>
          </w:tcPr>
          <w:p>
            <w:pPr>
              <w:pStyle w:val="MDPI42tablebody"/>
              <w:jc w:val="left"/>
            </w:pPr>
            <w:r>
              <w:rPr>
                <w:sz w:val="16"/>
              </w:rPr>
              <w:t>Journal hand-searching</w:t>
            </w:r>
          </w:p>
        </w:tc>
        <w:tc>
          <w:tcPr>
            <w:tcW w:type="dxa" w:w="9921"/>
          </w:tcPr>
          <w:p>
            <w:pPr>
              <w:pStyle w:val="MDPI42tablebody"/>
              <w:jc w:val="left"/>
            </w:pPr>
            <w:r>
              <w:rPr>
                <w:sz w:val="16"/>
              </w:rPr>
              <w:t>Targeted table-of-contents screening of relevant journals. Journal names, issues or date spans screened, and page-level logs were not retained.</w:t>
            </w:r>
          </w:p>
        </w:tc>
        <w:tc>
          <w:tcPr>
            <w:tcW w:type="dxa" w:w="2067"/>
          </w:tcPr>
          <w:p>
            <w:pPr>
              <w:pStyle w:val="MDPI42tablebody"/>
              <w:jc w:val="left"/>
            </w:pPr>
            <w:r>
              <w:rPr>
                <w:sz w:val="16"/>
              </w:rPr>
              <w:t>To 20 July 2026</w:t>
            </w:r>
          </w:p>
        </w:tc>
        <w:tc>
          <w:tcPr>
            <w:tcW w:type="dxa" w:w="1136"/>
          </w:tcPr>
          <w:p>
            <w:pPr>
              <w:pStyle w:val="MDPI42tablebody"/>
              <w:jc w:val="left"/>
            </w:pPr>
            <w:r>
              <w:rPr>
                <w:sz w:val="16"/>
              </w:rPr>
              <w:t>29</w:t>
            </w:r>
          </w:p>
        </w:tc>
      </w:tr>
      <w:tr>
        <w:tc>
          <w:tcPr>
            <w:tcW w:type="dxa" w:w="2274"/>
          </w:tcPr>
          <w:p>
            <w:pPr>
              <w:pStyle w:val="MDPI42tablebody"/>
              <w:jc w:val="left"/>
            </w:pPr>
            <w:r>
              <w:rPr>
                <w:sz w:val="16"/>
              </w:rPr>
              <w:t>Contact with authors</w:t>
            </w:r>
          </w:p>
        </w:tc>
        <w:tc>
          <w:tcPr>
            <w:tcW w:type="dxa" w:w="9921"/>
          </w:tcPr>
          <w:p>
            <w:pPr>
              <w:pStyle w:val="MDPI42tablebody"/>
              <w:jc w:val="left"/>
            </w:pPr>
            <w:r>
              <w:rPr>
                <w:sz w:val="16"/>
              </w:rPr>
              <w:t>Contact with study authors to identify additional published reports; no unpublished data were requested. Source-level contact logs were not retained.</w:t>
            </w:r>
          </w:p>
        </w:tc>
        <w:tc>
          <w:tcPr>
            <w:tcW w:type="dxa" w:w="2067"/>
          </w:tcPr>
          <w:p>
            <w:pPr>
              <w:pStyle w:val="MDPI42tablebody"/>
              <w:jc w:val="left"/>
            </w:pPr>
            <w:r>
              <w:rPr>
                <w:sz w:val="16"/>
              </w:rPr>
              <w:t>To 20 July 2026</w:t>
            </w:r>
          </w:p>
        </w:tc>
        <w:tc>
          <w:tcPr>
            <w:tcW w:type="dxa" w:w="1136"/>
          </w:tcPr>
          <w:p>
            <w:pPr>
              <w:pStyle w:val="MDPI42tablebody"/>
              <w:jc w:val="left"/>
            </w:pPr>
            <w:r>
              <w:rPr>
                <w:sz w:val="16"/>
              </w:rPr>
              <w:t>6</w:t>
            </w:r>
          </w:p>
        </w:tc>
      </w:tr>
      <w:tr>
        <w:tc>
          <w:tcPr>
            <w:tcW w:type="dxa" w:w="2274"/>
          </w:tcPr>
          <w:p>
            <w:pPr>
              <w:pStyle w:val="MDPI42tablebody"/>
              <w:jc w:val="left"/>
            </w:pPr>
            <w:r>
              <w:rPr>
                <w:sz w:val="16"/>
              </w:rPr>
              <w:t>Subtotal: other methods</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6"/>
              </w:rPr>
              <w:t>245</w:t>
            </w:r>
          </w:p>
        </w:tc>
      </w:tr>
      <w:tr>
        <w:tc>
          <w:tcPr>
            <w:tcW w:type="dxa" w:w="2274"/>
          </w:tcPr>
          <w:p>
            <w:pPr>
              <w:pStyle w:val="MDPI42tablebody"/>
              <w:jc w:val="left"/>
            </w:pPr>
            <w:r>
              <w:rPr>
                <w:sz w:val="16"/>
              </w:rPr>
              <w:t>Total before deduplication</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6"/>
              </w:rPr>
              <w:t>14,912</w:t>
            </w:r>
          </w:p>
        </w:tc>
      </w:tr>
      <w:tr>
        <w:tc>
          <w:tcPr>
            <w:tcW w:type="dxa" w:w="2274"/>
          </w:tcPr>
          <w:p>
            <w:pPr>
              <w:pStyle w:val="MDPI42tablebody"/>
              <w:jc w:val="left"/>
            </w:pPr>
            <w:r>
              <w:rPr>
                <w:sz w:val="16"/>
              </w:rPr>
              <w:t>Known-item and eligibility sensitivity check</w:t>
            </w:r>
          </w:p>
        </w:tc>
        <w:tc>
          <w:tcPr>
            <w:tcW w:type="dxa" w:w="9921"/>
          </w:tcPr>
          <w:p>
            <w:pPr>
              <w:pStyle w:val="MDPI42tablebody"/>
              <w:jc w:val="left"/>
            </w:pPr>
            <w:r>
              <w:rPr>
                <w:sz w:val="16"/>
              </w:rPr>
              <w:t>Screened records and citation-linked candidates of included reports rechecked using broader mobility-test terminology (Timed Up and Go, sit-to-stand, turning, stepping, postural, and balance terms).</w:t>
            </w:r>
          </w:p>
        </w:tc>
        <w:tc>
          <w:tcPr>
            <w:tcW w:type="dxa" w:w="2067"/>
          </w:tcPr>
          <w:p>
            <w:pPr>
              <w:pStyle w:val="MDPI42tablebody"/>
              <w:jc w:val="left"/>
            </w:pPr>
            <w:r>
              <w:rPr>
                <w:sz w:val="16"/>
              </w:rPr>
              <w:t>Before synthesis</w:t>
            </w:r>
          </w:p>
        </w:tc>
        <w:tc>
          <w:tcPr>
            <w:tcW w:type="dxa" w:w="1136"/>
          </w:tcPr>
          <w:p>
            <w:pPr>
              <w:pStyle w:val="MDPI42tablebody"/>
              <w:jc w:val="left"/>
            </w:pPr>
            <w:r>
              <w:rPr>
                <w:sz w:val="16"/>
              </w:rPr>
              <w:t>1 additional eligible report</w:t>
            </w:r>
          </w:p>
        </w:tc>
      </w:tr>
    </w:tbl>
    <w:p>
      <w:pPr>
        <w:pStyle w:val="MDPI32textnoindent"/>
        <w:spacing w:before="60" w:after="160"/>
        <w:ind w:left="0" w:firstLine="0"/>
      </w:pPr>
      <w:r>
        <w:t>All sources were last searched on 20 July 2026. The nine database strategies and yields below are retained, author-supplied search-history transcriptions; typography, line breaks, quotation marks, and field-tag spacing were normalized for readability, without reconstructing missing syntax. Registry names and exact registry queries were not retained. Targeted journal table-of-contents screening was undertaken, but the journal names, issues or date spans screened, and page-level logs were not retained. Study authors were contacted to identify additional published reports, but source-level contact logs were not retained; no unpublished data were requested. No formal PRESS peer review of the search strategies was documented. Supplementary-source yields are therefore reported only in the aggregate form in which they were retained. After removal of 5433 duplicates, 9479 records were screened, 352 reports were sought, 11 were not retrieved, 341 were assessed for eligibility (10 from abstracts only), 294 were excluded, and 47 were included: 37 assessed from the complete article and 10 from abstracts only.</w:t>
      </w:r>
    </w:p>
    <w:p>
      <w:pPr>
        <w:pStyle w:val="MDPI32textnoindent"/>
        <w:spacing w:before="200" w:after="80"/>
        <w:ind w:left="0" w:firstLine="0"/>
      </w:pPr>
      <w:r>
        <w:rPr>
          <w:b/>
          <w:sz w:val="20"/>
        </w:rPr>
        <w:t>Table S2. Detailed data extraction for the 47 included reports</w:t>
      </w:r>
    </w:p>
    <w:tbl>
      <w:tblPr>
        <w:tblStyle w:val="MDPI41threelinetable"/>
        <w:tblW w:type="dxa" w:w="15398"/>
        <w:tblLook w:firstColumn="1" w:firstRow="1" w:lastColumn="0" w:lastRow="0" w:noHBand="0" w:noVBand="1" w:val="04A0"/>
        <w:tblLayout w:type="fixed"/>
      </w:tblPr>
      <w:tblGrid>
        <w:gridCol w:w="1428"/>
        <w:gridCol w:w="2243"/>
        <w:gridCol w:w="2243"/>
        <w:gridCol w:w="1734"/>
        <w:gridCol w:w="1937"/>
        <w:gridCol w:w="2549"/>
        <w:gridCol w:w="1020"/>
        <w:gridCol w:w="2244"/>
      </w:tblGrid>
      <w:tr>
        <w:trPr>
          <w:tblHeader/>
        </w:trPr>
        <w:tc>
          <w:tcPr>
            <w:tcW w:type="dxa" w:w="1428"/>
          </w:tcPr>
          <w:p>
            <w:pPr>
              <w:pStyle w:val="MDPI42tablebody"/>
              <w:jc w:val="left"/>
            </w:pPr>
            <w:r>
              <w:rPr>
                <w:b/>
                <w:sz w:val="16"/>
              </w:rPr>
              <w:t>Report [ref.]</w:t>
            </w:r>
          </w:p>
        </w:tc>
        <w:tc>
          <w:tcPr>
            <w:tcW w:type="dxa" w:w="2243"/>
          </w:tcPr>
          <w:p>
            <w:pPr>
              <w:pStyle w:val="MDPI42tablebody"/>
              <w:jc w:val="left"/>
            </w:pPr>
            <w:r>
              <w:rPr>
                <w:b/>
                <w:sz w:val="16"/>
              </w:rPr>
              <w:t>Population, cohort, sample, and fallers</w:t>
            </w:r>
          </w:p>
        </w:tc>
        <w:tc>
          <w:tcPr>
            <w:tcW w:type="dxa" w:w="2243"/>
          </w:tcPr>
          <w:p>
            <w:pPr>
              <w:pStyle w:val="MDPI42tablebody"/>
              <w:jc w:val="left"/>
            </w:pPr>
            <w:r>
              <w:rPr>
                <w:b/>
                <w:sz w:val="16"/>
              </w:rPr>
              <w:t>Gait technology, assessment, and candidate predictors</w:t>
            </w:r>
          </w:p>
        </w:tc>
        <w:tc>
          <w:tcPr>
            <w:tcW w:type="dxa" w:w="1734"/>
          </w:tcPr>
          <w:p>
            <w:pPr>
              <w:pStyle w:val="MDPI42tablebody"/>
              <w:jc w:val="left"/>
            </w:pPr>
            <w:r>
              <w:rPr>
                <w:b/>
                <w:sz w:val="16"/>
              </w:rPr>
              <w:t>Fall outcome, horizon, and ascertainment</w:t>
            </w:r>
          </w:p>
        </w:tc>
        <w:tc>
          <w:tcPr>
            <w:tcW w:type="dxa" w:w="1937"/>
          </w:tcPr>
          <w:p>
            <w:pPr>
              <w:pStyle w:val="MDPI42tablebody"/>
              <w:jc w:val="left"/>
            </w:pPr>
            <w:r>
              <w:rPr>
                <w:b/>
                <w:sz w:val="16"/>
              </w:rPr>
              <w:t>Model and validation stage</w:t>
            </w:r>
          </w:p>
        </w:tc>
        <w:tc>
          <w:tcPr>
            <w:tcW w:type="dxa" w:w="2549"/>
          </w:tcPr>
          <w:p>
            <w:pPr>
              <w:pStyle w:val="MDPI42tablebody"/>
              <w:jc w:val="left"/>
            </w:pPr>
            <w:r>
              <w:rPr>
                <w:b/>
                <w:sz w:val="16"/>
              </w:rPr>
              <w:t>Performance and calibration</w:t>
            </w:r>
          </w:p>
        </w:tc>
        <w:tc>
          <w:tcPr>
            <w:tcW w:type="dxa" w:w="1020"/>
          </w:tcPr>
          <w:p>
            <w:pPr>
              <w:pStyle w:val="MDPI42tablebody"/>
              <w:jc w:val="left"/>
            </w:pPr>
            <w:r>
              <w:rPr>
                <w:b/>
                <w:sz w:val="16"/>
              </w:rPr>
              <w:t>PROBAST+AI overall</w:t>
            </w:r>
          </w:p>
        </w:tc>
        <w:tc>
          <w:tcPr>
            <w:tcW w:type="dxa" w:w="2244"/>
          </w:tcPr>
          <w:p>
            <w:pPr>
              <w:pStyle w:val="MDPI42tablebody"/>
              <w:jc w:val="left"/>
            </w:pPr>
            <w:r>
              <w:rPr>
                <w:b/>
                <w:sz w:val="16"/>
              </w:rPr>
              <w:t>Principal limitation and source</w:t>
            </w:r>
          </w:p>
        </w:tc>
      </w:tr>
      <w:tr>
        <w:tc>
          <w:tcPr>
            <w:tcW w:type="dxa" w:w="1428"/>
          </w:tcPr>
          <w:p>
            <w:pPr>
              <w:pStyle w:val="MDPI42tablebody"/>
              <w:jc w:val="left"/>
            </w:pPr>
            <w:r>
              <w:rPr>
                <w:sz w:val="16"/>
              </w:rPr>
              <w:t>Marschollek et al. (2011) [18] †</w:t>
            </w:r>
          </w:p>
        </w:tc>
        <w:tc>
          <w:tcPr>
            <w:tcW w:type="dxa" w:w="2243"/>
          </w:tcPr>
          <w:p>
            <w:pPr>
              <w:pStyle w:val="MDPI42tablebody"/>
              <w:jc w:val="left"/>
            </w:pPr>
            <w:r>
              <w:rPr>
                <w:sz w:val="16"/>
              </w:rPr>
              <w:t>Geriatric inpatients; follow-up mean age approximately 81 years; cohort: Marschollek-geriatric-inpatient; sample: 119 baseline; 50 followed; events: NR</w:t>
            </w:r>
          </w:p>
        </w:tc>
        <w:tc>
          <w:tcPr>
            <w:tcW w:type="dxa" w:w="2243"/>
          </w:tcPr>
          <w:p>
            <w:pPr>
              <w:pStyle w:val="MDPI42tablebody"/>
              <w:jc w:val="left"/>
            </w:pPr>
            <w:r>
              <w:rPr>
                <w:sz w:val="16"/>
              </w:rPr>
              <w:t>Waist accelerometer; TUG and 20-m walk plus home-activity rating; candidate predictors: Sensor-derived gait/dynamic-balance parameters with or without physical activity</w:t>
            </w:r>
          </w:p>
        </w:tc>
        <w:tc>
          <w:tcPr>
            <w:tcW w:type="dxa" w:w="1734"/>
          </w:tcPr>
          <w:p>
            <w:pPr>
              <w:pStyle w:val="MDPI42tablebody"/>
              <w:jc w:val="left"/>
            </w:pPr>
            <w:r>
              <w:rPr>
                <w:sz w:val="16"/>
              </w:rPr>
              <w:t>Prospective falls; horizon: 12 months; ascertainment: Telephone interview at 1 year</w:t>
            </w:r>
          </w:p>
        </w:tc>
        <w:tc>
          <w:tcPr>
            <w:tcW w:type="dxa" w:w="1937"/>
          </w:tcPr>
          <w:p>
            <w:pPr>
              <w:pStyle w:val="MDPI42tablebody"/>
              <w:jc w:val="left"/>
            </w:pPr>
            <w:r>
              <w:rPr>
                <w:sz w:val="16"/>
              </w:rPr>
              <w:t>Classification trees and logistic regression; stage: development internal validation; validation: Repeated 10×10-fold cross-validation</w:t>
            </w:r>
          </w:p>
        </w:tc>
        <w:tc>
          <w:tcPr>
            <w:tcW w:type="dxa" w:w="2549"/>
          </w:tcPr>
          <w:p>
            <w:pPr>
              <w:pStyle w:val="MDPI42tablebody"/>
              <w:jc w:val="left"/>
            </w:pPr>
            <w:r>
              <w:rPr>
                <w:sz w:val="16"/>
              </w:rPr>
              <w:t>Best classification-tree sensor+activity model AUC=0.87 and Brier score=0.14; logistic sensor+activity AUC=0.72; Calibration: Brier score reported; calibration plot/slope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Severe attrition (50/119 followed); small effective sample; 1-year recall of falls; model selection and validation in same cohort; source: indexed/publisher abstract only.</w:t>
            </w:r>
          </w:p>
        </w:tc>
      </w:tr>
      <w:tr>
        <w:tc>
          <w:tcPr>
            <w:tcW w:type="dxa" w:w="1428"/>
          </w:tcPr>
          <w:p>
            <w:pPr>
              <w:pStyle w:val="MDPI42tablebody"/>
              <w:jc w:val="left"/>
            </w:pPr>
            <w:r>
              <w:rPr>
                <w:sz w:val="16"/>
              </w:rPr>
              <w:t>Marschollek et al. (2011) [19]</w:t>
            </w:r>
          </w:p>
        </w:tc>
        <w:tc>
          <w:tcPr>
            <w:tcW w:type="dxa" w:w="2243"/>
          </w:tcPr>
          <w:p>
            <w:pPr>
              <w:pStyle w:val="MDPI42tablebody"/>
              <w:jc w:val="left"/>
            </w:pPr>
            <w:r>
              <w:rPr>
                <w:sz w:val="16"/>
              </w:rPr>
              <w:t>Geriatric inpatients; follow-up mean age 81.3 years; cohort: Marschollek-geriatric-inpatient; sample: 119 baseline; 50 followed; 46 complete sensor records; events: 19 fallers; 27 nonfallers among complete cases</w:t>
            </w:r>
          </w:p>
        </w:tc>
        <w:tc>
          <w:tcPr>
            <w:tcW w:type="dxa" w:w="2243"/>
          </w:tcPr>
          <w:p>
            <w:pPr>
              <w:pStyle w:val="MDPI42tablebody"/>
              <w:jc w:val="left"/>
            </w:pPr>
            <w:r>
              <w:rPr>
                <w:sz w:val="16"/>
              </w:rPr>
              <w:t>Waist tri-axial accelerometer; TUG and 20-m walk; candidate predictors: Sensor gait/dynamic-balance parameters and activity; conventional assessment comparator</w:t>
            </w:r>
          </w:p>
        </w:tc>
        <w:tc>
          <w:tcPr>
            <w:tcW w:type="dxa" w:w="1734"/>
          </w:tcPr>
          <w:p>
            <w:pPr>
              <w:pStyle w:val="MDPI42tablebody"/>
              <w:jc w:val="left"/>
            </w:pPr>
            <w:r>
              <w:rPr>
                <w:sz w:val="16"/>
              </w:rPr>
              <w:t>Prospective falls; horizon: 12 months; ascertainment: One-year telephone interview</w:t>
            </w:r>
          </w:p>
        </w:tc>
        <w:tc>
          <w:tcPr>
            <w:tcW w:type="dxa" w:w="1937"/>
          </w:tcPr>
          <w:p>
            <w:pPr>
              <w:pStyle w:val="MDPI42tablebody"/>
              <w:jc w:val="left"/>
            </w:pPr>
            <w:r>
              <w:rPr>
                <w:sz w:val="16"/>
              </w:rPr>
              <w:t>Wrapper-selected logistic regression; stage: development internal validation; validation: Repeated 10×10-fold cross-validation</w:t>
            </w:r>
          </w:p>
        </w:tc>
        <w:tc>
          <w:tcPr>
            <w:tcW w:type="dxa" w:w="2549"/>
          </w:tcPr>
          <w:p>
            <w:pPr>
              <w:pStyle w:val="MDPI42tablebody"/>
              <w:jc w:val="left"/>
            </w:pPr>
            <w:r>
              <w:rPr>
                <w:sz w:val="16"/>
              </w:rPr>
              <w:t>Sensor model accuracy=70%, sensitivity=58%, specificity=78%, AUC=0.72, Brier=0.21; conventional model AUC=0.74, Brier=0.20; Calibration: Brier score reported; calibration plot/slope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61% attrition; only 46 complete records; 1-year recall of falls; wrapper selection and validation in same small cohort; source: complete article.</w:t>
            </w:r>
          </w:p>
        </w:tc>
      </w:tr>
      <w:tr>
        <w:tc>
          <w:tcPr>
            <w:tcW w:type="dxa" w:w="1428"/>
          </w:tcPr>
          <w:p>
            <w:pPr>
              <w:pStyle w:val="MDPI42tablebody"/>
              <w:jc w:val="left"/>
            </w:pPr>
            <w:r>
              <w:rPr>
                <w:sz w:val="16"/>
              </w:rPr>
              <w:t>Greene et al. (2012) [20] †</w:t>
            </w:r>
          </w:p>
        </w:tc>
        <w:tc>
          <w:tcPr>
            <w:tcW w:type="dxa" w:w="2243"/>
          </w:tcPr>
          <w:p>
            <w:pPr>
              <w:pStyle w:val="MDPI42tablebody"/>
              <w:jc w:val="left"/>
            </w:pPr>
            <w:r>
              <w:rPr>
                <w:sz w:val="16"/>
              </w:rPr>
              <w:t>Community-dwelling older adults; mean age 71.5 years; cohort: TRIL-community-226; sample: 226; events: 83 fallers; 143 nonfallers; 144 falls</w:t>
            </w:r>
          </w:p>
        </w:tc>
        <w:tc>
          <w:tcPr>
            <w:tcW w:type="dxa" w:w="2243"/>
          </w:tcPr>
          <w:p>
            <w:pPr>
              <w:pStyle w:val="MDPI42tablebody"/>
              <w:jc w:val="left"/>
            </w:pPr>
            <w:r>
              <w:rPr>
                <w:sz w:val="16"/>
              </w:rPr>
              <w:t>Body-worn inertial sensors on both shanks; Baseline instrumented Timed Up and Go; candidate predictors: Sensor-derived gait, turning, and transfer features from the Timed Up and Go</w:t>
            </w:r>
          </w:p>
        </w:tc>
        <w:tc>
          <w:tcPr>
            <w:tcW w:type="dxa" w:w="1734"/>
          </w:tcPr>
          <w:p>
            <w:pPr>
              <w:pStyle w:val="MDPI42tablebody"/>
              <w:jc w:val="left"/>
            </w:pPr>
            <w:r>
              <w:rPr>
                <w:sz w:val="16"/>
              </w:rPr>
              <w:t>Any fall; horizon: 2 years; ascertainment: Telephone contact 2 years after baseline</w:t>
            </w:r>
          </w:p>
        </w:tc>
        <w:tc>
          <w:tcPr>
            <w:tcW w:type="dxa" w:w="1937"/>
          </w:tcPr>
          <w:p>
            <w:pPr>
              <w:pStyle w:val="MDPI42tablebody"/>
              <w:jc w:val="left"/>
            </w:pPr>
            <w:r>
              <w:rPr>
                <w:sz w:val="16"/>
              </w:rPr>
              <w:t>Regularized discriminant classifier; stage: development internal validation; validation: Repeated 10-fold cross-validation across 10 random data shuffles</w:t>
            </w:r>
          </w:p>
        </w:tc>
        <w:tc>
          <w:tcPr>
            <w:tcW w:type="dxa" w:w="2549"/>
          </w:tcPr>
          <w:p>
            <w:pPr>
              <w:pStyle w:val="MDPI42tablebody"/>
              <w:jc w:val="left"/>
            </w:pPr>
            <w:r>
              <w:rPr>
                <w:sz w:val="16"/>
              </w:rPr>
              <w:t>AUC 0.78; mean accuracy 79.69% (95% CI across repeated shuffles 77.09–82.34); Sensitivity 73.14%; specificity 82.59%; PPV 73.77%; NPV 85.37%</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Fall ascertainment by a single 2-year telephone recall; internal validation only; nesting of all feature selection was not verifiable; no calibration or external validation; source: indexed/publisher abstract only.</w:t>
            </w:r>
          </w:p>
        </w:tc>
      </w:tr>
      <w:tr>
        <w:tc>
          <w:tcPr>
            <w:tcW w:type="dxa" w:w="1428"/>
          </w:tcPr>
          <w:p>
            <w:pPr>
              <w:pStyle w:val="MDPI42tablebody"/>
              <w:jc w:val="left"/>
            </w:pPr>
            <w:r>
              <w:rPr>
                <w:sz w:val="16"/>
              </w:rPr>
              <w:t>Weiss et al. (2013) [21]</w:t>
            </w:r>
          </w:p>
        </w:tc>
        <w:tc>
          <w:tcPr>
            <w:tcW w:type="dxa" w:w="2243"/>
          </w:tcPr>
          <w:p>
            <w:pPr>
              <w:pStyle w:val="MDPI42tablebody"/>
              <w:jc w:val="left"/>
            </w:pPr>
            <w:r>
              <w:rPr>
                <w:sz w:val="16"/>
              </w:rPr>
              <w:t>Community-living older adults; cohort: Weiss-community-71; sample: 71 enrolled; 57 complete cases in the prospective logistic analysis; events: 12 recurrent fallers and 45 non-recurrent fallers in the logistic analysis</w:t>
            </w:r>
          </w:p>
        </w:tc>
        <w:tc>
          <w:tcPr>
            <w:tcW w:type="dxa" w:w="2243"/>
          </w:tcPr>
          <w:p>
            <w:pPr>
              <w:pStyle w:val="MDPI42tablebody"/>
              <w:jc w:val="left"/>
            </w:pPr>
            <w:r>
              <w:rPr>
                <w:sz w:val="16"/>
              </w:rPr>
              <w:t>Tri-axial lower-back accelerometer worn for 3 days; Daily-life ambulation plus laboratory mobility tests; candidate predictors: Activity duration, step count, and power-spectral step-to-step consistency measures</w:t>
            </w:r>
          </w:p>
        </w:tc>
        <w:tc>
          <w:tcPr>
            <w:tcW w:type="dxa" w:w="1734"/>
          </w:tcPr>
          <w:p>
            <w:pPr>
              <w:pStyle w:val="MDPI42tablebody"/>
              <w:jc w:val="left"/>
            </w:pPr>
            <w:r>
              <w:rPr>
                <w:sz w:val="16"/>
              </w:rPr>
              <w:t>Recurrent falling (at least two falls); horizon: 6 months; ascertainment: Monthly returned fall calendars</w:t>
            </w:r>
          </w:p>
        </w:tc>
        <w:tc>
          <w:tcPr>
            <w:tcW w:type="dxa" w:w="1937"/>
          </w:tcPr>
          <w:p>
            <w:pPr>
              <w:pStyle w:val="MDPI42tablebody"/>
              <w:jc w:val="left"/>
            </w:pPr>
            <w:r>
              <w:rPr>
                <w:sz w:val="16"/>
              </w:rPr>
              <w:t>Multifeature fall-status classification models; exact method NR; stage: development internal validation; validation: Internal validation; exact scheme NR</w:t>
            </w:r>
          </w:p>
        </w:tc>
        <w:tc>
          <w:tcPr>
            <w:tcW w:type="dxa" w:w="2549"/>
          </w:tcPr>
          <w:p>
            <w:pPr>
              <w:pStyle w:val="MDPI42tablebody"/>
              <w:jc w:val="left"/>
            </w:pPr>
            <w:r>
              <w:rPr>
                <w:sz w:val="16"/>
              </w:rPr>
              <w:t>Prospective AUC not reported; three-day gait measures improved recurrent-fall classification over clinical tests; Clinical model accuracy/sensitivity/specificity 84.2%/33.3%/97.8%; clinical plus 3-day monitoring 94.7%/75.0%/100%;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57 complete cases with 12 recurrent fallers; exact internal-validation scheme unclear; self-reported outcome; no calibration or independent external validation; source: complete article.</w:t>
            </w:r>
          </w:p>
        </w:tc>
      </w:tr>
      <w:tr>
        <w:tc>
          <w:tcPr>
            <w:tcW w:type="dxa" w:w="1428"/>
          </w:tcPr>
          <w:p>
            <w:pPr>
              <w:pStyle w:val="MDPI42tablebody"/>
              <w:jc w:val="left"/>
            </w:pPr>
            <w:r>
              <w:rPr>
                <w:sz w:val="16"/>
              </w:rPr>
              <w:t>Schwesig et al. (2013) [22] †</w:t>
            </w:r>
          </w:p>
        </w:tc>
        <w:tc>
          <w:tcPr>
            <w:tcW w:type="dxa" w:w="2243"/>
          </w:tcPr>
          <w:p>
            <w:pPr>
              <w:pStyle w:val="MDPI42tablebody"/>
              <w:jc w:val="left"/>
            </w:pPr>
            <w:r>
              <w:rPr>
                <w:sz w:val="16"/>
              </w:rPr>
              <w:t>Nursing-home residents aged 62–101 years; cohort: German-nursing-home-RehaWatch-146; sample: 146; events: 17 participants had &gt;2 falls; only 8 of 67 classified high-risk recurrently fell</w:t>
            </w:r>
          </w:p>
        </w:tc>
        <w:tc>
          <w:tcPr>
            <w:tcW w:type="dxa" w:w="2243"/>
          </w:tcPr>
          <w:p>
            <w:pPr>
              <w:pStyle w:val="MDPI42tablebody"/>
              <w:jc w:val="left"/>
            </w:pPr>
            <w:r>
              <w:rPr>
                <w:sz w:val="16"/>
              </w:rPr>
              <w:t>Mobile inertial gait system (RehaWatch) plus Interactive Balance System; Gait analysis and posturography; candidate predictors: Predefined and newly selected gait/posturographic parameters</w:t>
            </w:r>
          </w:p>
        </w:tc>
        <w:tc>
          <w:tcPr>
            <w:tcW w:type="dxa" w:w="1734"/>
          </w:tcPr>
          <w:p>
            <w:pPr>
              <w:pStyle w:val="MDPI42tablebody"/>
              <w:jc w:val="left"/>
            </w:pPr>
            <w:r>
              <w:rPr>
                <w:sz w:val="16"/>
              </w:rPr>
              <w:t>More than two falls; horizon: 12 months; ascertainment: Standardized prospective fall protocols</w:t>
            </w:r>
          </w:p>
        </w:tc>
        <w:tc>
          <w:tcPr>
            <w:tcW w:type="dxa" w:w="1937"/>
          </w:tcPr>
          <w:p>
            <w:pPr>
              <w:pStyle w:val="MDPI42tablebody"/>
              <w:jc w:val="left"/>
            </w:pPr>
            <w:r>
              <w:rPr>
                <w:sz w:val="16"/>
              </w:rPr>
              <w:t>Bifactorial measurement rule; stage: prospective prior parameter evaluation and same sample updating; validation: Prospective evaluation of previously proposed parameters plus data-driven rule updating in the same cohort</w:t>
            </w:r>
          </w:p>
        </w:tc>
        <w:tc>
          <w:tcPr>
            <w:tcW w:type="dxa" w:w="2549"/>
          </w:tcPr>
          <w:p>
            <w:pPr>
              <w:pStyle w:val="MDPI42tablebody"/>
              <w:jc w:val="left"/>
            </w:pPr>
            <w:r>
              <w:rPr>
                <w:sz w:val="16"/>
              </w:rPr>
              <w:t>Sensitivity 47% for prior parameters; new-rule PPV 12% and NPV 88%;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17 recurrent fallers; data-driven rule updating in validation cohort; poor PPV; no calibration; source: indexed/publisher abstract only.</w:t>
            </w:r>
          </w:p>
        </w:tc>
      </w:tr>
      <w:tr>
        <w:tc>
          <w:tcPr>
            <w:tcW w:type="dxa" w:w="1428"/>
          </w:tcPr>
          <w:p>
            <w:pPr>
              <w:pStyle w:val="MDPI42tablebody"/>
              <w:jc w:val="left"/>
            </w:pPr>
            <w:r>
              <w:rPr>
                <w:sz w:val="16"/>
              </w:rPr>
              <w:t>Doi et al. (2013) [23]</w:t>
            </w:r>
          </w:p>
        </w:tc>
        <w:tc>
          <w:tcPr>
            <w:tcW w:type="dxa" w:w="2243"/>
          </w:tcPr>
          <w:p>
            <w:pPr>
              <w:pStyle w:val="MDPI42tablebody"/>
              <w:jc w:val="left"/>
            </w:pPr>
            <w:r>
              <w:rPr>
                <w:sz w:val="16"/>
              </w:rPr>
              <w:t>Community-dwelling adults aged ≥65 years; mean age 80.8 years; cohort: Doi-trunk-harmonic-ratio-73; sample: 73; events: 16 fallers; 57 nonfallers</w:t>
            </w:r>
          </w:p>
        </w:tc>
        <w:tc>
          <w:tcPr>
            <w:tcW w:type="dxa" w:w="2243"/>
          </w:tcPr>
          <w:p>
            <w:pPr>
              <w:pStyle w:val="MDPI42tablebody"/>
              <w:jc w:val="left"/>
            </w:pPr>
            <w:r>
              <w:rPr>
                <w:sz w:val="16"/>
              </w:rPr>
              <w:t>Accelerometers on upper and lower trunk; Usual-pace walking; candidate predictors: Upper/lower trunk harmonic ratios plus physical performance/confounders</w:t>
            </w:r>
          </w:p>
        </w:tc>
        <w:tc>
          <w:tcPr>
            <w:tcW w:type="dxa" w:w="1734"/>
          </w:tcPr>
          <w:p>
            <w:pPr>
              <w:pStyle w:val="MDPI42tablebody"/>
              <w:jc w:val="left"/>
            </w:pPr>
            <w:r>
              <w:rPr>
                <w:sz w:val="16"/>
              </w:rPr>
              <w:t>At least one prospective fall; horizon: 12 months; ascertainment: Participant fall records collected at least weekly by research assistants</w:t>
            </w:r>
          </w:p>
        </w:tc>
        <w:tc>
          <w:tcPr>
            <w:tcW w:type="dxa" w:w="1937"/>
          </w:tcPr>
          <w:p>
            <w:pPr>
              <w:pStyle w:val="MDPI42tablebody"/>
              <w:jc w:val="left"/>
            </w:pPr>
            <w:r>
              <w:rPr>
                <w:sz w:val="16"/>
              </w:rPr>
              <w:t>Multivariable logistic regression; stage: development; validation: Apparent performance</w:t>
            </w:r>
          </w:p>
        </w:tc>
        <w:tc>
          <w:tcPr>
            <w:tcW w:type="dxa" w:w="2549"/>
          </w:tcPr>
          <w:p>
            <w:pPr>
              <w:pStyle w:val="MDPI42tablebody"/>
              <w:jc w:val="left"/>
            </w:pPr>
            <w:r>
              <w:rPr>
                <w:sz w:val="16"/>
              </w:rPr>
              <w:t>Upper-trunk harmonic ratio AUC=0.81 (reported 95% CI 0.69–0.93), sensitivity=68.8%, specificity=84.2%;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16 events; predictor/model selection and performance in same cohort; no internal validation, calibration, or external validation; source: complete article.</w:t>
            </w:r>
          </w:p>
        </w:tc>
      </w:tr>
      <w:tr>
        <w:tc>
          <w:tcPr>
            <w:tcW w:type="dxa" w:w="1428"/>
          </w:tcPr>
          <w:p>
            <w:pPr>
              <w:pStyle w:val="MDPI42tablebody"/>
              <w:jc w:val="left"/>
            </w:pPr>
            <w:r>
              <w:rPr>
                <w:sz w:val="16"/>
              </w:rPr>
              <w:t>Mignardot et al. (2014) [24]</w:t>
            </w:r>
          </w:p>
        </w:tc>
        <w:tc>
          <w:tcPr>
            <w:tcW w:type="dxa" w:w="2243"/>
          </w:tcPr>
          <w:p>
            <w:pPr>
              <w:pStyle w:val="MDPI42tablebody"/>
              <w:jc w:val="left"/>
            </w:pPr>
            <w:r>
              <w:rPr>
                <w:sz w:val="16"/>
              </w:rPr>
              <w:t>Home-dwelling adults aged 66–75 years with no previous falls; cohort: French-first-fall-259; sample: 259 recruited; 256 after adjudicated exclusions; events: 20 first falls at 0–6 months; 26 at 6–12 months; 26 at 12–24 months</w:t>
            </w:r>
          </w:p>
        </w:tc>
        <w:tc>
          <w:tcPr>
            <w:tcW w:type="dxa" w:w="2243"/>
          </w:tcPr>
          <w:p>
            <w:pPr>
              <w:pStyle w:val="MDPI42tablebody"/>
              <w:jc w:val="left"/>
            </w:pPr>
            <w:r>
              <w:rPr>
                <w:sz w:val="16"/>
              </w:rPr>
              <w:t>Accelerometric gait-analysis system; Four standardized walking tests yielding 22 gait variables; candidate predictors: PCA-derived global gait kinetics and gait regularity</w:t>
            </w:r>
          </w:p>
        </w:tc>
        <w:tc>
          <w:tcPr>
            <w:tcW w:type="dxa" w:w="1734"/>
          </w:tcPr>
          <w:p>
            <w:pPr>
              <w:pStyle w:val="MDPI42tablebody"/>
              <w:jc w:val="left"/>
            </w:pPr>
            <w:r>
              <w:rPr>
                <w:sz w:val="16"/>
              </w:rPr>
              <w:t>Time to first fall; horizon: 24 months, with 0–6, 6–12, and 12–24 month intervals; ascertainment: Monthly calls in year 1 and every 3 months in year 2, with expert adjudication</w:t>
            </w:r>
          </w:p>
        </w:tc>
        <w:tc>
          <w:tcPr>
            <w:tcW w:type="dxa" w:w="1937"/>
          </w:tcPr>
          <w:p>
            <w:pPr>
              <w:pStyle w:val="MDPI42tablebody"/>
              <w:jc w:val="left"/>
            </w:pPr>
            <w:r>
              <w:rPr>
                <w:sz w:val="16"/>
              </w:rPr>
              <w:t>Principal-component risk markers assessed by ROC analysis; stage: development; validation: Apparent performance</w:t>
            </w:r>
          </w:p>
        </w:tc>
        <w:tc>
          <w:tcPr>
            <w:tcW w:type="dxa" w:w="2549"/>
          </w:tcPr>
          <w:p>
            <w:pPr>
              <w:pStyle w:val="MDPI42tablebody"/>
              <w:jc w:val="left"/>
            </w:pPr>
            <w:r>
              <w:rPr>
                <w:sz w:val="16"/>
              </w:rPr>
              <w:t>PC1 AUC 0.70 (95% CI 0.64–0.75) at 0–6 months; PC2 AUC 0.67 (0.62–0.72) at 6–12 months; no signal after 12 months;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PCA-derived markers and interval-specific ROC performance were developed and evaluated in the same cohort; no optimism correction, calibration, or external validation; source: complete article.</w:t>
            </w:r>
          </w:p>
        </w:tc>
      </w:tr>
      <w:tr>
        <w:tc>
          <w:tcPr>
            <w:tcW w:type="dxa" w:w="1428"/>
          </w:tcPr>
          <w:p>
            <w:pPr>
              <w:pStyle w:val="MDPI42tablebody"/>
              <w:jc w:val="left"/>
            </w:pPr>
            <w:r>
              <w:rPr>
                <w:sz w:val="16"/>
              </w:rPr>
              <w:t>Schwenk et al. (2014) [25]</w:t>
            </w:r>
          </w:p>
        </w:tc>
        <w:tc>
          <w:tcPr>
            <w:tcW w:type="dxa" w:w="2243"/>
          </w:tcPr>
          <w:p>
            <w:pPr>
              <w:pStyle w:val="MDPI42tablebody"/>
              <w:jc w:val="left"/>
            </w:pPr>
            <w:r>
              <w:rPr>
                <w:sz w:val="16"/>
              </w:rPr>
              <w:t>People with dementia discharged from geriatric rehabilitation; mean age 81.8±6.3 years; cohort: Dementia-rehabilitation-77; sample: 118 approached; 115 enrolled; 77 analysed; events: 28 fallers</w:t>
            </w:r>
          </w:p>
        </w:tc>
        <w:tc>
          <w:tcPr>
            <w:tcW w:type="dxa" w:w="2243"/>
          </w:tcPr>
          <w:p>
            <w:pPr>
              <w:pStyle w:val="MDPI42tablebody"/>
              <w:jc w:val="left"/>
            </w:pPr>
            <w:r>
              <w:rPr>
                <w:sz w:val="16"/>
              </w:rPr>
              <w:t>24-hour wearable motion sensor; Free-living walking, standing, sitting, and lying behaviour; candidate predictors: Sensor-derived activity plus previous falls and conventional assessments</w:t>
            </w:r>
          </w:p>
        </w:tc>
        <w:tc>
          <w:tcPr>
            <w:tcW w:type="dxa" w:w="1734"/>
          </w:tcPr>
          <w:p>
            <w:pPr>
              <w:pStyle w:val="MDPI42tablebody"/>
              <w:jc w:val="left"/>
            </w:pPr>
            <w:r>
              <w:rPr>
                <w:sz w:val="16"/>
              </w:rPr>
              <w:t>At least one fall; horizon: 3 months; ascertainment: Monthly fall calendars with reminder calls</w:t>
            </w:r>
          </w:p>
        </w:tc>
        <w:tc>
          <w:tcPr>
            <w:tcW w:type="dxa" w:w="1937"/>
          </w:tcPr>
          <w:p>
            <w:pPr>
              <w:pStyle w:val="MDPI42tablebody"/>
              <w:jc w:val="left"/>
            </w:pPr>
            <w:r>
              <w:rPr>
                <w:sz w:val="16"/>
              </w:rPr>
              <w:t>Multivariable logistic regression; stage: development; validation: Apparent performance</w:t>
            </w:r>
          </w:p>
        </w:tc>
        <w:tc>
          <w:tcPr>
            <w:tcW w:type="dxa" w:w="2549"/>
          </w:tcPr>
          <w:p>
            <w:pPr>
              <w:pStyle w:val="MDPI42tablebody"/>
              <w:jc w:val="left"/>
            </w:pPr>
            <w:r>
              <w:rPr>
                <w:sz w:val="16"/>
              </w:rPr>
              <w:t>Prior falls plus walking-bout duration AUC 0.771; Sensitivity 71.5%; specificity 75.5%;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28 events; predictor selection and performance in same small cohort; no calibration or external validation; source: complete article.</w:t>
            </w:r>
          </w:p>
        </w:tc>
      </w:tr>
      <w:tr>
        <w:tc>
          <w:tcPr>
            <w:tcW w:type="dxa" w:w="1428"/>
          </w:tcPr>
          <w:p>
            <w:pPr>
              <w:pStyle w:val="MDPI42tablebody"/>
              <w:jc w:val="left"/>
            </w:pPr>
            <w:r>
              <w:rPr>
                <w:sz w:val="16"/>
              </w:rPr>
              <w:t>van Schooten et al. (2015) [26]</w:t>
            </w:r>
          </w:p>
        </w:tc>
        <w:tc>
          <w:tcPr>
            <w:tcW w:type="dxa" w:w="2243"/>
          </w:tcPr>
          <w:p>
            <w:pPr>
              <w:pStyle w:val="MDPI42tablebody"/>
              <w:jc w:val="left"/>
            </w:pPr>
            <w:r>
              <w:rPr>
                <w:sz w:val="16"/>
              </w:rPr>
              <w:t>Community-dwelling older adults; mean age 75 years; cohort: FARAO; sample: 169 enrolled; complete-case model denominator lower; events: 59 fallers; 110 nonfallers</w:t>
            </w:r>
          </w:p>
        </w:tc>
        <w:tc>
          <w:tcPr>
            <w:tcW w:type="dxa" w:w="2243"/>
          </w:tcPr>
          <w:p>
            <w:pPr>
              <w:pStyle w:val="MDPI42tablebody"/>
              <w:jc w:val="left"/>
            </w:pPr>
            <w:r>
              <w:rPr>
                <w:sz w:val="16"/>
              </w:rPr>
              <w:t>DynaPort trunk accelerometer worn for 1 week; Daily-life activity amount and gait quality plus questionnaires/tests; candidate predictors: Questionnaires, grip strength, trail-making, activity amount, gait quality, and interactions</w:t>
            </w:r>
          </w:p>
        </w:tc>
        <w:tc>
          <w:tcPr>
            <w:tcW w:type="dxa" w:w="1734"/>
          </w:tcPr>
          <w:p>
            <w:pPr>
              <w:pStyle w:val="MDPI42tablebody"/>
              <w:jc w:val="left"/>
            </w:pPr>
            <w:r>
              <w:rPr>
                <w:sz w:val="16"/>
              </w:rPr>
              <w:t>At least one prospective fall; horizon: 6 months; ascertainment: Fall diaries and monthly telephone contact</w:t>
            </w:r>
          </w:p>
        </w:tc>
        <w:tc>
          <w:tcPr>
            <w:tcW w:type="dxa" w:w="1937"/>
          </w:tcPr>
          <w:p>
            <w:pPr>
              <w:pStyle w:val="MDPI42tablebody"/>
              <w:jc w:val="left"/>
            </w:pPr>
            <w:r>
              <w:rPr>
                <w:sz w:val="16"/>
              </w:rPr>
              <w:t>Multivariable logistic regression; stage: development; validation: Apparent performance</w:t>
            </w:r>
          </w:p>
        </w:tc>
        <w:tc>
          <w:tcPr>
            <w:tcW w:type="dxa" w:w="2549"/>
          </w:tcPr>
          <w:p>
            <w:pPr>
              <w:pStyle w:val="MDPI42tablebody"/>
              <w:jc w:val="left"/>
            </w:pPr>
            <w:r>
              <w:rPr>
                <w:sz w:val="16"/>
              </w:rPr>
              <w:t>Clinical AUC 0.68; accelerometry AUC 0.71; combined AUC 0.82 (95% CI 0.75–0.89); Combined sensitivity 70.0%, specificity 80.9%, PPV 66.0%, NPV 82.6%; Calibration: Hosmer–Lemeshow p=0.87 clinical, 0.68 accelerometry, and 0.53 combined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Data-driven selection/interactions with apparent performance; no calibration or independent validation; source: complete article.</w:t>
            </w:r>
          </w:p>
        </w:tc>
      </w:tr>
      <w:tr>
        <w:tc>
          <w:tcPr>
            <w:tcW w:type="dxa" w:w="1428"/>
          </w:tcPr>
          <w:p>
            <w:pPr>
              <w:pStyle w:val="MDPI42tablebody"/>
              <w:jc w:val="left"/>
            </w:pPr>
            <w:r>
              <w:rPr>
                <w:sz w:val="16"/>
              </w:rPr>
              <w:t>van Schooten et al. (2016) [27]</w:t>
            </w:r>
          </w:p>
        </w:tc>
        <w:tc>
          <w:tcPr>
            <w:tcW w:type="dxa" w:w="2243"/>
          </w:tcPr>
          <w:p>
            <w:pPr>
              <w:pStyle w:val="MDPI42tablebody"/>
              <w:jc w:val="left"/>
            </w:pPr>
            <w:r>
              <w:rPr>
                <w:sz w:val="16"/>
              </w:rPr>
              <w:t>Community-dwelling older adults; mean age 75.5±6.9 years; cohort: FARAO; sample: 319 enrolled; 294 with complete development data; events: By 12 months: 134 first and 65 second falls</w:t>
            </w:r>
          </w:p>
        </w:tc>
        <w:tc>
          <w:tcPr>
            <w:tcW w:type="dxa" w:w="2243"/>
          </w:tcPr>
          <w:p>
            <w:pPr>
              <w:pStyle w:val="MDPI42tablebody"/>
              <w:jc w:val="left"/>
            </w:pPr>
            <w:r>
              <w:rPr>
                <w:sz w:val="16"/>
              </w:rPr>
              <w:t>Lower-back/trunk DynaPort MoveMonitor worn 1 week; Daily-life physical activity and gait-quality monitoring; candidate predictors: PCA-derived daily-life gait, activity, questionnaire, strength, and cognition components</w:t>
            </w:r>
          </w:p>
        </w:tc>
        <w:tc>
          <w:tcPr>
            <w:tcW w:type="dxa" w:w="1734"/>
          </w:tcPr>
          <w:p>
            <w:pPr>
              <w:pStyle w:val="MDPI42tablebody"/>
              <w:jc w:val="left"/>
            </w:pPr>
            <w:r>
              <w:rPr>
                <w:sz w:val="16"/>
              </w:rPr>
              <w:t>Time to first and second fall; horizon: 2–12 months (median 11 months); ascertainment: Daily fall diaries with monthly telephone contact</w:t>
            </w:r>
          </w:p>
        </w:tc>
        <w:tc>
          <w:tcPr>
            <w:tcW w:type="dxa" w:w="1937"/>
          </w:tcPr>
          <w:p>
            <w:pPr>
              <w:pStyle w:val="MDPI42tablebody"/>
              <w:jc w:val="left"/>
            </w:pPr>
            <w:r>
              <w:rPr>
                <w:sz w:val="16"/>
              </w:rPr>
              <w:t>Parametric/survival prediction models; stage: development internal validation; validation: Leave-one-out cross-validation with bootstrap confidence intervals</w:t>
            </w:r>
          </w:p>
        </w:tc>
        <w:tc>
          <w:tcPr>
            <w:tcW w:type="dxa" w:w="2549"/>
          </w:tcPr>
          <w:p>
            <w:pPr>
              <w:pStyle w:val="MDPI42tablebody"/>
              <w:jc w:val="left"/>
            </w:pPr>
            <w:r>
              <w:rPr>
                <w:sz w:val="16"/>
              </w:rPr>
              <w:t>Time-dependent AUC approximately 0.66–0.72 for first fall and 0.69–0.76 for second fall;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Variable follow-up; predictor reduction and validation within one cohort; no calibration or external validation; source: complete article.</w:t>
            </w:r>
          </w:p>
        </w:tc>
      </w:tr>
      <w:tr>
        <w:tc>
          <w:tcPr>
            <w:tcW w:type="dxa" w:w="1428"/>
          </w:tcPr>
          <w:p>
            <w:pPr>
              <w:pStyle w:val="MDPI42tablebody"/>
              <w:jc w:val="left"/>
            </w:pPr>
            <w:r>
              <w:rPr>
                <w:sz w:val="16"/>
              </w:rPr>
              <w:t>Drover et al. (2017) [29]</w:t>
            </w:r>
          </w:p>
        </w:tc>
        <w:tc>
          <w:tcPr>
            <w:tcW w:type="dxa" w:w="2243"/>
          </w:tcPr>
          <w:p>
            <w:pPr>
              <w:pStyle w:val="MDPI42tablebody"/>
              <w:jc w:val="left"/>
            </w:pPr>
            <w:r>
              <w:rPr>
                <w:sz w:val="16"/>
              </w:rPr>
              <w:t>Older adults; mean age 74.15±7.0 years; cohort: Howcroft-75; sample: 76 enrolled; 71 analysed; events: 28 prospective fallers; 43 nonfallers</w:t>
            </w:r>
          </w:p>
        </w:tc>
        <w:tc>
          <w:tcPr>
            <w:tcW w:type="dxa" w:w="2243"/>
          </w:tcPr>
          <w:p>
            <w:pPr>
              <w:pStyle w:val="MDPI42tablebody"/>
              <w:jc w:val="left"/>
            </w:pPr>
            <w:r>
              <w:rPr>
                <w:sz w:val="16"/>
              </w:rPr>
              <w:t>Accelerometers on lower legs and pelvis; 6-minute walk segmented into turns and straight walking; candidate predictors: Turn and straight-walking accelerometer features</w:t>
            </w:r>
          </w:p>
        </w:tc>
        <w:tc>
          <w:tcPr>
            <w:tcW w:type="dxa" w:w="1734"/>
          </w:tcPr>
          <w:p>
            <w:pPr>
              <w:pStyle w:val="MDPI42tablebody"/>
              <w:jc w:val="left"/>
            </w:pPr>
            <w:r>
              <w:rPr>
                <w:sz w:val="16"/>
              </w:rPr>
              <w:t>Prospective faller status; horizon: 6 months; ascertainment: Prospective follow-up; method NR</w:t>
            </w:r>
          </w:p>
        </w:tc>
        <w:tc>
          <w:tcPr>
            <w:tcW w:type="dxa" w:w="1937"/>
          </w:tcPr>
          <w:p>
            <w:pPr>
              <w:pStyle w:val="MDPI42tablebody"/>
              <w:jc w:val="left"/>
            </w:pPr>
            <w:r>
              <w:rPr>
                <w:sz w:val="16"/>
              </w:rPr>
              <w:t>Random forest and other classifiers with feature selection; stage: development internal validation; validation: Repeated random-subsampling CV with feature subset selected across iterations</w:t>
            </w:r>
          </w:p>
        </w:tc>
        <w:tc>
          <w:tcPr>
            <w:tcW w:type="dxa" w:w="2549"/>
          </w:tcPr>
          <w:p>
            <w:pPr>
              <w:pStyle w:val="MDPI42tablebody"/>
              <w:jc w:val="left"/>
            </w:pPr>
            <w:r>
              <w:rPr>
                <w:sz w:val="16"/>
              </w:rPr>
              <w:t>Frequently selected feature subset: accuracy=77.3%, sensitivity=66.1%, specificity=84.7%, MCC=0.52;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Probable participant overlap with the Howcroft 2017/2018 programme could not be resolved from reported recruitment details; flexible same-cohort modelling; no calibration or independent validation; source: complete article.</w:t>
            </w:r>
          </w:p>
        </w:tc>
      </w:tr>
      <w:tr>
        <w:tc>
          <w:tcPr>
            <w:tcW w:type="dxa" w:w="1428"/>
          </w:tcPr>
          <w:p>
            <w:pPr>
              <w:pStyle w:val="MDPI42tablebody"/>
              <w:jc w:val="left"/>
            </w:pPr>
            <w:r>
              <w:rPr>
                <w:sz w:val="16"/>
              </w:rPr>
              <w:t>Howcroft et al. (2017) [28] †</w:t>
            </w:r>
          </w:p>
        </w:tc>
        <w:tc>
          <w:tcPr>
            <w:tcW w:type="dxa" w:w="2243"/>
          </w:tcPr>
          <w:p>
            <w:pPr>
              <w:pStyle w:val="MDPI42tablebody"/>
              <w:jc w:val="left"/>
            </w:pPr>
            <w:r>
              <w:rPr>
                <w:sz w:val="16"/>
              </w:rPr>
              <w:t>Older adults; mean age 75.2±6.6 years; cohort: Howcroft-75; sample: 75; events: 28 fallers; 47 nonfallers</w:t>
            </w:r>
          </w:p>
        </w:tc>
        <w:tc>
          <w:tcPr>
            <w:tcW w:type="dxa" w:w="2243"/>
          </w:tcPr>
          <w:p>
            <w:pPr>
              <w:pStyle w:val="MDPI42tablebody"/>
              <w:jc w:val="left"/>
            </w:pPr>
            <w:r>
              <w:rPr>
                <w:sz w:val="16"/>
              </w:rPr>
              <w:t>Pressure insoles plus accelerometers on head, pelvis, and both shanks; 7.62-m single- and dual-task walking; candidate predictors: Sensor-derived gait parameters across sensor/condition combinations</w:t>
            </w:r>
          </w:p>
        </w:tc>
        <w:tc>
          <w:tcPr>
            <w:tcW w:type="dxa" w:w="1734"/>
          </w:tcPr>
          <w:p>
            <w:pPr>
              <w:pStyle w:val="MDPI42tablebody"/>
              <w:jc w:val="left"/>
            </w:pPr>
            <w:r>
              <w:rPr>
                <w:sz w:val="16"/>
              </w:rPr>
              <w:t>Prospective faller status; horizon: 6 months; ascertainment: Fall calendar and fall-report form with monthly contact</w:t>
            </w:r>
          </w:p>
        </w:tc>
        <w:tc>
          <w:tcPr>
            <w:tcW w:type="dxa" w:w="1937"/>
          </w:tcPr>
          <w:p>
            <w:pPr>
              <w:pStyle w:val="MDPI42tablebody"/>
              <w:jc w:val="left"/>
            </w:pPr>
            <w:r>
              <w:rPr>
                <w:sz w:val="16"/>
              </w:rPr>
              <w:t>Neural network, naïve Bayes, and support-vector machine; stage: development internal validation; validation: Single stratified 75:25 holdout: training 56 participants (21 fallers/35 nonfallers), test 19 participants (7 fallers/12 nonfallers)</w:t>
            </w:r>
          </w:p>
        </w:tc>
        <w:tc>
          <w:tcPr>
            <w:tcW w:type="dxa" w:w="2549"/>
          </w:tcPr>
          <w:p>
            <w:pPr>
              <w:pStyle w:val="MDPI42tablebody"/>
              <w:jc w:val="left"/>
            </w:pPr>
            <w:r>
              <w:rPr>
                <w:sz w:val="16"/>
              </w:rPr>
              <w:t>Accuracy 57%, sensitivity 43%, specificity 65%;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28 events; extensive sensor/model searching; modest performance; no calibration or independent validation; source: indexed/publisher abstract only.</w:t>
            </w:r>
          </w:p>
        </w:tc>
      </w:tr>
      <w:tr>
        <w:tc>
          <w:tcPr>
            <w:tcW w:type="dxa" w:w="1428"/>
          </w:tcPr>
          <w:p>
            <w:pPr>
              <w:pStyle w:val="MDPI42tablebody"/>
              <w:jc w:val="left"/>
            </w:pPr>
            <w:r>
              <w:rPr>
                <w:sz w:val="16"/>
              </w:rPr>
              <w:t>Greene et al. (2018) [30]</w:t>
            </w:r>
          </w:p>
        </w:tc>
        <w:tc>
          <w:tcPr>
            <w:tcW w:type="dxa" w:w="2243"/>
          </w:tcPr>
          <w:p>
            <w:pPr>
              <w:pStyle w:val="MDPI42tablebody"/>
              <w:jc w:val="left"/>
            </w:pPr>
            <w:r>
              <w:rPr>
                <w:sz w:val="16"/>
              </w:rPr>
              <w:t>People with Parkinson disease; cohort: QTUG-PD-15; sample: 15; events: 4/15 fallers at 90 days; 8/12 with complete follow-up at 180 days</w:t>
            </w:r>
          </w:p>
        </w:tc>
        <w:tc>
          <w:tcPr>
            <w:tcW w:type="dxa" w:w="2243"/>
          </w:tcPr>
          <w:p>
            <w:pPr>
              <w:pStyle w:val="MDPI42tablebody"/>
              <w:jc w:val="left"/>
            </w:pPr>
            <w:r>
              <w:rPr>
                <w:sz w:val="16"/>
              </w:rPr>
              <w:t>Two inertial sensors, one below each knee; Baseline and monthly quantified TUG assessments; candidate predictors: Pre-existing QTUG fall-risk estimate</w:t>
            </w:r>
          </w:p>
        </w:tc>
        <w:tc>
          <w:tcPr>
            <w:tcW w:type="dxa" w:w="1734"/>
          </w:tcPr>
          <w:p>
            <w:pPr>
              <w:pStyle w:val="MDPI42tablebody"/>
              <w:jc w:val="left"/>
            </w:pPr>
            <w:r>
              <w:rPr>
                <w:sz w:val="16"/>
              </w:rPr>
              <w:t>Prospective fall; horizon: 90 and 180 days; ascertainment: Weekly fall diaries</w:t>
            </w:r>
          </w:p>
        </w:tc>
        <w:tc>
          <w:tcPr>
            <w:tcW w:type="dxa" w:w="1937"/>
          </w:tcPr>
          <w:p>
            <w:pPr>
              <w:pStyle w:val="MDPI42tablebody"/>
              <w:jc w:val="left"/>
            </w:pPr>
            <w:r>
              <w:rPr>
                <w:sz w:val="16"/>
              </w:rPr>
              <w:t>Fixed QTUG risk algorithm; stage: prospective fixed model evaluation; validation: Prospective evaluation of a previously developed wearable-system classifier in 15 participants</w:t>
            </w:r>
          </w:p>
        </w:tc>
        <w:tc>
          <w:tcPr>
            <w:tcW w:type="dxa" w:w="2549"/>
          </w:tcPr>
          <w:p>
            <w:pPr>
              <w:pStyle w:val="MDPI42tablebody"/>
              <w:jc w:val="left"/>
            </w:pPr>
            <w:r>
              <w:rPr>
                <w:sz w:val="16"/>
              </w:rPr>
              <w:t>At 90 days: accuracy 73.3%, sensitivity 50.0%, specificity 81.8%; at 180 days: accuracy 58.3%, sensitivity 37.5%, specificity 100%; Calibration: Not reported</w:t>
            </w:r>
          </w:p>
        </w:tc>
        <w:tc>
          <w:tcPr>
            <w:tcW w:type="dxa" w:w="1020"/>
          </w:tcPr>
          <w:p>
            <w:pPr>
              <w:pStyle w:val="MDPI42tablebody"/>
              <w:jc w:val="left"/>
            </w:pPr>
            <w:r>
              <w:rPr>
                <w:sz w:val="16"/>
              </w:rPr>
              <w:t>Development: Not applicable; Evaluation: High</w:t>
            </w:r>
          </w:p>
        </w:tc>
        <w:tc>
          <w:tcPr>
            <w:tcW w:type="dxa" w:w="2244"/>
          </w:tcPr>
          <w:p>
            <w:pPr>
              <w:pStyle w:val="MDPI42tablebody"/>
              <w:jc w:val="left"/>
            </w:pPr>
            <w:r>
              <w:rPr>
                <w:sz w:val="16"/>
              </w:rPr>
              <w:t>Only 15 participants; four fallers at 90 days and 8/12 at 180 days; attrition and extreme imprecision; no calibration; source: complete article.</w:t>
            </w:r>
          </w:p>
        </w:tc>
      </w:tr>
      <w:tr>
        <w:tc>
          <w:tcPr>
            <w:tcW w:type="dxa" w:w="1428"/>
          </w:tcPr>
          <w:p>
            <w:pPr>
              <w:pStyle w:val="MDPI42tablebody"/>
              <w:jc w:val="left"/>
            </w:pPr>
            <w:r>
              <w:rPr>
                <w:sz w:val="16"/>
              </w:rPr>
              <w:t>Ihlen et al. (2018) [31]</w:t>
            </w:r>
          </w:p>
        </w:tc>
        <w:tc>
          <w:tcPr>
            <w:tcW w:type="dxa" w:w="2243"/>
          </w:tcPr>
          <w:p>
            <w:pPr>
              <w:pStyle w:val="MDPI42tablebody"/>
              <w:jc w:val="left"/>
            </w:pPr>
            <w:r>
              <w:rPr>
                <w:sz w:val="16"/>
              </w:rPr>
              <w:t>Community-dwelling older adults; matched case-control sample nested in FARAO; cohort: FARAO; sample: 196 matched participants (52 single, 46 multiple fallers, 98 nonfallers); events: 52 single and 46 multiple fallers</w:t>
            </w:r>
          </w:p>
        </w:tc>
        <w:tc>
          <w:tcPr>
            <w:tcW w:type="dxa" w:w="2243"/>
          </w:tcPr>
          <w:p>
            <w:pPr>
              <w:pStyle w:val="MDPI42tablebody"/>
              <w:jc w:val="left"/>
            </w:pPr>
            <w:r>
              <w:rPr>
                <w:sz w:val="16"/>
              </w:rPr>
              <w:t>Trunk inertial sensor worn for 1 week; Daily-life 30-second walking epochs; candidate predictors: Phase-dependent generalized multiscale entropy and other gait features</w:t>
            </w:r>
          </w:p>
        </w:tc>
        <w:tc>
          <w:tcPr>
            <w:tcW w:type="dxa" w:w="1734"/>
          </w:tcPr>
          <w:p>
            <w:pPr>
              <w:pStyle w:val="MDPI42tablebody"/>
              <w:jc w:val="left"/>
            </w:pPr>
            <w:r>
              <w:rPr>
                <w:sz w:val="16"/>
              </w:rPr>
              <w:t>Single or multiple prospective falls; horizon: 6 months; ascertainment: Monthly telephone ascertainment</w:t>
            </w:r>
          </w:p>
        </w:tc>
        <w:tc>
          <w:tcPr>
            <w:tcW w:type="dxa" w:w="1937"/>
          </w:tcPr>
          <w:p>
            <w:pPr>
              <w:pStyle w:val="MDPI42tablebody"/>
              <w:jc w:val="left"/>
            </w:pPr>
            <w:r>
              <w:rPr>
                <w:sz w:val="16"/>
              </w:rPr>
              <w:t>Partial least-squares regression; stage: development internal validation; validation: Whole-dataset backward selection followed by nonnested 10-fold cross-validation</w:t>
            </w:r>
          </w:p>
        </w:tc>
        <w:tc>
          <w:tcPr>
            <w:tcW w:type="dxa" w:w="2549"/>
          </w:tcPr>
          <w:p>
            <w:pPr>
              <w:pStyle w:val="MDPI42tablebody"/>
              <w:jc w:val="left"/>
            </w:pPr>
            <w:r>
              <w:rPr>
                <w:sz w:val="16"/>
              </w:rPr>
              <w:t>Phase-dependent generalized multiscale entropy improved prediction, particularly for single fallers; model-level AUC was not reported; Single-fall model accuracy/sensitivity/specificity 0.76/0.71/0.80; multiple-fall all-feature model 0.83/0.83/0.83;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Matched nested case-control reanalysis alters prevalence; data-driven entropy/model development; no calibration or independent validation; source: complete article.</w:t>
            </w:r>
          </w:p>
        </w:tc>
      </w:tr>
      <w:tr>
        <w:tc>
          <w:tcPr>
            <w:tcW w:type="dxa" w:w="1428"/>
          </w:tcPr>
          <w:p>
            <w:pPr>
              <w:pStyle w:val="MDPI42tablebody"/>
              <w:jc w:val="left"/>
            </w:pPr>
            <w:r>
              <w:rPr>
                <w:sz w:val="16"/>
              </w:rPr>
              <w:t>Nait Aicha et al. (2018) [32]</w:t>
            </w:r>
          </w:p>
        </w:tc>
        <w:tc>
          <w:tcPr>
            <w:tcW w:type="dxa" w:w="2243"/>
          </w:tcPr>
          <w:p>
            <w:pPr>
              <w:pStyle w:val="MDPI42tablebody"/>
              <w:jc w:val="left"/>
            </w:pPr>
            <w:r>
              <w:rPr>
                <w:sz w:val="16"/>
              </w:rPr>
              <w:t>Community-dwelling older adults; mean age 75.3±6.8 years; cohort: FARAO; sample: 296 participants; events: 101 fallers</w:t>
            </w:r>
          </w:p>
        </w:tc>
        <w:tc>
          <w:tcPr>
            <w:tcW w:type="dxa" w:w="2243"/>
          </w:tcPr>
          <w:p>
            <w:pPr>
              <w:pStyle w:val="MDPI42tablebody"/>
              <w:jc w:val="left"/>
            </w:pPr>
            <w:r>
              <w:rPr>
                <w:sz w:val="16"/>
              </w:rPr>
              <w:t>Lower-back trunk accelerometer worn for 1 week; Daily-life raw acceleration walking bouts; candidate predictors: Raw/preprocessed trunk-acceleration sequences with age and sex in multitask variants</w:t>
            </w:r>
          </w:p>
        </w:tc>
        <w:tc>
          <w:tcPr>
            <w:tcW w:type="dxa" w:w="1734"/>
          </w:tcPr>
          <w:p>
            <w:pPr>
              <w:pStyle w:val="MDPI42tablebody"/>
              <w:jc w:val="left"/>
            </w:pPr>
            <w:r>
              <w:rPr>
                <w:sz w:val="16"/>
              </w:rPr>
              <w:t>At least one prospective fall; horizon: 6 months; ascertainment: FARAO prospective fall follow-up</w:t>
            </w:r>
          </w:p>
        </w:tc>
        <w:tc>
          <w:tcPr>
            <w:tcW w:type="dxa" w:w="1937"/>
          </w:tcPr>
          <w:p>
            <w:pPr>
              <w:pStyle w:val="MDPI42tablebody"/>
              <w:jc w:val="left"/>
            </w:pPr>
            <w:r>
              <w:rPr>
                <w:sz w:val="16"/>
              </w:rPr>
              <w:t>CNN, LSTM, and convolutional-LSTM deep networks; stage: development internal validation; validation: Subject-level train/validation/test splitting; sample-level split explored and recognized as invalid</w:t>
            </w:r>
          </w:p>
        </w:tc>
        <w:tc>
          <w:tcPr>
            <w:tcW w:type="dxa" w:w="2549"/>
          </w:tcPr>
          <w:p>
            <w:pPr>
              <w:pStyle w:val="MDPI42tablebody"/>
              <w:jc w:val="left"/>
            </w:pPr>
            <w:r>
              <w:rPr>
                <w:sz w:val="16"/>
              </w:rPr>
              <w:t>Participant-level ConvLSTM AUC 0.65; cleaned multitask AUC 0.75 with sex and 0.74 with age; sample-level AUC 0.94 was excluded because of participant leakage;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Hyperparameter/model exploration in same cohort; no external validation or calibration; performance highly sensitive to participant leakage; source: complete article.</w:t>
            </w:r>
          </w:p>
        </w:tc>
      </w:tr>
      <w:tr>
        <w:tc>
          <w:tcPr>
            <w:tcW w:type="dxa" w:w="1428"/>
          </w:tcPr>
          <w:p>
            <w:pPr>
              <w:pStyle w:val="MDPI42tablebody"/>
              <w:jc w:val="left"/>
            </w:pPr>
            <w:r>
              <w:rPr>
                <w:sz w:val="16"/>
              </w:rPr>
              <w:t>Howcroft et al. (2018) [33]</w:t>
            </w:r>
          </w:p>
        </w:tc>
        <w:tc>
          <w:tcPr>
            <w:tcW w:type="dxa" w:w="2243"/>
          </w:tcPr>
          <w:p>
            <w:pPr>
              <w:pStyle w:val="MDPI42tablebody"/>
              <w:jc w:val="left"/>
            </w:pPr>
            <w:r>
              <w:rPr>
                <w:sz w:val="16"/>
              </w:rPr>
              <w:t>Older adults; mean age 75.2±6.6 years; cohort: Howcroft-75; sample: 75; events: 28 fallers; 47 nonfallers</w:t>
            </w:r>
          </w:p>
        </w:tc>
        <w:tc>
          <w:tcPr>
            <w:tcW w:type="dxa" w:w="2243"/>
          </w:tcPr>
          <w:p>
            <w:pPr>
              <w:pStyle w:val="MDPI42tablebody"/>
              <w:jc w:val="left"/>
            </w:pPr>
            <w:r>
              <w:rPr>
                <w:sz w:val="16"/>
              </w:rPr>
              <w:t>Pressure insoles and accelerometers on head, pelvis, and both shanks; Single- and dual-task 7.62-m walking; candidate predictors: Wearable gait features after ReliefF, CFS, or FCBF feature selection</w:t>
            </w:r>
          </w:p>
        </w:tc>
        <w:tc>
          <w:tcPr>
            <w:tcW w:type="dxa" w:w="1734"/>
          </w:tcPr>
          <w:p>
            <w:pPr>
              <w:pStyle w:val="MDPI42tablebody"/>
              <w:jc w:val="left"/>
            </w:pPr>
            <w:r>
              <w:rPr>
                <w:sz w:val="16"/>
              </w:rPr>
              <w:t>Prospective faller status; horizon: 6 months; ascertainment: Prospective follow-up; method NR</w:t>
            </w:r>
          </w:p>
        </w:tc>
        <w:tc>
          <w:tcPr>
            <w:tcW w:type="dxa" w:w="1937"/>
          </w:tcPr>
          <w:p>
            <w:pPr>
              <w:pStyle w:val="MDPI42tablebody"/>
              <w:jc w:val="left"/>
            </w:pPr>
            <w:r>
              <w:rPr>
                <w:sz w:val="16"/>
              </w:rPr>
              <w:t>Naïve Bayes, multilayer perceptron, and support-vector machine; stage: development internal validation; validation: Model selection using one 75:25 split, followed by 10,000 randomized 75:25 holdouts</w:t>
            </w:r>
          </w:p>
        </w:tc>
        <w:tc>
          <w:tcPr>
            <w:tcW w:type="dxa" w:w="2549"/>
          </w:tcPr>
          <w:p>
            <w:pPr>
              <w:pStyle w:val="MDPI42tablebody"/>
              <w:jc w:val="left"/>
            </w:pPr>
            <w:r>
              <w:rPr>
                <w:sz w:val="16"/>
              </w:rPr>
              <w:t>Average best accuracy 65% and sensitivity 59%; no-selection accuracy 56% and sensitivity 42%;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Same Howcroft-75 cohort; only 28 events; extensive selection/model/split searching; no calibration or independent validation; source: complete article.</w:t>
            </w:r>
          </w:p>
        </w:tc>
      </w:tr>
      <w:tr>
        <w:tc>
          <w:tcPr>
            <w:tcW w:type="dxa" w:w="1428"/>
          </w:tcPr>
          <w:p>
            <w:pPr>
              <w:pStyle w:val="MDPI42tablebody"/>
              <w:jc w:val="left"/>
            </w:pPr>
            <w:r>
              <w:rPr>
                <w:sz w:val="16"/>
              </w:rPr>
              <w:t>Bizovska et al. (2018) [34]</w:t>
            </w:r>
          </w:p>
        </w:tc>
        <w:tc>
          <w:tcPr>
            <w:tcW w:type="dxa" w:w="2243"/>
          </w:tcPr>
          <w:p>
            <w:pPr>
              <w:pStyle w:val="MDPI42tablebody"/>
              <w:jc w:val="left"/>
            </w:pPr>
            <w:r>
              <w:rPr>
                <w:sz w:val="16"/>
              </w:rPr>
              <w:t>Community-dwelling adults aged &gt;60 years; mean age 70.8 years; cohort: Bizovska-local-stability-131; sample: 131 overall; 96 in recurrent-fall ROC analysis; events: 15 recurrent fallers; 81 nonfallers; 35 single fallers excluded from ROC analysis</w:t>
            </w:r>
          </w:p>
        </w:tc>
        <w:tc>
          <w:tcPr>
            <w:tcW w:type="dxa" w:w="2243"/>
          </w:tcPr>
          <w:p>
            <w:pPr>
              <w:pStyle w:val="MDPI42tablebody"/>
              <w:jc w:val="left"/>
            </w:pPr>
            <w:r>
              <w:rPr>
                <w:sz w:val="16"/>
              </w:rPr>
              <w:t>Trunk (L5) and shank inertial sensors; Structured gait-stability assessment plus Tinetti assessment; candidate predictors: Local dynamic stability and Tinetti scores</w:t>
            </w:r>
          </w:p>
        </w:tc>
        <w:tc>
          <w:tcPr>
            <w:tcW w:type="dxa" w:w="1734"/>
          </w:tcPr>
          <w:p>
            <w:pPr>
              <w:pStyle w:val="MDPI42tablebody"/>
              <w:jc w:val="left"/>
            </w:pPr>
            <w:r>
              <w:rPr>
                <w:sz w:val="16"/>
              </w:rPr>
              <w:t>Recurrent falls; horizon: 12 months; ascertainment: Telephone contact every 14 days plus participant notebooks for 12 months</w:t>
            </w:r>
          </w:p>
        </w:tc>
        <w:tc>
          <w:tcPr>
            <w:tcW w:type="dxa" w:w="1937"/>
          </w:tcPr>
          <w:p>
            <w:pPr>
              <w:pStyle w:val="MDPI42tablebody"/>
              <w:jc w:val="left"/>
            </w:pPr>
            <w:r>
              <w:rPr>
                <w:sz w:val="16"/>
              </w:rPr>
              <w:t>Logistic combinations assessed by ROC analysis; stage: development; validation: Apparent performance</w:t>
            </w:r>
          </w:p>
        </w:tc>
        <w:tc>
          <w:tcPr>
            <w:tcW w:type="dxa" w:w="2549"/>
          </w:tcPr>
          <w:p>
            <w:pPr>
              <w:pStyle w:val="MDPI42tablebody"/>
              <w:jc w:val="left"/>
            </w:pPr>
            <w:r>
              <w:rPr>
                <w:sz w:val="16"/>
              </w:rPr>
              <w:t>Trunk mediolateral stability AUC 0.673; Tinetti plus stability AUC 0.755; three-variable apparent model AUC 0.760;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15 recurrent-faller events; combinations selected and assessed in same cohort; no internal validation, calibration, or external validation; source: complete article.</w:t>
            </w:r>
          </w:p>
        </w:tc>
      </w:tr>
      <w:tr>
        <w:tc>
          <w:tcPr>
            <w:tcW w:type="dxa" w:w="1428"/>
          </w:tcPr>
          <w:p>
            <w:pPr>
              <w:pStyle w:val="MDPI42tablebody"/>
              <w:jc w:val="left"/>
            </w:pPr>
            <w:r>
              <w:rPr>
                <w:sz w:val="16"/>
              </w:rPr>
              <w:t>Marques et al. (2018) [35]</w:t>
            </w:r>
          </w:p>
        </w:tc>
        <w:tc>
          <w:tcPr>
            <w:tcW w:type="dxa" w:w="2243"/>
          </w:tcPr>
          <w:p>
            <w:pPr>
              <w:pStyle w:val="MDPI42tablebody"/>
              <w:jc w:val="left"/>
            </w:pPr>
            <w:r>
              <w:rPr>
                <w:sz w:val="16"/>
              </w:rPr>
              <w:t>Community-dwelling adults aged 60–80 years recruited from physical-activity groups; cohort: Marques-community-footswitch-102; sample: 102; events: 53 fallers and 49 nonfallers; 103 recruited and one excluded before analysis because of heart failure and high perceived exertion</w:t>
            </w:r>
          </w:p>
        </w:tc>
        <w:tc>
          <w:tcPr>
            <w:tcW w:type="dxa" w:w="2243"/>
          </w:tcPr>
          <w:p>
            <w:pPr>
              <w:pStyle w:val="MDPI42tablebody"/>
              <w:jc w:val="left"/>
            </w:pPr>
            <w:r>
              <w:rPr>
                <w:sz w:val="16"/>
              </w:rPr>
              <w:t>Two Inline Noraxon footswitches attached at the heel and base of the first metatarsal, connected to Myotrace electromyography; 1000 Hz; preferred-speed walking on a 14-m walkway; 6–10 trials until 50 consecutive strides; first and last 2 m discarded; candidate predictors: gait speed, stride length, stance time, swing time, stride time, double-support time, and stance-, swing-, and stride-time variability</w:t>
            </w:r>
          </w:p>
        </w:tc>
        <w:tc>
          <w:tcPr>
            <w:tcW w:type="dxa" w:w="1734"/>
          </w:tcPr>
          <w:p>
            <w:pPr>
              <w:pStyle w:val="MDPI42tablebody"/>
              <w:jc w:val="left"/>
            </w:pPr>
            <w:r>
              <w:rPr>
                <w:sz w:val="16"/>
              </w:rPr>
              <w:t>Any self-reported fall; horizon: 12 months; ascertainment: telephone contact every 3 months; a standardized fall definition and outcome-assessor masking were not reported</w:t>
            </w:r>
          </w:p>
        </w:tc>
        <w:tc>
          <w:tcPr>
            <w:tcW w:type="dxa" w:w="1937"/>
          </w:tcPr>
          <w:p>
            <w:pPr>
              <w:pStyle w:val="MDPI42tablebody"/>
              <w:jc w:val="left"/>
            </w:pPr>
            <w:r>
              <w:rPr>
                <w:sz w:val="16"/>
              </w:rPr>
              <w:t>Stepwise discriminant analysis of nine gait variables, followed by same-sample, single-predictor ROC and cut-point analyses for the three selected variables; stage: development with apparent performance; no internal or external validation reported</w:t>
            </w:r>
          </w:p>
        </w:tc>
        <w:tc>
          <w:tcPr>
            <w:tcW w:type="dxa" w:w="2549"/>
          </w:tcPr>
          <w:p>
            <w:pPr>
              <w:pStyle w:val="MDPI42tablebody"/>
              <w:jc w:val="left"/>
            </w:pPr>
            <w:r>
              <w:rPr>
                <w:sz w:val="16"/>
              </w:rPr>
              <w:t>Stance-time variability: AUC 0.72, cut-point 0.05 s, sensitivity 77.8%, specificity 57.1%; swing time: AUC 0.246 as reported (opposite predictor direction), cut-point 0.459 s, sensitivity 88.9%, specificity 100%; stride length: AUC 0.97, cut-point 0.97 m, sensitivity 77.8%, specificity 92.9%; confidence intervals and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Outcome-driven stepwise selection and data-derived cut-points evaluated in the same cohort; no reported confidence intervals, optimism correction, calibration, external validation, or clinical-utility assessment; source: complete article retrieved from the UNESP institutional repository</w:t>
            </w:r>
          </w:p>
        </w:tc>
      </w:tr>
      <w:tr>
        <w:tc>
          <w:tcPr>
            <w:tcW w:type="dxa" w:w="1428"/>
          </w:tcPr>
          <w:p>
            <w:pPr>
              <w:pStyle w:val="MDPI42tablebody"/>
              <w:jc w:val="left"/>
            </w:pPr>
            <w:r>
              <w:rPr>
                <w:sz w:val="16"/>
              </w:rPr>
              <w:t>Lo et al. (2019) [36]</w:t>
            </w:r>
          </w:p>
        </w:tc>
        <w:tc>
          <w:tcPr>
            <w:tcW w:type="dxa" w:w="2243"/>
          </w:tcPr>
          <w:p>
            <w:pPr>
              <w:pStyle w:val="MDPI42tablebody"/>
              <w:jc w:val="left"/>
            </w:pPr>
            <w:r>
              <w:rPr>
                <w:sz w:val="16"/>
              </w:rPr>
              <w:t>Early Parkinson disease; mean disease duration 3.5±2.2 years; cohort: Oxford-Discovery-PD; sample: 179 in the fall model; events: 39 incident fallers; 140 nonfallers; 191 analytic windows</w:t>
            </w:r>
          </w:p>
        </w:tc>
        <w:tc>
          <w:tcPr>
            <w:tcW w:type="dxa" w:w="2243"/>
          </w:tcPr>
          <w:p>
            <w:pPr>
              <w:pStyle w:val="MDPI42tablebody"/>
              <w:jc w:val="left"/>
            </w:pPr>
            <w:r>
              <w:rPr>
                <w:sz w:val="16"/>
              </w:rPr>
              <w:t>Smartphone sensors; 7-minute clinic and home test of voice, balance, gait, reaction time, dexterity, rest, and tremor; candidate predictors: 998 multimodal smartphone features; reduced 30-feature sets also tested</w:t>
            </w:r>
          </w:p>
        </w:tc>
        <w:tc>
          <w:tcPr>
            <w:tcW w:type="dxa" w:w="1734"/>
          </w:tcPr>
          <w:p>
            <w:pPr>
              <w:pStyle w:val="MDPI42tablebody"/>
              <w:jc w:val="left"/>
            </w:pPr>
            <w:r>
              <w:rPr>
                <w:sz w:val="16"/>
              </w:rPr>
              <w:t>New onset of falls at follow-up (among several clinical outcomes); horizon: Assessment at 18 months using 6-month fall recall; ascertainment: Clinical follow-up visit</w:t>
            </w:r>
          </w:p>
        </w:tc>
        <w:tc>
          <w:tcPr>
            <w:tcW w:type="dxa" w:w="1937"/>
          </w:tcPr>
          <w:p>
            <w:pPr>
              <w:pStyle w:val="MDPI42tablebody"/>
              <w:jc w:val="left"/>
            </w:pPr>
            <w:r>
              <w:rPr>
                <w:sz w:val="16"/>
              </w:rPr>
              <w:t>Machine-learning algorithms; stage: development internal validation; validation: Ordinary 10-fold CV and participant-level leave-one-subject-out CV</w:t>
            </w:r>
          </w:p>
        </w:tc>
        <w:tc>
          <w:tcPr>
            <w:tcW w:type="dxa" w:w="2549"/>
          </w:tcPr>
          <w:p>
            <w:pPr>
              <w:pStyle w:val="MDPI42tablebody"/>
              <w:jc w:val="left"/>
            </w:pPr>
            <w:r>
              <w:rPr>
                <w:sz w:val="16"/>
              </w:rPr>
              <w:t>Falls AUC 0.94 with 998 features and 0.88 with 30 features in 10-fold CV; participant-level leave-one-subject-out AUC 0.79 with 30 features;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High-dimensional modelling across multiple outcomes; feature reduction and performance estimation used the same cohort; no calibration or independent external validation; source: complete article.</w:t>
            </w:r>
          </w:p>
        </w:tc>
      </w:tr>
      <w:tr>
        <w:tc>
          <w:tcPr>
            <w:tcW w:type="dxa" w:w="1428"/>
          </w:tcPr>
          <w:p>
            <w:pPr>
              <w:pStyle w:val="MDPI42tablebody"/>
              <w:jc w:val="left"/>
            </w:pPr>
            <w:r>
              <w:rPr>
                <w:sz w:val="16"/>
              </w:rPr>
              <w:t>Marques et al. (2019) [37] †</w:t>
            </w:r>
          </w:p>
        </w:tc>
        <w:tc>
          <w:tcPr>
            <w:tcW w:type="dxa" w:w="2243"/>
          </w:tcPr>
          <w:p>
            <w:pPr>
              <w:pStyle w:val="MDPI42tablebody"/>
              <w:jc w:val="left"/>
            </w:pPr>
            <w:r>
              <w:rPr>
                <w:sz w:val="16"/>
              </w:rPr>
              <w:t>Long-term-care residents aged &gt;60 years with cognitive impairment; cohort: Marques-LTC-cognitive-23; sample: 23; events: 10 fallers; 13 nonfallers</w:t>
            </w:r>
          </w:p>
        </w:tc>
        <w:tc>
          <w:tcPr>
            <w:tcW w:type="dxa" w:w="2243"/>
          </w:tcPr>
          <w:p>
            <w:pPr>
              <w:pStyle w:val="MDPI42tablebody"/>
              <w:jc w:val="left"/>
            </w:pPr>
            <w:r>
              <w:rPr>
                <w:sz w:val="16"/>
              </w:rPr>
              <w:t>Footswitch sensors during self-selected walking; Fifty gait cycles recorded at baseline; candidate predictors: Gait speed, stride length, stance/swing/stride timing, and variability</w:t>
            </w:r>
          </w:p>
        </w:tc>
        <w:tc>
          <w:tcPr>
            <w:tcW w:type="dxa" w:w="1734"/>
          </w:tcPr>
          <w:p>
            <w:pPr>
              <w:pStyle w:val="MDPI42tablebody"/>
              <w:jc w:val="left"/>
            </w:pPr>
            <w:r>
              <w:rPr>
                <w:sz w:val="16"/>
              </w:rPr>
              <w:t>Any fall; horizon: 6 months; ascertainment: Prospective fall-status recording; frequency of contact NR</w:t>
            </w:r>
          </w:p>
        </w:tc>
        <w:tc>
          <w:tcPr>
            <w:tcW w:type="dxa" w:w="1937"/>
          </w:tcPr>
          <w:p>
            <w:pPr>
              <w:pStyle w:val="MDPI42tablebody"/>
              <w:jc w:val="left"/>
            </w:pPr>
            <w:r>
              <w:rPr>
                <w:sz w:val="16"/>
              </w:rPr>
              <w:t>Single-predictor ROC and threshold analysis; stage: development apparent; validation: Same-sample apparent ROC/cut-point analysis</w:t>
            </w:r>
          </w:p>
        </w:tc>
        <w:tc>
          <w:tcPr>
            <w:tcW w:type="dxa" w:w="2549"/>
          </w:tcPr>
          <w:p>
            <w:pPr>
              <w:pStyle w:val="MDPI42tablebody"/>
              <w:jc w:val="left"/>
            </w:pPr>
            <w:r>
              <w:rPr>
                <w:sz w:val="16"/>
              </w:rPr>
              <w:t>AUCs NR in indexed/publisher abstract; Stride-time variability cutoff 0.4 s: sensitivity 50%, specificity 100%; gait-speed cutoff 0.65 m/s: sensitivity 50%, specificity 50%</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23 participants and 10 fallers; same-sample cut-point selection; limited ascertainment and modelling details; no calibration or external validation; source: indexed/publisher abstract only.</w:t>
            </w:r>
          </w:p>
        </w:tc>
      </w:tr>
      <w:tr>
        <w:tc>
          <w:tcPr>
            <w:tcW w:type="dxa" w:w="1428"/>
          </w:tcPr>
          <w:p>
            <w:pPr>
              <w:pStyle w:val="MDPI42tablebody"/>
              <w:jc w:val="left"/>
            </w:pPr>
            <w:r>
              <w:rPr>
                <w:sz w:val="16"/>
              </w:rPr>
              <w:t>Gillain et al. (2019) [38] †</w:t>
            </w:r>
          </w:p>
        </w:tc>
        <w:tc>
          <w:tcPr>
            <w:tcW w:type="dxa" w:w="2243"/>
          </w:tcPr>
          <w:p>
            <w:pPr>
              <w:pStyle w:val="MDPI42tablebody"/>
              <w:jc w:val="left"/>
            </w:pPr>
            <w:r>
              <w:rPr>
                <w:sz w:val="16"/>
              </w:rPr>
              <w:t>Independent community-dwelling adults aged &gt;65 years without a recent fall history; mean age 71.3 years; cohort: Gillain-fall-naive-96; sample: 105 enrolled; 96 followed; events: 35 fallers; 61 nonfallers</w:t>
            </w:r>
          </w:p>
        </w:tc>
        <w:tc>
          <w:tcPr>
            <w:tcW w:type="dxa" w:w="2243"/>
          </w:tcPr>
          <w:p>
            <w:pPr>
              <w:pStyle w:val="MDPI42tablebody"/>
              <w:jc w:val="left"/>
            </w:pPr>
            <w:r>
              <w:rPr>
                <w:sz w:val="16"/>
              </w:rPr>
              <w:t>Waist-mounted triaxial accelerometer with optoelectronic foot-marker measurement; Comfortable, fast, and dual-task standardized walking; candidate predictors: Gait speed, stride length and frequency, symmetry, regularity, minimum toe clearance, sex, and stiffness</w:t>
            </w:r>
          </w:p>
        </w:tc>
        <w:tc>
          <w:tcPr>
            <w:tcW w:type="dxa" w:w="1734"/>
          </w:tcPr>
          <w:p>
            <w:pPr>
              <w:pStyle w:val="MDPI42tablebody"/>
              <w:jc w:val="left"/>
            </w:pPr>
            <w:r>
              <w:rPr>
                <w:sz w:val="16"/>
              </w:rPr>
              <w:t>Any fall; horizon: 2 years; ascertainment: Personal fall diaries over 2 years; collection schedule and adjudication NR</w:t>
            </w:r>
          </w:p>
        </w:tc>
        <w:tc>
          <w:tcPr>
            <w:tcW w:type="dxa" w:w="1937"/>
          </w:tcPr>
          <w:p>
            <w:pPr>
              <w:pStyle w:val="MDPI42tablebody"/>
              <w:jc w:val="left"/>
            </w:pPr>
            <w:r>
              <w:rPr>
                <w:sz w:val="16"/>
              </w:rPr>
              <w:t>J48 classification tree; stage: development apparent; validation: Apparent performance in the development cohort</w:t>
            </w:r>
          </w:p>
        </w:tc>
        <w:tc>
          <w:tcPr>
            <w:tcW w:type="dxa" w:w="2549"/>
          </w:tcPr>
          <w:p>
            <w:pPr>
              <w:pStyle w:val="MDPI42tablebody"/>
              <w:jc w:val="left"/>
            </w:pPr>
            <w:r>
              <w:rPr>
                <w:sz w:val="16"/>
              </w:rPr>
              <w:t>Accuracy 84%; Sensitivity 80%; specificity 87%; PPV 78%; NPV 88%</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Nine participants were lost to follow-up without accessible reasons; outcome procedures were incompletely reported; only 35 events; data-driven tree assessed in the development cohort; no optimism correction, calibration, or independent validation; source: indexed/publisher abstract only.</w:t>
            </w:r>
          </w:p>
        </w:tc>
      </w:tr>
      <w:tr>
        <w:tc>
          <w:tcPr>
            <w:tcW w:type="dxa" w:w="1428"/>
          </w:tcPr>
          <w:p>
            <w:pPr>
              <w:pStyle w:val="MDPI42tablebody"/>
              <w:jc w:val="left"/>
            </w:pPr>
            <w:r>
              <w:rPr>
                <w:sz w:val="16"/>
              </w:rPr>
              <w:t>Buisseret et al. (2020) [39]</w:t>
            </w:r>
          </w:p>
        </w:tc>
        <w:tc>
          <w:tcPr>
            <w:tcW w:type="dxa" w:w="2243"/>
          </w:tcPr>
          <w:p>
            <w:pPr>
              <w:pStyle w:val="MDPI42tablebody"/>
              <w:jc w:val="left"/>
            </w:pPr>
            <w:r>
              <w:rPr>
                <w:sz w:val="16"/>
              </w:rPr>
              <w:t>Nursing-home residents aged &gt;65 years; cohort: Nursing-home-IMU-73; sample: 73 complete participants; events: 23 fallers; 50 nonfallers</w:t>
            </w:r>
          </w:p>
        </w:tc>
        <w:tc>
          <w:tcPr>
            <w:tcW w:type="dxa" w:w="2243"/>
          </w:tcPr>
          <w:p>
            <w:pPr>
              <w:pStyle w:val="MDPI42tablebody"/>
              <w:jc w:val="left"/>
            </w:pPr>
            <w:r>
              <w:rPr>
                <w:sz w:val="16"/>
              </w:rPr>
              <w:t>Home-designed wearable IMU; TUG and 6-minute walk at baseline; repeat assessment at 6 months; candidate predictors: TUG time, sensor-derived gait variability, and raw IMU sequences</w:t>
            </w:r>
          </w:p>
        </w:tc>
        <w:tc>
          <w:tcPr>
            <w:tcW w:type="dxa" w:w="1734"/>
          </w:tcPr>
          <w:p>
            <w:pPr>
              <w:pStyle w:val="MDPI42tablebody"/>
              <w:jc w:val="left"/>
            </w:pPr>
            <w:r>
              <w:rPr>
                <w:sz w:val="16"/>
              </w:rPr>
              <w:t>Observed faller status; horizon: 6 months; ascertainment: Every fall recorded by nursing-home staff over 6 months</w:t>
            </w:r>
          </w:p>
        </w:tc>
        <w:tc>
          <w:tcPr>
            <w:tcW w:type="dxa" w:w="1937"/>
          </w:tcPr>
          <w:p>
            <w:pPr>
              <w:pStyle w:val="MDPI42tablebody"/>
              <w:jc w:val="left"/>
            </w:pPr>
            <w:r>
              <w:rPr>
                <w:sz w:val="16"/>
              </w:rPr>
              <w:t>TUG+ rule and a deep-learning/raw-signal classifier; stage: development internal validation; validation: 57-person training set and repeatedly reused 16-person model-selection/test set</w:t>
            </w:r>
          </w:p>
        </w:tc>
        <w:tc>
          <w:tcPr>
            <w:tcW w:type="dxa" w:w="2549"/>
          </w:tcPr>
          <w:p>
            <w:pPr>
              <w:pStyle w:val="MDPI42tablebody"/>
              <w:jc w:val="left"/>
            </w:pPr>
            <w:r>
              <w:rPr>
                <w:sz w:val="16"/>
              </w:rPr>
              <w:t>TUG plus gait variability improved accuracy from 68% to 76%; raw-signal AI test accuracy=75%;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Small cohort and repeatedly reused 16-person model-selection/test set; threshold/model development in the same cohort; calibration not reported; source: complete article.</w:t>
            </w:r>
          </w:p>
        </w:tc>
      </w:tr>
      <w:tr>
        <w:tc>
          <w:tcPr>
            <w:tcW w:type="dxa" w:w="1428"/>
          </w:tcPr>
          <w:p>
            <w:pPr>
              <w:pStyle w:val="MDPI42tablebody"/>
              <w:jc w:val="left"/>
            </w:pPr>
            <w:r>
              <w:rPr>
                <w:sz w:val="16"/>
              </w:rPr>
              <w:t>Silva et al. (2020) [40]</w:t>
            </w:r>
          </w:p>
        </w:tc>
        <w:tc>
          <w:tcPr>
            <w:tcW w:type="dxa" w:w="2243"/>
          </w:tcPr>
          <w:p>
            <w:pPr>
              <w:pStyle w:val="MDPI42tablebody"/>
              <w:jc w:val="left"/>
            </w:pPr>
            <w:r>
              <w:rPr>
                <w:sz w:val="16"/>
              </w:rPr>
              <w:t>Community-dwelling adults aged &gt;65 years; mean age 75.1 years; cohort: FallSensing-multisensor-281; sample: 281; events: 74 fallers; 207 nonfallers</w:t>
            </w:r>
          </w:p>
        </w:tc>
        <w:tc>
          <w:tcPr>
            <w:tcW w:type="dxa" w:w="2243"/>
          </w:tcPr>
          <w:p>
            <w:pPr>
              <w:pStyle w:val="MDPI42tablebody"/>
              <w:jc w:val="left"/>
            </w:pPr>
            <w:r>
              <w:rPr>
                <w:sz w:val="16"/>
              </w:rPr>
              <w:t>Inertial sensors at the lower back and support-leg ankle; pressure platform for static tests; Instrumented TUG, 10-m walk, sit-to-stand, step, and balance tests at baseline; candidate predictors: Clinical and self-reported variables plus 230 inertial-sensor and pressure-platform features</w:t>
            </w:r>
          </w:p>
        </w:tc>
        <w:tc>
          <w:tcPr>
            <w:tcW w:type="dxa" w:w="1734"/>
          </w:tcPr>
          <w:p>
            <w:pPr>
              <w:pStyle w:val="MDPI42tablebody"/>
              <w:jc w:val="left"/>
            </w:pPr>
            <w:r>
              <w:rPr>
                <w:sz w:val="16"/>
              </w:rPr>
              <w:t>Any fall; horizon: 12 months; ascertainment: Monthly telephone follow-up</w:t>
            </w:r>
          </w:p>
        </w:tc>
        <w:tc>
          <w:tcPr>
            <w:tcW w:type="dxa" w:w="1937"/>
          </w:tcPr>
          <w:p>
            <w:pPr>
              <w:pStyle w:val="MDPI42tablebody"/>
              <w:jc w:val="left"/>
            </w:pPr>
            <w:r>
              <w:rPr>
                <w:sz w:val="16"/>
              </w:rPr>
              <w:t>Early/late fusion decision-tree pipelines and slow-fusion multilayer perceptron; stage: development internal validation; validation: Fifty repeated stratified 67:33 train-test splits; grid-search cross-validation within training sets</w:t>
            </w:r>
          </w:p>
        </w:tc>
        <w:tc>
          <w:tcPr>
            <w:tcW w:type="dxa" w:w="2549"/>
          </w:tcPr>
          <w:p>
            <w:pPr>
              <w:pStyle w:val="MDPI42tablebody"/>
              <w:jc w:val="left"/>
            </w:pPr>
            <w:r>
              <w:rPr>
                <w:sz w:val="16"/>
              </w:rPr>
              <w:t>Early/late/slow fusion mean AUC 0.495/0.505/0.503; Late fusion: accuracy 37.0%, recall 78.6%, specificity 22.5%, precision 26.2%</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Many candidate features relative to 74 events; a prospective-fall field appeared in the source feature inventory and its exclusion from modelling was not fully auditable; repeated internal splits, poor specificity, and no calibration or external validation; source: complete article.</w:t>
            </w:r>
          </w:p>
        </w:tc>
      </w:tr>
      <w:tr>
        <w:tc>
          <w:tcPr>
            <w:tcW w:type="dxa" w:w="1428"/>
          </w:tcPr>
          <w:p>
            <w:pPr>
              <w:pStyle w:val="MDPI42tablebody"/>
              <w:jc w:val="left"/>
            </w:pPr>
            <w:r>
              <w:rPr>
                <w:sz w:val="16"/>
              </w:rPr>
              <w:t>Sturchio et al. (2021) [41]</w:t>
            </w:r>
          </w:p>
        </w:tc>
        <w:tc>
          <w:tcPr>
            <w:tcW w:type="dxa" w:w="2243"/>
          </w:tcPr>
          <w:p>
            <w:pPr>
              <w:pStyle w:val="MDPI42tablebody"/>
              <w:jc w:val="left"/>
            </w:pPr>
            <w:r>
              <w:rPr>
                <w:sz w:val="16"/>
              </w:rPr>
              <w:t>Consecutive patients with Parkinson disease and orthostatic hypotension; mean age 72.5 years; cohort: PD-orthostatic-hypotension-26; sample: 26; events: 14 fallers; 12 nonfallers</w:t>
            </w:r>
          </w:p>
        </w:tc>
        <w:tc>
          <w:tcPr>
            <w:tcW w:type="dxa" w:w="2243"/>
          </w:tcPr>
          <w:p>
            <w:pPr>
              <w:pStyle w:val="MDPI42tablebody"/>
              <w:jc w:val="left"/>
            </w:pPr>
            <w:r>
              <w:rPr>
                <w:sz w:val="16"/>
              </w:rPr>
              <w:t>Multisite wearable kinematic sensors on the trunk and limbs; Baseline TUG, 2-min walk, postural sway, and home-like activity tasks; candidate predictors: Waist sway during TUG, postural-sway jerk and centroidal frequency, gait, activity, and blood-pressure measures</w:t>
            </w:r>
          </w:p>
        </w:tc>
        <w:tc>
          <w:tcPr>
            <w:tcW w:type="dxa" w:w="1734"/>
          </w:tcPr>
          <w:p>
            <w:pPr>
              <w:pStyle w:val="MDPI42tablebody"/>
              <w:jc w:val="left"/>
            </w:pPr>
            <w:r>
              <w:rPr>
                <w:sz w:val="16"/>
              </w:rPr>
              <w:t>Any fall; horizon: 6 months; ascertainment: Prospective daily fall diary using a WHO fall definition</w:t>
            </w:r>
          </w:p>
        </w:tc>
        <w:tc>
          <w:tcPr>
            <w:tcW w:type="dxa" w:w="1937"/>
          </w:tcPr>
          <w:p>
            <w:pPr>
              <w:pStyle w:val="MDPI42tablebody"/>
              <w:jc w:val="left"/>
            </w:pPr>
            <w:r>
              <w:rPr>
                <w:sz w:val="16"/>
              </w:rPr>
              <w:t>Kinematic clustering and ROC threshold analysis; stage: development apparent; validation: Same-sample apparent cluster and threshold performance</w:t>
            </w:r>
          </w:p>
        </w:tc>
        <w:tc>
          <w:tcPr>
            <w:tcW w:type="dxa" w:w="2549"/>
          </w:tcPr>
          <w:p>
            <w:pPr>
              <w:pStyle w:val="MDPI42tablebody"/>
              <w:jc w:val="left"/>
            </w:pPr>
            <w:r>
              <w:rPr>
                <w:sz w:val="16"/>
              </w:rPr>
              <w:t>Three-feature kinematic cluster AUC 0.87; single centroidal-frequency sway AUC 0.81; Three-feature cluster sensitivity 77.8%, specificity 71.4%; single sway threshold sensitivity 84.6%, specificity 83.3%</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26 participants; extensive kinematic testing and same-sample threshold selection; mixed gait/postural predictors; no resampling, calibration, or external validation; source: complete article.</w:t>
            </w:r>
          </w:p>
        </w:tc>
      </w:tr>
      <w:tr>
        <w:tc>
          <w:tcPr>
            <w:tcW w:type="dxa" w:w="1428"/>
          </w:tcPr>
          <w:p>
            <w:pPr>
              <w:pStyle w:val="MDPI42tablebody"/>
              <w:jc w:val="left"/>
            </w:pPr>
            <w:r>
              <w:rPr>
                <w:sz w:val="16"/>
              </w:rPr>
              <w:t>Bet et al. (2021) [42]</w:t>
            </w:r>
          </w:p>
        </w:tc>
        <w:tc>
          <w:tcPr>
            <w:tcW w:type="dxa" w:w="2243"/>
          </w:tcPr>
          <w:p>
            <w:pPr>
              <w:pStyle w:val="MDPI42tablebody"/>
              <w:jc w:val="left"/>
            </w:pPr>
            <w:r>
              <w:rPr>
                <w:sz w:val="16"/>
              </w:rPr>
              <w:t>Active, healthy community-dwelling older adults with no recent falls; mean age approximately 70 years; cohort: Active-community-nonfallers-74; sample: 74 enrolled; 73 with 12-month outcome/model data; events: 20/73 fallers (27.4%)</w:t>
            </w:r>
          </w:p>
        </w:tc>
        <w:tc>
          <w:tcPr>
            <w:tcW w:type="dxa" w:w="2243"/>
          </w:tcPr>
          <w:p>
            <w:pPr>
              <w:pStyle w:val="MDPI42tablebody"/>
              <w:jc w:val="left"/>
            </w:pPr>
            <w:r>
              <w:rPr>
                <w:sz w:val="16"/>
              </w:rPr>
              <w:t>Single waist accelerometer; Standard, manual, and dual-task TUG variants; candidate predictors: Frequency-domain accelerometer features</w:t>
            </w:r>
          </w:p>
        </w:tc>
        <w:tc>
          <w:tcPr>
            <w:tcW w:type="dxa" w:w="1734"/>
          </w:tcPr>
          <w:p>
            <w:pPr>
              <w:pStyle w:val="MDPI42tablebody"/>
              <w:jc w:val="left"/>
            </w:pPr>
            <w:r>
              <w:rPr>
                <w:sz w:val="16"/>
              </w:rPr>
              <w:t>At least one fall; horizon: 3 and 12 months; ascertainment: Participant fall journal with contact every 3 months</w:t>
            </w:r>
          </w:p>
        </w:tc>
        <w:tc>
          <w:tcPr>
            <w:tcW w:type="dxa" w:w="1937"/>
          </w:tcPr>
          <w:p>
            <w:pPr>
              <w:pStyle w:val="MDPI42tablebody"/>
              <w:jc w:val="left"/>
            </w:pPr>
            <w:r>
              <w:rPr>
                <w:sz w:val="16"/>
              </w:rPr>
              <w:t>Single-feature thresholds and three-feature decision fusion; stage: development; validation: Apparent performance</w:t>
            </w:r>
          </w:p>
        </w:tc>
        <w:tc>
          <w:tcPr>
            <w:tcW w:type="dxa" w:w="2549"/>
          </w:tcPr>
          <w:p>
            <w:pPr>
              <w:pStyle w:val="MDPI42tablebody"/>
              <w:jc w:val="left"/>
            </w:pPr>
            <w:r>
              <w:rPr>
                <w:sz w:val="16"/>
              </w:rPr>
              <w:t>At 3 months (70 participants; 7 fallers), best apparent single-feature accuracy/sensitivity/specificity 0.75/0.71/0.76 and fusion sensitivity 0.86; at 12 months (73 participants; 20 fallers), fusion accuracy/sensitivity/specificity 0.62/0.60/0.62;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seven 3-month and 20 twelve-month events; feature/threshold combinations selected and assessed in the same cohort; no probabilistic calibration or independent validation; source: complete article.</w:t>
            </w:r>
          </w:p>
        </w:tc>
      </w:tr>
      <w:tr>
        <w:tc>
          <w:tcPr>
            <w:tcW w:type="dxa" w:w="1428"/>
          </w:tcPr>
          <w:p>
            <w:pPr>
              <w:pStyle w:val="MDPI42tablebody"/>
              <w:jc w:val="left"/>
            </w:pPr>
            <w:r>
              <w:rPr>
                <w:sz w:val="16"/>
              </w:rPr>
              <w:t>Mehdizadeh et al. (2021) [43] †</w:t>
            </w:r>
          </w:p>
        </w:tc>
        <w:tc>
          <w:tcPr>
            <w:tcW w:type="dxa" w:w="2243"/>
          </w:tcPr>
          <w:p>
            <w:pPr>
              <w:pStyle w:val="MDPI42tablebody"/>
              <w:jc w:val="left"/>
            </w:pPr>
            <w:r>
              <w:rPr>
                <w:sz w:val="16"/>
              </w:rPr>
              <w:t>High-risk inpatients/long-term-care residents with dementia; cohort: Toronto-dementia-ambient-gait; sample: 64 enrolled; 51 analysed; events: 26/51 fell during the full stay; 78 total falls; horizon-specific event counts NR</w:t>
            </w:r>
          </w:p>
        </w:tc>
        <w:tc>
          <w:tcPr>
            <w:tcW w:type="dxa" w:w="2243"/>
          </w:tcPr>
          <w:p>
            <w:pPr>
              <w:pStyle w:val="MDPI42tablebody"/>
              <w:jc w:val="left"/>
            </w:pPr>
            <w:r>
              <w:rPr>
                <w:sz w:val="16"/>
              </w:rPr>
              <w:t>Ambient markerless computer-vision gait monitoring; Natural gait captured over approximately 2 weeks; candidate predictors: Fall history and computer-vision margin-of-stability gait measure</w:t>
            </w:r>
          </w:p>
        </w:tc>
        <w:tc>
          <w:tcPr>
            <w:tcW w:type="dxa" w:w="1734"/>
          </w:tcPr>
          <w:p>
            <w:pPr>
              <w:pStyle w:val="MDPI42tablebody"/>
              <w:jc w:val="left"/>
            </w:pPr>
            <w:r>
              <w:rPr>
                <w:sz w:val="16"/>
              </w:rPr>
              <w:t>Short-term time to fall; horizon: 7 and 30 days; ascertainment: Facility-recorded falls</w:t>
            </w:r>
          </w:p>
        </w:tc>
        <w:tc>
          <w:tcPr>
            <w:tcW w:type="dxa" w:w="1937"/>
          </w:tcPr>
          <w:p>
            <w:pPr>
              <w:pStyle w:val="MDPI42tablebody"/>
              <w:jc w:val="left"/>
            </w:pPr>
            <w:r>
              <w:rPr>
                <w:sz w:val="16"/>
              </w:rPr>
              <w:t>Cox proportional-hazards model; stage: development internal validation; validation: Internal validation</w:t>
            </w:r>
          </w:p>
        </w:tc>
        <w:tc>
          <w:tcPr>
            <w:tcW w:type="dxa" w:w="2549"/>
          </w:tcPr>
          <w:p>
            <w:pPr>
              <w:pStyle w:val="MDPI42tablebody"/>
              <w:jc w:val="left"/>
            </w:pPr>
            <w:r>
              <w:rPr>
                <w:sz w:val="16"/>
              </w:rPr>
              <w:t>AUC=0.80 at 7 days and 0.67 at 30 days; C-index=0.71; Calibration: Qualitative comparison of predicted and observed survival; calibration intercept, slope, and plot NR</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Thirteen of 64 enrolled participants were excluded; horizon-specific event counts and complete validation details were not reported; single-facility development without independent validation; only qualitative calibration information was available; source: indexed/publisher abstract only.</w:t>
            </w:r>
          </w:p>
        </w:tc>
      </w:tr>
      <w:tr>
        <w:tc>
          <w:tcPr>
            <w:tcW w:type="dxa" w:w="1428"/>
          </w:tcPr>
          <w:p>
            <w:pPr>
              <w:pStyle w:val="MDPI42tablebody"/>
              <w:jc w:val="left"/>
            </w:pPr>
            <w:r>
              <w:rPr>
                <w:sz w:val="16"/>
              </w:rPr>
              <w:t>Lockhart et al. (2021) [44]</w:t>
            </w:r>
          </w:p>
        </w:tc>
        <w:tc>
          <w:tcPr>
            <w:tcW w:type="dxa" w:w="2243"/>
          </w:tcPr>
          <w:p>
            <w:pPr>
              <w:pStyle w:val="MDPI42tablebody"/>
              <w:jc w:val="left"/>
            </w:pPr>
            <w:r>
              <w:rPr>
                <w:sz w:val="16"/>
              </w:rPr>
              <w:t>Community-dwelling older adults; cohort: Community-wearable-gait-171; sample: 127 in development; 44 in prospective blind test; events: 9/44 prospective-test participants fell</w:t>
            </w:r>
          </w:p>
        </w:tc>
        <w:tc>
          <w:tcPr>
            <w:tcW w:type="dxa" w:w="2243"/>
          </w:tcPr>
          <w:p>
            <w:pPr>
              <w:pStyle w:val="MDPI42tablebody"/>
              <w:jc w:val="left"/>
            </w:pPr>
            <w:r>
              <w:rPr>
                <w:sz w:val="16"/>
              </w:rPr>
              <w:t>Single sternum IMU; 10-m walking test; candidate predictors: Linear and nonlinear gait variability, complexity, and smoothness features</w:t>
            </w:r>
          </w:p>
        </w:tc>
        <w:tc>
          <w:tcPr>
            <w:tcW w:type="dxa" w:w="1734"/>
          </w:tcPr>
          <w:p>
            <w:pPr>
              <w:pStyle w:val="MDPI42tablebody"/>
              <w:jc w:val="left"/>
            </w:pPr>
            <w:r>
              <w:rPr>
                <w:sz w:val="16"/>
              </w:rPr>
              <w:t>Development: recurrent past falls; prospective test: any fall; horizon: 6 months; ascertainment: Prospective fall incidence; detailed method NR</w:t>
            </w:r>
          </w:p>
        </w:tc>
        <w:tc>
          <w:tcPr>
            <w:tcW w:type="dxa" w:w="1937"/>
          </w:tcPr>
          <w:p>
            <w:pPr>
              <w:pStyle w:val="MDPI42tablebody"/>
              <w:jc w:val="left"/>
            </w:pPr>
            <w:r>
              <w:rPr>
                <w:sz w:val="16"/>
              </w:rPr>
              <w:t>Random forest; stage: retrospective label development and prospective fixed model evaluation; validation: Prospective fixed-model evaluation after development against a retrospective fall-history label</w:t>
            </w:r>
          </w:p>
        </w:tc>
        <w:tc>
          <w:tcPr>
            <w:tcW w:type="dxa" w:w="2549"/>
          </w:tcPr>
          <w:p>
            <w:pPr>
              <w:pStyle w:val="MDPI42tablebody"/>
              <w:jc w:val="left"/>
            </w:pPr>
            <w:r>
              <w:rPr>
                <w:sz w:val="16"/>
              </w:rPr>
              <w:t>Blind-test accuracy=81.6% (±0.7, dispersion type not specified by the source), sensitivity=86.7% (±0.5, type not specified), specificity=80.3% (±0.2, type not specified);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9 prospective events; development and test outcomes/horizons differed; small blind-test cohort; no calibration; source: complete article.</w:t>
            </w:r>
          </w:p>
        </w:tc>
      </w:tr>
      <w:tr>
        <w:tc>
          <w:tcPr>
            <w:tcW w:type="dxa" w:w="1428"/>
          </w:tcPr>
          <w:p>
            <w:pPr>
              <w:pStyle w:val="MDPI42tablebody"/>
              <w:jc w:val="left"/>
            </w:pPr>
            <w:r>
              <w:rPr>
                <w:sz w:val="16"/>
              </w:rPr>
              <w:t>Roshdibenam et al. (2021) [45]</w:t>
            </w:r>
          </w:p>
        </w:tc>
        <w:tc>
          <w:tcPr>
            <w:tcW w:type="dxa" w:w="2243"/>
          </w:tcPr>
          <w:p>
            <w:pPr>
              <w:pStyle w:val="MDPI42tablebody"/>
              <w:jc w:val="left"/>
            </w:pPr>
            <w:r>
              <w:rPr>
                <w:sz w:val="16"/>
              </w:rPr>
              <w:t>Geriatrics-clinic patients aged ≥65 years with multiple comorbidities; cohort: Roshdibenam-geriatric-clinic-98; sample: 98 analysed; 87 followed; events: 25 fallers; 62 nonfallers at follow-up</w:t>
            </w:r>
          </w:p>
        </w:tc>
        <w:tc>
          <w:tcPr>
            <w:tcW w:type="dxa" w:w="2243"/>
          </w:tcPr>
          <w:p>
            <w:pPr>
              <w:pStyle w:val="MDPI42tablebody"/>
              <w:jc w:val="left"/>
            </w:pPr>
            <w:r>
              <w:rPr>
                <w:sz w:val="16"/>
              </w:rPr>
              <w:t>Three RunScribe IMUs on both shoes and posterior neck; Instrumented TUG; candidate predictors: Raw acceleration/angular-velocity segments</w:t>
            </w:r>
          </w:p>
        </w:tc>
        <w:tc>
          <w:tcPr>
            <w:tcW w:type="dxa" w:w="1734"/>
          </w:tcPr>
          <w:p>
            <w:pPr>
              <w:pStyle w:val="MDPI42tablebody"/>
              <w:jc w:val="left"/>
            </w:pPr>
            <w:r>
              <w:rPr>
                <w:sz w:val="16"/>
              </w:rPr>
              <w:t>Secondary evaluation against actual subsequent falls; horizon: 6–12 months; ascertainment: Follow-up survey at 6–12 months asking whether a fall had occurred; 87 of 98 participants responded</w:t>
            </w:r>
          </w:p>
        </w:tc>
        <w:tc>
          <w:tcPr>
            <w:tcW w:type="dxa" w:w="1937"/>
          </w:tcPr>
          <w:p>
            <w:pPr>
              <w:pStyle w:val="MDPI42tablebody"/>
              <w:jc w:val="left"/>
            </w:pPr>
            <w:r>
              <w:rPr>
                <w:sz w:val="16"/>
              </w:rPr>
              <w:t>One-dimensional CNN; SVM comparator; stage: development internal validation; validation: Repeated 80:20 participant split with bootstrap/bagging; signal segmentation within participant</w:t>
            </w:r>
          </w:p>
        </w:tc>
        <w:tc>
          <w:tcPr>
            <w:tcW w:type="dxa" w:w="2549"/>
          </w:tcPr>
          <w:p>
            <w:pPr>
              <w:pStyle w:val="MDPI42tablebody"/>
              <w:jc w:val="left"/>
            </w:pPr>
            <w:r>
              <w:rPr>
                <w:sz w:val="16"/>
              </w:rPr>
              <w:t>Best prospective neck CNN-gyro AUC 0.56 (range across resamples 0.33–0.74); Prospective neck CNN-gyro accuracy 60.46%, sensitivity 42.35%, specificity 67.42%;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Primary outcome is clinician risk classification, not prospective falls; prospective analysis incompletely reported; small sample, complex augmentation/segmentation, low specificity, no calibration or independent validation; source: complete article.</w:t>
            </w:r>
          </w:p>
        </w:tc>
      </w:tr>
      <w:tr>
        <w:tc>
          <w:tcPr>
            <w:tcW w:type="dxa" w:w="1428"/>
          </w:tcPr>
          <w:p>
            <w:pPr>
              <w:pStyle w:val="MDPI42tablebody"/>
              <w:jc w:val="left"/>
            </w:pPr>
            <w:r>
              <w:rPr>
                <w:sz w:val="16"/>
              </w:rPr>
              <w:t>Greene et al. (2022) [46]</w:t>
            </w:r>
          </w:p>
        </w:tc>
        <w:tc>
          <w:tcPr>
            <w:tcW w:type="dxa" w:w="2243"/>
          </w:tcPr>
          <w:p>
            <w:pPr>
              <w:pStyle w:val="MDPI42tablebody"/>
              <w:jc w:val="left"/>
            </w:pPr>
            <w:r>
              <w:rPr>
                <w:sz w:val="16"/>
              </w:rPr>
              <w:t>People with Parkinson disease; mean age 67.3 years; cohort: QTUG-PD-15; sample: 15; events: 8 fallers; 7 nonfallers at 24 weeks; 181 total falls</w:t>
            </w:r>
          </w:p>
        </w:tc>
        <w:tc>
          <w:tcPr>
            <w:tcW w:type="dxa" w:w="2243"/>
          </w:tcPr>
          <w:p>
            <w:pPr>
              <w:pStyle w:val="MDPI42tablebody"/>
              <w:jc w:val="left"/>
            </w:pPr>
            <w:r>
              <w:rPr>
                <w:sz w:val="16"/>
              </w:rPr>
              <w:t>Two inertial sensors, one on each shin; Baseline instrumented Timed Up and Go; candidate predictors: Pretrained sensor-derived fall-risk estimate and mobility estimate; TUG time</w:t>
            </w:r>
          </w:p>
        </w:tc>
        <w:tc>
          <w:tcPr>
            <w:tcW w:type="dxa" w:w="1734"/>
          </w:tcPr>
          <w:p>
            <w:pPr>
              <w:pStyle w:val="MDPI42tablebody"/>
              <w:jc w:val="left"/>
            </w:pPr>
            <w:r>
              <w:rPr>
                <w:sz w:val="16"/>
              </w:rPr>
              <w:t>Fall count; horizon: 24 weeks; ascertainment: Daily fall diaries collected weekly</w:t>
            </w:r>
          </w:p>
        </w:tc>
        <w:tc>
          <w:tcPr>
            <w:tcW w:type="dxa" w:w="1937"/>
          </w:tcPr>
          <w:p>
            <w:pPr>
              <w:pStyle w:val="MDPI42tablebody"/>
              <w:jc w:val="left"/>
            </w:pPr>
            <w:r>
              <w:rPr>
                <w:sz w:val="16"/>
              </w:rPr>
              <w:t>Negative-binomial count mapping fitted to the prospective Parkinson-disease target sample; stage: prospective target sample updating and evaluation; validation: Prospective target-sample fitting/evaluation of count mappings based on pretrained upstream sensor scores</w:t>
            </w:r>
          </w:p>
        </w:tc>
        <w:tc>
          <w:tcPr>
            <w:tcW w:type="dxa" w:w="2549"/>
          </w:tcPr>
          <w:p>
            <w:pPr>
              <w:pStyle w:val="MDPI42tablebody"/>
              <w:jc w:val="left"/>
            </w:pPr>
            <w:r>
              <w:rPr>
                <w:sz w:val="16"/>
              </w:rPr>
              <w:t>PD1 all participants (n=15): R² 0.50, RMSE 1.27, Spearman ρ 0.64; after excluding participants with &gt;10 falls (n=12): R² 0.73, RMSE 0.41, ρ 0.44; outcome capped at 0–5+ falls (n=15): R² 0.70, RMSE 0.70, ρ 0.69</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15 participants; one participant reported 127 falls; the final count mapping was fitted in the target sample and results depended on post hoc outlier exclusion or outcome categorization; no independent evaluation or calibration; source: complete article.</w:t>
            </w:r>
          </w:p>
        </w:tc>
      </w:tr>
      <w:tr>
        <w:tc>
          <w:tcPr>
            <w:tcW w:type="dxa" w:w="1428"/>
          </w:tcPr>
          <w:p>
            <w:pPr>
              <w:pStyle w:val="MDPI42tablebody"/>
              <w:jc w:val="left"/>
            </w:pPr>
            <w:r>
              <w:rPr>
                <w:sz w:val="16"/>
              </w:rPr>
              <w:t>Kelly et al. (2022) [47]</w:t>
            </w:r>
          </w:p>
        </w:tc>
        <w:tc>
          <w:tcPr>
            <w:tcW w:type="dxa" w:w="2243"/>
          </w:tcPr>
          <w:p>
            <w:pPr>
              <w:pStyle w:val="MDPI42tablebody"/>
              <w:jc w:val="left"/>
            </w:pPr>
            <w:r>
              <w:rPr>
                <w:sz w:val="16"/>
              </w:rPr>
              <w:t>Community-dwelling adults aged 70 years; cohort: Umea-free-living-1705; sample: 1,705; events: 255 fallers</w:t>
            </w:r>
          </w:p>
        </w:tc>
        <w:tc>
          <w:tcPr>
            <w:tcW w:type="dxa" w:w="2243"/>
          </w:tcPr>
          <w:p>
            <w:pPr>
              <w:pStyle w:val="MDPI42tablebody"/>
              <w:jc w:val="left"/>
            </w:pPr>
            <w:r>
              <w:rPr>
                <w:sz w:val="16"/>
              </w:rPr>
              <w:t>Hip-worn accelerometer for 1 week; Free-living monitoring plus laboratory gait and three functional tests; candidate predictors: Free-living accelerometer features, functional-test metrics, and laboratory gait measures</w:t>
            </w:r>
          </w:p>
        </w:tc>
        <w:tc>
          <w:tcPr>
            <w:tcW w:type="dxa" w:w="1734"/>
          </w:tcPr>
          <w:p>
            <w:pPr>
              <w:pStyle w:val="MDPI42tablebody"/>
              <w:jc w:val="left"/>
            </w:pPr>
            <w:r>
              <w:rPr>
                <w:sz w:val="16"/>
              </w:rPr>
              <w:t>At least one prospective fall; horizon: 12 months; ascertainment: Telephone follow-up at 6 and 12 months</w:t>
            </w:r>
          </w:p>
        </w:tc>
        <w:tc>
          <w:tcPr>
            <w:tcW w:type="dxa" w:w="1937"/>
          </w:tcPr>
          <w:p>
            <w:pPr>
              <w:pStyle w:val="MDPI42tablebody"/>
              <w:jc w:val="left"/>
            </w:pPr>
            <w:r>
              <w:rPr>
                <w:sz w:val="16"/>
              </w:rPr>
              <w:t>Machine-learning classifiers; stage: development internal validation; validation: Prespecified held-out test set (n=428; 64 fallers) after cross-validated Bayesian optimization and early stopping in development data</w:t>
            </w:r>
          </w:p>
        </w:tc>
        <w:tc>
          <w:tcPr>
            <w:tcW w:type="dxa" w:w="2549"/>
          </w:tcPr>
          <w:p>
            <w:pPr>
              <w:pStyle w:val="MDPI42tablebody"/>
              <w:jc w:val="left"/>
            </w:pPr>
            <w:r>
              <w:rPr>
                <w:sz w:val="16"/>
              </w:rPr>
              <w:t>Prospective-fall sensitivity=0.61 and specificity=0.66;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Single age-70 regional cohort; fall outcome based on 6- and 12-month telephone recall; class imbalance; source denominators are internally inconsistent (reported total n=1,705 versus partition counts summing to 1,707, and reported development subgroup counts summing to 1,278); no calibration or independent external validation; source: complete article.</w:t>
            </w:r>
          </w:p>
        </w:tc>
      </w:tr>
      <w:tr>
        <w:tc>
          <w:tcPr>
            <w:tcW w:type="dxa" w:w="1428"/>
          </w:tcPr>
          <w:p>
            <w:pPr>
              <w:pStyle w:val="MDPI42tablebody"/>
              <w:jc w:val="left"/>
            </w:pPr>
            <w:r>
              <w:rPr>
                <w:sz w:val="16"/>
              </w:rPr>
              <w:t>Dierick et al. (2022) [48]</w:t>
            </w:r>
          </w:p>
        </w:tc>
        <w:tc>
          <w:tcPr>
            <w:tcW w:type="dxa" w:w="2243"/>
          </w:tcPr>
          <w:p>
            <w:pPr>
              <w:pStyle w:val="MDPI42tablebody"/>
              <w:jc w:val="left"/>
            </w:pPr>
            <w:r>
              <w:rPr>
                <w:sz w:val="16"/>
              </w:rPr>
              <w:t>Nursing-home residents; age &gt;65 years; cohort: Nursing-home-IMU-73; sample: 92 enrolled; 73 complete cases; events: 24 fallers; 49 nonfallers</w:t>
            </w:r>
          </w:p>
        </w:tc>
        <w:tc>
          <w:tcPr>
            <w:tcW w:type="dxa" w:w="2243"/>
          </w:tcPr>
          <w:p>
            <w:pPr>
              <w:pStyle w:val="MDPI42tablebody"/>
              <w:jc w:val="left"/>
            </w:pPr>
            <w:r>
              <w:rPr>
                <w:sz w:val="16"/>
              </w:rPr>
              <w:t>Single lower-back IMU; Instrumented TUG with phase-specific acceleration/angular velocity; candidate predictors: TUG total time, maximum first-half-turn angular velocity, sex, and walking-aid use</w:t>
            </w:r>
          </w:p>
        </w:tc>
        <w:tc>
          <w:tcPr>
            <w:tcW w:type="dxa" w:w="1734"/>
          </w:tcPr>
          <w:p>
            <w:pPr>
              <w:pStyle w:val="MDPI42tablebody"/>
              <w:jc w:val="left"/>
            </w:pPr>
            <w:r>
              <w:rPr>
                <w:sz w:val="16"/>
              </w:rPr>
              <w:t>Observed faller status in the companion longitudinal cohort; horizon: 6 months; ascertainment: Facility records over 6 months</w:t>
            </w:r>
          </w:p>
        </w:tc>
        <w:tc>
          <w:tcPr>
            <w:tcW w:type="dxa" w:w="1937"/>
          </w:tcPr>
          <w:p>
            <w:pPr>
              <w:pStyle w:val="MDPI42tablebody"/>
              <w:jc w:val="left"/>
            </w:pPr>
            <w:r>
              <w:rPr>
                <w:sz w:val="16"/>
              </w:rPr>
              <w:t>Multiple logistic regression; i+TUG rule; stage: development; validation: Apparent performance</w:t>
            </w:r>
          </w:p>
        </w:tc>
        <w:tc>
          <w:tcPr>
            <w:tcW w:type="dxa" w:w="2549"/>
          </w:tcPr>
          <w:p>
            <w:pPr>
              <w:pStyle w:val="MDPI42tablebody"/>
              <w:jc w:val="left"/>
            </w:pPr>
            <w:r>
              <w:rPr>
                <w:sz w:val="16"/>
              </w:rPr>
              <w:t>Accuracy=74.0%, specificity=95.9%, sensitivity=29.2%;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Companion analysis of the same 73-person cohort as Buisseret 2020; predictor selection and evaluation in the same sample; sensitivity 29.2%; no calibration; source: complete article.</w:t>
            </w:r>
          </w:p>
        </w:tc>
      </w:tr>
      <w:tr>
        <w:tc>
          <w:tcPr>
            <w:tcW w:type="dxa" w:w="1428"/>
          </w:tcPr>
          <w:p>
            <w:pPr>
              <w:pStyle w:val="MDPI42tablebody"/>
              <w:jc w:val="left"/>
            </w:pPr>
            <w:r>
              <w:rPr>
                <w:sz w:val="16"/>
              </w:rPr>
              <w:t>Ma et al. (2022) [49] †</w:t>
            </w:r>
          </w:p>
        </w:tc>
        <w:tc>
          <w:tcPr>
            <w:tcW w:type="dxa" w:w="2243"/>
          </w:tcPr>
          <w:p>
            <w:pPr>
              <w:pStyle w:val="MDPI42tablebody"/>
              <w:jc w:val="left"/>
            </w:pPr>
            <w:r>
              <w:rPr>
                <w:sz w:val="16"/>
              </w:rPr>
              <w:t>People with Parkinson disease; cohort: PD-gait-variability-51; sample: 51; events: 14 fallers (27.5%)</w:t>
            </w:r>
          </w:p>
        </w:tc>
        <w:tc>
          <w:tcPr>
            <w:tcW w:type="dxa" w:w="2243"/>
          </w:tcPr>
          <w:p>
            <w:pPr>
              <w:pStyle w:val="MDPI42tablebody"/>
              <w:jc w:val="left"/>
            </w:pPr>
            <w:r>
              <w:rPr>
                <w:sz w:val="16"/>
              </w:rPr>
              <w:t>Wearable gait-analysis system; 7-m instrumented Timed Up and Go; candidate predictors: Spatiotemporal parameters and gait variability</w:t>
            </w:r>
          </w:p>
        </w:tc>
        <w:tc>
          <w:tcPr>
            <w:tcW w:type="dxa" w:w="1734"/>
          </w:tcPr>
          <w:p>
            <w:pPr>
              <w:pStyle w:val="MDPI42tablebody"/>
              <w:jc w:val="left"/>
            </w:pPr>
            <w:r>
              <w:rPr>
                <w:sz w:val="16"/>
              </w:rPr>
              <w:t>At least one fall; horizon: 6 months; ascertainment: Monthly telephone follow-up until a fall or 6 months</w:t>
            </w:r>
          </w:p>
        </w:tc>
        <w:tc>
          <w:tcPr>
            <w:tcW w:type="dxa" w:w="1937"/>
          </w:tcPr>
          <w:p>
            <w:pPr>
              <w:pStyle w:val="MDPI42tablebody"/>
              <w:jc w:val="left"/>
            </w:pPr>
            <w:r>
              <w:rPr>
                <w:sz w:val="16"/>
              </w:rPr>
              <w:t>Binary logistic regression; stage: development; validation: Apparent performance</w:t>
            </w:r>
          </w:p>
        </w:tc>
        <w:tc>
          <w:tcPr>
            <w:tcW w:type="dxa" w:w="2549"/>
          </w:tcPr>
          <w:p>
            <w:pPr>
              <w:pStyle w:val="MDPI42tablebody"/>
              <w:jc w:val="left"/>
            </w:pPr>
            <w:r>
              <w:rPr>
                <w:sz w:val="16"/>
              </w:rPr>
              <w:t>Trunk sagittal range-of-motion variability AUC=0.751; multivariable model AUC=0.838;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14 events; predictor screening and model evaluation in the same cohort; no internal validation, calibration, or external validation; source: indexed/publisher abstract only.</w:t>
            </w:r>
          </w:p>
        </w:tc>
      </w:tr>
      <w:tr>
        <w:tc>
          <w:tcPr>
            <w:tcW w:type="dxa" w:w="1428"/>
          </w:tcPr>
          <w:p>
            <w:pPr>
              <w:pStyle w:val="MDPI42tablebody"/>
              <w:jc w:val="left"/>
            </w:pPr>
            <w:r>
              <w:rPr>
                <w:sz w:val="16"/>
              </w:rPr>
              <w:t>Dasgupta et al. (2022) [50]</w:t>
            </w:r>
          </w:p>
        </w:tc>
        <w:tc>
          <w:tcPr>
            <w:tcW w:type="dxa" w:w="2243"/>
          </w:tcPr>
          <w:p>
            <w:pPr>
              <w:pStyle w:val="MDPI42tablebody"/>
              <w:jc w:val="left"/>
            </w:pPr>
            <w:r>
              <w:rPr>
                <w:sz w:val="16"/>
              </w:rPr>
              <w:t>Community-dwelling emergency-department patients aged ≥60 years; cohort: ED-iTUG-134; sample: 134; events: 14 falls (10.4%)</w:t>
            </w:r>
          </w:p>
        </w:tc>
        <w:tc>
          <w:tcPr>
            <w:tcW w:type="dxa" w:w="2243"/>
          </w:tcPr>
          <w:p>
            <w:pPr>
              <w:pStyle w:val="MDPI42tablebody"/>
              <w:jc w:val="left"/>
            </w:pPr>
            <w:r>
              <w:rPr>
                <w:sz w:val="16"/>
              </w:rPr>
              <w:t>Trunk/lower-back accelerometry during TUG; Brief instrumented functional assessment before ED discharge; candidate predictors: Self-report tools, TUG, and HCRNN-generated accelerometry features</w:t>
            </w:r>
          </w:p>
        </w:tc>
        <w:tc>
          <w:tcPr>
            <w:tcW w:type="dxa" w:w="1734"/>
          </w:tcPr>
          <w:p>
            <w:pPr>
              <w:pStyle w:val="MDPI42tablebody"/>
              <w:jc w:val="left"/>
            </w:pPr>
            <w:r>
              <w:rPr>
                <w:sz w:val="16"/>
              </w:rPr>
              <w:t>Self-reported fall or fall-related encounter within the hospital network; horizon: 3 months; ascertainment: Telephone follow-up plus review across a 16-hospital network</w:t>
            </w:r>
          </w:p>
        </w:tc>
        <w:tc>
          <w:tcPr>
            <w:tcW w:type="dxa" w:w="1937"/>
          </w:tcPr>
          <w:p>
            <w:pPr>
              <w:pStyle w:val="MDPI42tablebody"/>
              <w:jc w:val="left"/>
            </w:pPr>
            <w:r>
              <w:rPr>
                <w:sz w:val="16"/>
              </w:rPr>
              <w:t>Hierarchical convolutional recurrent neural network; stage: development internal validation; validation: Leave-one-out cross-validation; bootstrap comparisons for conventional tools</w:t>
            </w:r>
          </w:p>
        </w:tc>
        <w:tc>
          <w:tcPr>
            <w:tcW w:type="dxa" w:w="2549"/>
          </w:tcPr>
          <w:p>
            <w:pPr>
              <w:pStyle w:val="MDPI42tablebody"/>
              <w:jc w:val="left"/>
            </w:pPr>
            <w:r>
              <w:rPr>
                <w:sz w:val="16"/>
              </w:rPr>
              <w:t>HCRNN AUC=0.99 (95% CI 0.98–1.00); TUG AUC=0.48; screening questionnaire AUC=0.64;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14 events; incomplete follow-up; generated-feature screening and LOOCV likely optimistic; no calibration or independent validation; source: complete article.</w:t>
            </w:r>
          </w:p>
        </w:tc>
      </w:tr>
      <w:tr>
        <w:tc>
          <w:tcPr>
            <w:tcW w:type="dxa" w:w="1428"/>
          </w:tcPr>
          <w:p>
            <w:pPr>
              <w:pStyle w:val="MDPI42tablebody"/>
              <w:jc w:val="left"/>
            </w:pPr>
            <w:r>
              <w:rPr>
                <w:sz w:val="16"/>
              </w:rPr>
              <w:t>Caronni et al. (2023) [51]</w:t>
            </w:r>
          </w:p>
        </w:tc>
        <w:tc>
          <w:tcPr>
            <w:tcW w:type="dxa" w:w="2243"/>
          </w:tcPr>
          <w:p>
            <w:pPr>
              <w:pStyle w:val="MDPI42tablebody"/>
              <w:jc w:val="left"/>
            </w:pPr>
            <w:r>
              <w:rPr>
                <w:sz w:val="16"/>
              </w:rPr>
              <w:t>Neurological rehabilitation patients with stroke, peripheral neuropathy, or parkinsonism; cohort: Neurorehabilitation-iTUG-214; sample: 353 assessed; 214 analysed; events: 82 fallers; 166 falls; 42 recurrent fallers</w:t>
            </w:r>
          </w:p>
        </w:tc>
        <w:tc>
          <w:tcPr>
            <w:tcW w:type="dxa" w:w="2243"/>
          </w:tcPr>
          <w:p>
            <w:pPr>
              <w:pStyle w:val="MDPI42tablebody"/>
              <w:jc w:val="left"/>
            </w:pPr>
            <w:r>
              <w:rPr>
                <w:sz w:val="16"/>
              </w:rPr>
              <w:t>Inertial-sensor instrumented TUG and walking test plus Mini-BESTest; Assessments before and after inpatient rehabilitation; candidate predictors: Medical-history factors, Mini-BESTest, TUG phases, and gait measures</w:t>
            </w:r>
          </w:p>
        </w:tc>
        <w:tc>
          <w:tcPr>
            <w:tcW w:type="dxa" w:w="1734"/>
          </w:tcPr>
          <w:p>
            <w:pPr>
              <w:pStyle w:val="MDPI42tablebody"/>
              <w:jc w:val="left"/>
            </w:pPr>
            <w:r>
              <w:rPr>
                <w:sz w:val="16"/>
              </w:rPr>
              <w:t>At least one fall; horizon: 9 months; ascertainment: Monthly paper calendars with calls at months 1, 2, 3, 6, and 9</w:t>
            </w:r>
          </w:p>
        </w:tc>
        <w:tc>
          <w:tcPr>
            <w:tcW w:type="dxa" w:w="1937"/>
          </w:tcPr>
          <w:p>
            <w:pPr>
              <w:pStyle w:val="MDPI42tablebody"/>
              <w:jc w:val="left"/>
            </w:pPr>
            <w:r>
              <w:rPr>
                <w:sz w:val="16"/>
              </w:rPr>
              <w:t>Multiple and LASSO logistic regression; stage: development; validation: Apparent performance</w:t>
            </w:r>
          </w:p>
        </w:tc>
        <w:tc>
          <w:tcPr>
            <w:tcW w:type="dxa" w:w="2549"/>
          </w:tcPr>
          <w:p>
            <w:pPr>
              <w:pStyle w:val="MDPI42tablebody"/>
              <w:jc w:val="left"/>
            </w:pPr>
            <w:r>
              <w:rPr>
                <w:sz w:val="16"/>
              </w:rPr>
              <w:t>Fall-history AUC 0.66; history plus Mini-BESTest AUC 0.69; history plus TUG turning AUC 0.69; LASSO combined AUC 0.69;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Predictor selection and performance estimated in the same data; repeat pre/post-rehabilitation measures complicate index-time definition; no calibration or independent validation; source: complete article.</w:t>
            </w:r>
          </w:p>
        </w:tc>
      </w:tr>
      <w:tr>
        <w:tc>
          <w:tcPr>
            <w:tcW w:type="dxa" w:w="1428"/>
          </w:tcPr>
          <w:p>
            <w:pPr>
              <w:pStyle w:val="MDPI42tablebody"/>
              <w:jc w:val="left"/>
            </w:pPr>
            <w:r>
              <w:rPr>
                <w:sz w:val="16"/>
              </w:rPr>
              <w:t>Horak et al. (2023) [52]</w:t>
            </w:r>
          </w:p>
        </w:tc>
        <w:tc>
          <w:tcPr>
            <w:tcW w:type="dxa" w:w="2243"/>
          </w:tcPr>
          <w:p>
            <w:pPr>
              <w:pStyle w:val="MDPI42tablebody"/>
              <w:jc w:val="left"/>
            </w:pPr>
            <w:r>
              <w:rPr>
                <w:sz w:val="16"/>
              </w:rPr>
              <w:t>High-functioning older men; mean age 82 years; cohort: ISAW-older-men-214; sample: 236 enrolled; 229 sensor-complete; 214 in final analysis; events: 91 fallers; 227 falls</w:t>
            </w:r>
          </w:p>
        </w:tc>
        <w:tc>
          <w:tcPr>
            <w:tcW w:type="dxa" w:w="2243"/>
          </w:tcPr>
          <w:p>
            <w:pPr>
              <w:pStyle w:val="MDPI42tablebody"/>
              <w:jc w:val="left"/>
            </w:pPr>
            <w:r>
              <w:rPr>
                <w:sz w:val="16"/>
              </w:rPr>
              <w:t>Wearable IMUs during Instrumented Stand and Walk; 30-second stance followed by 7-m walk, turn, and return; candidate predictors: 17 balance/gait metrics, age, and fall history</w:t>
            </w:r>
          </w:p>
        </w:tc>
        <w:tc>
          <w:tcPr>
            <w:tcW w:type="dxa" w:w="1734"/>
          </w:tcPr>
          <w:p>
            <w:pPr>
              <w:pStyle w:val="MDPI42tablebody"/>
              <w:jc w:val="left"/>
            </w:pPr>
            <w:r>
              <w:rPr>
                <w:sz w:val="16"/>
              </w:rPr>
              <w:t>At least one fall; horizon: 12 months; ascertainment: Fall reports every 4 months for 12 months</w:t>
            </w:r>
          </w:p>
        </w:tc>
        <w:tc>
          <w:tcPr>
            <w:tcW w:type="dxa" w:w="1937"/>
          </w:tcPr>
          <w:p>
            <w:pPr>
              <w:pStyle w:val="MDPI42tablebody"/>
              <w:jc w:val="left"/>
            </w:pPr>
            <w:r>
              <w:rPr>
                <w:sz w:val="16"/>
              </w:rPr>
              <w:t>Logistic regression with BIC-weighted model averaging; stage: development; validation: Apparent performance</w:t>
            </w:r>
          </w:p>
        </w:tc>
        <w:tc>
          <w:tcPr>
            <w:tcW w:type="dxa" w:w="2549"/>
          </w:tcPr>
          <w:p>
            <w:pPr>
              <w:pStyle w:val="MDPI42tablebody"/>
              <w:jc w:val="left"/>
            </w:pPr>
            <w:r>
              <w:rPr>
                <w:sz w:val="16"/>
              </w:rPr>
              <w:t>ISAW plus age/history AUC=0.751 (95% CI 0.680–0.821); age/history AUC=0.685; ISAW alone AUC=0.715;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Male-only cohort; many candidate combinations; performance assessed in derivation data; no calibration or external validation; source: complete article.</w:t>
            </w:r>
          </w:p>
        </w:tc>
      </w:tr>
      <w:tr>
        <w:tc>
          <w:tcPr>
            <w:tcW w:type="dxa" w:w="1428"/>
          </w:tcPr>
          <w:p>
            <w:pPr>
              <w:pStyle w:val="MDPI42tablebody"/>
              <w:jc w:val="left"/>
            </w:pPr>
            <w:r>
              <w:rPr>
                <w:sz w:val="16"/>
              </w:rPr>
              <w:t>Ullrich et al. (2023) [53]</w:t>
            </w:r>
          </w:p>
        </w:tc>
        <w:tc>
          <w:tcPr>
            <w:tcW w:type="dxa" w:w="2243"/>
          </w:tcPr>
          <w:p>
            <w:pPr>
              <w:pStyle w:val="MDPI42tablebody"/>
              <w:jc w:val="left"/>
            </w:pPr>
            <w:r>
              <w:rPr>
                <w:sz w:val="16"/>
              </w:rPr>
              <w:t>People with Parkinson disease; analytic mean age approximately 63.9 years; cohort: PD-foot-IMU-40; sample: 40 recruited; 35 analysed; events: 10 fallers; 25 nonfallers</w:t>
            </w:r>
          </w:p>
        </w:tc>
        <w:tc>
          <w:tcPr>
            <w:tcW w:type="dxa" w:w="2243"/>
          </w:tcPr>
          <w:p>
            <w:pPr>
              <w:pStyle w:val="MDPI42tablebody"/>
              <w:jc w:val="left"/>
            </w:pPr>
            <w:r>
              <w:rPr>
                <w:sz w:val="16"/>
              </w:rPr>
              <w:t>Foot-worn inertial sensors for 2 weeks; Continuous real-world gait and unsupervised repeated 4×10-m walking tests; candidate predictors: Aggregated real-world or unsupervised-test gait parameters</w:t>
            </w:r>
          </w:p>
        </w:tc>
        <w:tc>
          <w:tcPr>
            <w:tcW w:type="dxa" w:w="1734"/>
          </w:tcPr>
          <w:p>
            <w:pPr>
              <w:pStyle w:val="MDPI42tablebody"/>
              <w:jc w:val="left"/>
            </w:pPr>
            <w:r>
              <w:rPr>
                <w:sz w:val="16"/>
              </w:rPr>
              <w:t>Self-reported prospective falls; horizon: 3 months; ascertainment: Daily paper fall diary during 3-month follow-up</w:t>
            </w:r>
          </w:p>
        </w:tc>
        <w:tc>
          <w:tcPr>
            <w:tcW w:type="dxa" w:w="1937"/>
          </w:tcPr>
          <w:p>
            <w:pPr>
              <w:pStyle w:val="MDPI42tablebody"/>
              <w:jc w:val="left"/>
            </w:pPr>
            <w:r>
              <w:rPr>
                <w:sz w:val="16"/>
              </w:rPr>
              <w:t>Machine-learning classifiers; random forest among evaluated models; stage: development internal validation; validation: Internal cross-validation</w:t>
            </w:r>
          </w:p>
        </w:tc>
        <w:tc>
          <w:tcPr>
            <w:tcW w:type="dxa" w:w="2549"/>
          </w:tcPr>
          <w:p>
            <w:pPr>
              <w:pStyle w:val="MDPI42tablebody"/>
              <w:jc w:val="left"/>
            </w:pPr>
            <w:r>
              <w:rPr>
                <w:sz w:val="16"/>
              </w:rPr>
              <w:t>Best real-world balanced accuracy=74%, sensitivity=60%, specificity=88%; test-protocol balanced accuracy=68%;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35 analysed participants and 10 events; numerous aggregation/model choices; self-reported outcome; no external validation or calibration; source: complete article.</w:t>
            </w:r>
          </w:p>
        </w:tc>
      </w:tr>
      <w:tr>
        <w:tc>
          <w:tcPr>
            <w:tcW w:type="dxa" w:w="1428"/>
          </w:tcPr>
          <w:p>
            <w:pPr>
              <w:pStyle w:val="MDPI42tablebody"/>
              <w:jc w:val="left"/>
            </w:pPr>
            <w:r>
              <w:rPr>
                <w:sz w:val="16"/>
              </w:rPr>
              <w:t>Al Abiad et al. (2023) [54]</w:t>
            </w:r>
          </w:p>
        </w:tc>
        <w:tc>
          <w:tcPr>
            <w:tcW w:type="dxa" w:w="2243"/>
          </w:tcPr>
          <w:p>
            <w:pPr>
              <w:pStyle w:val="MDPI42tablebody"/>
              <w:jc w:val="left"/>
            </w:pPr>
            <w:r>
              <w:rPr>
                <w:sz w:val="16"/>
              </w:rPr>
              <w:t>Community-dwelling older adults in the StandingTall study; cohort: StandingTall; sample: 301 enrolled; 283 analysed; events: 116/301 source-cohort fallers; events among 283 analysed NR</w:t>
            </w:r>
          </w:p>
        </w:tc>
        <w:tc>
          <w:tcPr>
            <w:tcW w:type="dxa" w:w="2243"/>
          </w:tcPr>
          <w:p>
            <w:pPr>
              <w:pStyle w:val="MDPI42tablebody"/>
              <w:jc w:val="left"/>
            </w:pPr>
            <w:r>
              <w:rPr>
                <w:sz w:val="16"/>
              </w:rPr>
              <w:t>One week of ambulatory inertial signals; Smartstep placement-agnostic step detection; Daily-life walking bouts of 200 steps; candidate predictors: Step-based variability, complexity, intensity, and quantity parameters</w:t>
            </w:r>
          </w:p>
        </w:tc>
        <w:tc>
          <w:tcPr>
            <w:tcW w:type="dxa" w:w="1734"/>
          </w:tcPr>
          <w:p>
            <w:pPr>
              <w:pStyle w:val="MDPI42tablebody"/>
              <w:jc w:val="left"/>
            </w:pPr>
            <w:r>
              <w:rPr>
                <w:sz w:val="16"/>
              </w:rPr>
              <w:t>Prospective fall occurrence/count; horizon: 12 months; ascertainment: Weekly tablet fall diary for 12 months</w:t>
            </w:r>
          </w:p>
        </w:tc>
        <w:tc>
          <w:tcPr>
            <w:tcW w:type="dxa" w:w="1937"/>
          </w:tcPr>
          <w:p>
            <w:pPr>
              <w:pStyle w:val="MDPI42tablebody"/>
              <w:jc w:val="left"/>
            </w:pPr>
            <w:r>
              <w:rPr>
                <w:sz w:val="16"/>
              </w:rPr>
              <w:t>Backward-elimination negative-binomial regression; stage: development internal validation; validation: Apparent AUC plus 10 repeated 80:20 ShuffleSplit evaluations</w:t>
            </w:r>
          </w:p>
        </w:tc>
        <w:tc>
          <w:tcPr>
            <w:tcW w:type="dxa" w:w="2549"/>
          </w:tcPr>
          <w:p>
            <w:pPr>
              <w:pStyle w:val="MDPI42tablebody"/>
              <w:jc w:val="left"/>
            </w:pPr>
            <w:r>
              <w:rPr>
                <w:sz w:val="16"/>
              </w:rPr>
              <w:t>Apparent AUC 0.69; repeated hold-out mean AUC 0.67 (SD across splits 0.05);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Secondary analysis with backward selection; fall-event count among the 283 analysed participants and comprehensive calibration were not reported; no independent validation; source: complete article.</w:t>
            </w:r>
          </w:p>
        </w:tc>
      </w:tr>
      <w:tr>
        <w:tc>
          <w:tcPr>
            <w:tcW w:type="dxa" w:w="1428"/>
          </w:tcPr>
          <w:p>
            <w:pPr>
              <w:pStyle w:val="MDPI42tablebody"/>
              <w:jc w:val="left"/>
            </w:pPr>
            <w:r>
              <w:rPr>
                <w:sz w:val="16"/>
              </w:rPr>
              <w:t>Adeli et al. (2023) [55]</w:t>
            </w:r>
          </w:p>
        </w:tc>
        <w:tc>
          <w:tcPr>
            <w:tcW w:type="dxa" w:w="2243"/>
          </w:tcPr>
          <w:p>
            <w:pPr>
              <w:pStyle w:val="MDPI42tablebody"/>
              <w:jc w:val="left"/>
            </w:pPr>
            <w:r>
              <w:rPr>
                <w:sz w:val="16"/>
              </w:rPr>
              <w:t>Older long-term-care residents with dementia; cohort: Toronto-dementia-ambient-gait; sample: 54; events: 20/54 participants; 81 total falls; 55 falls contributed to prediction windows</w:t>
            </w:r>
          </w:p>
        </w:tc>
        <w:tc>
          <w:tcPr>
            <w:tcW w:type="dxa" w:w="2243"/>
          </w:tcPr>
          <w:p>
            <w:pPr>
              <w:pStyle w:val="MDPI42tablebody"/>
              <w:jc w:val="left"/>
            </w:pPr>
            <w:r>
              <w:rPr>
                <w:sz w:val="16"/>
              </w:rPr>
              <w:t>Ambient computer-vision gait monitoring plus baseline clinical and daily medication data; Mean 56.8 observation days; 4,851 gait bouts; rolling 4-week prediction windows; candidate predictors: Ambient gait, baseline mobility/fall-risk assessments, and three medication categories</w:t>
            </w:r>
          </w:p>
        </w:tc>
        <w:tc>
          <w:tcPr>
            <w:tcW w:type="dxa" w:w="1734"/>
          </w:tcPr>
          <w:p>
            <w:pPr>
              <w:pStyle w:val="MDPI42tablebody"/>
              <w:jc w:val="left"/>
            </w:pPr>
            <w:r>
              <w:rPr>
                <w:sz w:val="16"/>
              </w:rPr>
              <w:t>At least one fall in the next 4 weeks; horizon: Rolling 4-week horizon; ascertainment: Longitudinal facility fall records; detailed definition NR</w:t>
            </w:r>
          </w:p>
        </w:tc>
        <w:tc>
          <w:tcPr>
            <w:tcW w:type="dxa" w:w="1937"/>
          </w:tcPr>
          <w:p>
            <w:pPr>
              <w:pStyle w:val="MDPI42tablebody"/>
              <w:jc w:val="left"/>
            </w:pPr>
            <w:r>
              <w:rPr>
                <w:sz w:val="16"/>
              </w:rPr>
              <w:t>Machine-learning models with systematic feature-set and hyperparameter ablations; stage: development internal validation; validation: Leave-one-subject-out cross-validation</w:t>
            </w:r>
          </w:p>
        </w:tc>
        <w:tc>
          <w:tcPr>
            <w:tcW w:type="dxa" w:w="2549"/>
          </w:tcPr>
          <w:p>
            <w:pPr>
              <w:pStyle w:val="MDPI42tablebody"/>
              <w:jc w:val="left"/>
            </w:pPr>
            <w:r>
              <w:rPr>
                <w:sz w:val="16"/>
              </w:rPr>
              <w:t>Best AUC=0.762, sensitivity=72.8%, specificity=73.2%; without ambient gait AUC=0.562;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54 residents with repeated windows; potential within-person dependence and tuning optimism; no external validation or calibration; source: complete article.</w:t>
            </w:r>
          </w:p>
        </w:tc>
      </w:tr>
      <w:tr>
        <w:tc>
          <w:tcPr>
            <w:tcW w:type="dxa" w:w="1428"/>
          </w:tcPr>
          <w:p>
            <w:pPr>
              <w:pStyle w:val="MDPI42tablebody"/>
              <w:jc w:val="left"/>
            </w:pPr>
            <w:r>
              <w:rPr>
                <w:sz w:val="16"/>
              </w:rPr>
              <w:t>Shah et al. (2023) [56]</w:t>
            </w:r>
          </w:p>
        </w:tc>
        <w:tc>
          <w:tcPr>
            <w:tcW w:type="dxa" w:w="2243"/>
          </w:tcPr>
          <w:p>
            <w:pPr>
              <w:pStyle w:val="MDPI42tablebody"/>
              <w:jc w:val="left"/>
            </w:pPr>
            <w:r>
              <w:rPr>
                <w:sz w:val="16"/>
              </w:rPr>
              <w:t>People with Parkinson disease; mean age 68±6 years; cohort: PD-daily-life-gait-34; sample: 34; events: 25 prospective fallers</w:t>
            </w:r>
          </w:p>
        </w:tc>
        <w:tc>
          <w:tcPr>
            <w:tcW w:type="dxa" w:w="2243"/>
          </w:tcPr>
          <w:p>
            <w:pPr>
              <w:pStyle w:val="MDPI42tablebody"/>
              <w:jc w:val="left"/>
            </w:pPr>
            <w:r>
              <w:rPr>
                <w:sz w:val="16"/>
              </w:rPr>
              <w:t>Three IMUs on both feet and lower back worn for 1 week; Passive daily-life gait and turning monitoring; candidate predictors: 80 digital gait and turning measures plus fall history</w:t>
            </w:r>
          </w:p>
        </w:tc>
        <w:tc>
          <w:tcPr>
            <w:tcW w:type="dxa" w:w="1734"/>
          </w:tcPr>
          <w:p>
            <w:pPr>
              <w:pStyle w:val="MDPI42tablebody"/>
              <w:jc w:val="left"/>
            </w:pPr>
            <w:r>
              <w:rPr>
                <w:sz w:val="16"/>
              </w:rPr>
              <w:t>At least one self-reported fall; horizon: 12 months; ascertainment: Email contact every 2 weeks</w:t>
            </w:r>
          </w:p>
        </w:tc>
        <w:tc>
          <w:tcPr>
            <w:tcW w:type="dxa" w:w="1937"/>
          </w:tcPr>
          <w:p>
            <w:pPr>
              <w:pStyle w:val="MDPI42tablebody"/>
              <w:jc w:val="left"/>
            </w:pPr>
            <w:r>
              <w:rPr>
                <w:sz w:val="16"/>
              </w:rPr>
              <w:t>Best-subsets logistic regression; stage: development; validation: Apparent performance</w:t>
            </w:r>
          </w:p>
        </w:tc>
        <w:tc>
          <w:tcPr>
            <w:tcW w:type="dxa" w:w="2549"/>
          </w:tcPr>
          <w:p>
            <w:pPr>
              <w:pStyle w:val="MDPI42tablebody"/>
              <w:jc w:val="left"/>
            </w:pPr>
            <w:r>
              <w:rPr>
                <w:sz w:val="16"/>
              </w:rPr>
              <w:t>Best four-gait-measure model AUC=0.94 (95% CI 0.84–1.00); fall history AUC=0.77;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34 participants, 80 candidate measures, data-driven best-subsets selection, no internal validation, calibration, or external validation; source: complete article.</w:t>
            </w:r>
          </w:p>
        </w:tc>
      </w:tr>
      <w:tr>
        <w:tc>
          <w:tcPr>
            <w:tcW w:type="dxa" w:w="1428"/>
          </w:tcPr>
          <w:p>
            <w:pPr>
              <w:pStyle w:val="MDPI42tablebody"/>
              <w:jc w:val="left"/>
            </w:pPr>
            <w:r>
              <w:rPr>
                <w:sz w:val="16"/>
              </w:rPr>
              <w:t>Sotirakis et al. (2024) [57]</w:t>
            </w:r>
          </w:p>
        </w:tc>
        <w:tc>
          <w:tcPr>
            <w:tcW w:type="dxa" w:w="2243"/>
          </w:tcPr>
          <w:p>
            <w:pPr>
              <w:pStyle w:val="MDPI42tablebody"/>
              <w:jc w:val="left"/>
            </w:pPr>
            <w:r>
              <w:rPr>
                <w:sz w:val="16"/>
              </w:rPr>
              <w:t>People with Parkinson disease and no prior falls; mean age approximately 65–71 years by outcome group; cohort: PD-kinematic-104; sample: 104 enrolled; 98 analysed at 24 months and 97 at 60 months; events: 13 fallers at 24 months; 23 at 60 months</w:t>
            </w:r>
          </w:p>
        </w:tc>
        <w:tc>
          <w:tcPr>
            <w:tcW w:type="dxa" w:w="2243"/>
          </w:tcPr>
          <w:p>
            <w:pPr>
              <w:pStyle w:val="MDPI42tablebody"/>
              <w:jc w:val="left"/>
            </w:pPr>
            <w:r>
              <w:rPr>
                <w:sz w:val="16"/>
              </w:rPr>
              <w:t>Six IMUs on wrists, feet, sternum, and lumbar region; 2-minute walk and 30-second postural-sway task; candidate predictors: Walking and postural-variability measures with clinicodemographic variables</w:t>
            </w:r>
          </w:p>
        </w:tc>
        <w:tc>
          <w:tcPr>
            <w:tcW w:type="dxa" w:w="1734"/>
          </w:tcPr>
          <w:p>
            <w:pPr>
              <w:pStyle w:val="MDPI42tablebody"/>
              <w:jc w:val="left"/>
            </w:pPr>
            <w:r>
              <w:rPr>
                <w:sz w:val="16"/>
              </w:rPr>
              <w:t>Incident faller status; horizon: 24 and 60 months; ascertainment: Research visits and telephone follow-up; heterogeneous ascertainment at 60 months</w:t>
            </w:r>
          </w:p>
        </w:tc>
        <w:tc>
          <w:tcPr>
            <w:tcW w:type="dxa" w:w="1937"/>
          </w:tcPr>
          <w:p>
            <w:pPr>
              <w:pStyle w:val="MDPI42tablebody"/>
              <w:jc w:val="left"/>
            </w:pPr>
            <w:r>
              <w:rPr>
                <w:sz w:val="16"/>
              </w:rPr>
              <w:t>Five machine-learning classifiers; random forest best at 60 months; stage: development internal validation; validation: Five-fold cross-validation after whole-dataset, horizon-specific feature selection; majority-class undersampling</w:t>
            </w:r>
          </w:p>
        </w:tc>
        <w:tc>
          <w:tcPr>
            <w:tcW w:type="dxa" w:w="2549"/>
          </w:tcPr>
          <w:p>
            <w:pPr>
              <w:pStyle w:val="MDPI42tablebody"/>
              <w:jc w:val="left"/>
            </w:pPr>
            <w:r>
              <w:rPr>
                <w:sz w:val="16"/>
              </w:rPr>
              <w:t>At 24 months AUC &gt;0.90 and accuracy 84–92%; at 60 months random-forest AUC=0.85 and accuracy=78%;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13 and 23 events; multiple feature/classifier/horizon comparisons; no external validation or calibration; source: complete article.</w:t>
            </w:r>
          </w:p>
        </w:tc>
      </w:tr>
      <w:tr>
        <w:tc>
          <w:tcPr>
            <w:tcW w:type="dxa" w:w="1428"/>
          </w:tcPr>
          <w:p>
            <w:pPr>
              <w:pStyle w:val="MDPI42tablebody"/>
              <w:jc w:val="left"/>
            </w:pPr>
            <w:r>
              <w:rPr>
                <w:sz w:val="16"/>
              </w:rPr>
              <w:t>Zhang et al. (2024) [58]</w:t>
            </w:r>
          </w:p>
        </w:tc>
        <w:tc>
          <w:tcPr>
            <w:tcW w:type="dxa" w:w="2243"/>
          </w:tcPr>
          <w:p>
            <w:pPr>
              <w:pStyle w:val="MDPI42tablebody"/>
              <w:jc w:val="left"/>
            </w:pPr>
            <w:r>
              <w:rPr>
                <w:sz w:val="16"/>
              </w:rPr>
              <w:t>Institutionalized older adults; cohort: InstrumentedFootwear-95; sample: 95; events: 15 prospective fallers</w:t>
            </w:r>
          </w:p>
        </w:tc>
        <w:tc>
          <w:tcPr>
            <w:tcW w:type="dxa" w:w="2243"/>
          </w:tcPr>
          <w:p>
            <w:pPr>
              <w:pStyle w:val="MDPI42tablebody"/>
              <w:jc w:val="left"/>
            </w:pPr>
            <w:r>
              <w:rPr>
                <w:sz w:val="16"/>
              </w:rPr>
              <w:t>Instrumented footwear plus instrumented walkway; 6-minute walk plus timed mobility/clinical tests; candidate predictors: Instrumented-footwear, walkway, and timed-test gait/mobility features</w:t>
            </w:r>
          </w:p>
        </w:tc>
        <w:tc>
          <w:tcPr>
            <w:tcW w:type="dxa" w:w="1734"/>
          </w:tcPr>
          <w:p>
            <w:pPr>
              <w:pStyle w:val="MDPI42tablebody"/>
              <w:jc w:val="left"/>
            </w:pPr>
            <w:r>
              <w:rPr>
                <w:sz w:val="16"/>
              </w:rPr>
              <w:t>At least one prospective fall; horizon: 6 months; ascertainment: Prospective follow-up; method NR</w:t>
            </w:r>
          </w:p>
        </w:tc>
        <w:tc>
          <w:tcPr>
            <w:tcW w:type="dxa" w:w="1937"/>
          </w:tcPr>
          <w:p>
            <w:pPr>
              <w:pStyle w:val="MDPI42tablebody"/>
              <w:jc w:val="left"/>
            </w:pPr>
            <w:r>
              <w:rPr>
                <w:sz w:val="16"/>
              </w:rPr>
              <w:t>AdaBoost after brute-force feature selection; stage: development internal validation; validation: Whole-dataset brute-force feature search followed by nonnested 10-fold CV and LOOCV</w:t>
            </w:r>
          </w:p>
        </w:tc>
        <w:tc>
          <w:tcPr>
            <w:tcW w:type="dxa" w:w="2549"/>
          </w:tcPr>
          <w:p>
            <w:pPr>
              <w:pStyle w:val="MDPI42tablebody"/>
              <w:jc w:val="left"/>
            </w:pPr>
            <w:r>
              <w:rPr>
                <w:sz w:val="16"/>
              </w:rPr>
              <w:t>Feature-search AUCs 0.47/0.66/0.80; 10-fold CV AUCs 0.56/0.57/0.70 for timed tests/walkway/footwear;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15 prospective events; brute-force selection and validation nesting unclear; no calibration or external validation; source: complete article.</w:t>
            </w:r>
          </w:p>
        </w:tc>
      </w:tr>
      <w:tr>
        <w:tc>
          <w:tcPr>
            <w:tcW w:type="dxa" w:w="1428"/>
          </w:tcPr>
          <w:p>
            <w:pPr>
              <w:pStyle w:val="MDPI42tablebody"/>
              <w:jc w:val="left"/>
            </w:pPr>
            <w:r>
              <w:rPr>
                <w:sz w:val="16"/>
              </w:rPr>
              <w:t>Maiora et al. (2024) [59]</w:t>
            </w:r>
          </w:p>
        </w:tc>
        <w:tc>
          <w:tcPr>
            <w:tcW w:type="dxa" w:w="2243"/>
          </w:tcPr>
          <w:p>
            <w:pPr>
              <w:pStyle w:val="MDPI42tablebody"/>
              <w:jc w:val="left"/>
            </w:pPr>
            <w:r>
              <w:rPr>
                <w:sz w:val="16"/>
              </w:rPr>
              <w:t>Adults aged 70–104 years from nine nursing homes; cohort: TUG-deep-learning-106; sample: 106; events: 21 fallers</w:t>
            </w:r>
          </w:p>
        </w:tc>
        <w:tc>
          <w:tcPr>
            <w:tcW w:type="dxa" w:w="2243"/>
          </w:tcPr>
          <w:p>
            <w:pPr>
              <w:pStyle w:val="MDPI42tablebody"/>
              <w:jc w:val="left"/>
            </w:pPr>
            <w:r>
              <w:rPr>
                <w:sz w:val="16"/>
              </w:rPr>
              <w:t>Lumbar G-Walk IMU; Instrumented TUG; candidate predictors: Raw/derived TUG sensor sequences and features</w:t>
            </w:r>
          </w:p>
        </w:tc>
        <w:tc>
          <w:tcPr>
            <w:tcW w:type="dxa" w:w="1734"/>
          </w:tcPr>
          <w:p>
            <w:pPr>
              <w:pStyle w:val="MDPI42tablebody"/>
              <w:jc w:val="left"/>
            </w:pPr>
            <w:r>
              <w:rPr>
                <w:sz w:val="16"/>
              </w:rPr>
              <w:t>At least one fall; horizon: 6 months; ascertainment: Nursing-home medical records</w:t>
            </w:r>
          </w:p>
        </w:tc>
        <w:tc>
          <w:tcPr>
            <w:tcW w:type="dxa" w:w="1937"/>
          </w:tcPr>
          <w:p>
            <w:pPr>
              <w:pStyle w:val="MDPI42tablebody"/>
              <w:jc w:val="left"/>
            </w:pPr>
            <w:r>
              <w:rPr>
                <w:sz w:val="16"/>
              </w:rPr>
              <w:t>Bidirectional LSTM and comparator machine-learning models; stage: development internal validation; validation: 100 repeated 75/31 holdouts with five-fold model selection in each training partition</w:t>
            </w:r>
          </w:p>
        </w:tc>
        <w:tc>
          <w:tcPr>
            <w:tcW w:type="dxa" w:w="2549"/>
          </w:tcPr>
          <w:p>
            <w:pPr>
              <w:pStyle w:val="MDPI42tablebody"/>
              <w:jc w:val="left"/>
            </w:pPr>
            <w:r>
              <w:rPr>
                <w:sz w:val="16"/>
              </w:rPr>
              <w:t>Maximum-AUC Adam BLSTM: AUC 0.78, accuracy 0.87, sensitivity 0.33, specificity 1.00; SGDM BLSTM: AUC 0.73, accuracy 0.83, sensitivity 0.50, specificity 0.92; Best BLSTM AUC=0.73, accuracy=0.83, sensitivity=0.50;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21 events; repeated reuse of a small cohort and many model choices; modest sensitivity; no external validation or calibration; source: complete article.</w:t>
            </w:r>
          </w:p>
        </w:tc>
      </w:tr>
      <w:tr>
        <w:tc>
          <w:tcPr>
            <w:tcW w:type="dxa" w:w="1428"/>
          </w:tcPr>
          <w:p>
            <w:pPr>
              <w:pStyle w:val="MDPI42tablebody"/>
              <w:jc w:val="left"/>
            </w:pPr>
            <w:r>
              <w:rPr>
                <w:sz w:val="16"/>
              </w:rPr>
              <w:t>Zhang et al. (2024) [60]</w:t>
            </w:r>
          </w:p>
        </w:tc>
        <w:tc>
          <w:tcPr>
            <w:tcW w:type="dxa" w:w="2243"/>
          </w:tcPr>
          <w:p>
            <w:pPr>
              <w:pStyle w:val="MDPI42tablebody"/>
              <w:jc w:val="left"/>
            </w:pPr>
            <w:r>
              <w:rPr>
                <w:sz w:val="16"/>
              </w:rPr>
              <w:t>Community-dwelling adults; mean age 71.8 years; 68.1% women; cohort: Trunk-model-external-validation-263; sample: 263 complete cases; events: 105 fallers; 50 walking fallers</w:t>
            </w:r>
          </w:p>
        </w:tc>
        <w:tc>
          <w:tcPr>
            <w:tcW w:type="dxa" w:w="2243"/>
          </w:tcPr>
          <w:p>
            <w:pPr>
              <w:pStyle w:val="MDPI42tablebody"/>
              <w:jc w:val="left"/>
            </w:pPr>
            <w:r>
              <w:rPr>
                <w:sz w:val="16"/>
              </w:rPr>
              <w:t>Trunk accelerometer worn for 1 week; Daily-life monitoring plus questionnaires; candidate predictors: Predictors in three previously published questionnaire/trunk-accelerometry models</w:t>
            </w:r>
          </w:p>
        </w:tc>
        <w:tc>
          <w:tcPr>
            <w:tcW w:type="dxa" w:w="1734"/>
          </w:tcPr>
          <w:p>
            <w:pPr>
              <w:pStyle w:val="MDPI42tablebody"/>
              <w:jc w:val="left"/>
            </w:pPr>
            <w:r>
              <w:rPr>
                <w:sz w:val="16"/>
              </w:rPr>
              <w:t>At least one fall; horizon: 6 months; ascertainment: Fall diary with monthly telephone contact</w:t>
            </w:r>
          </w:p>
        </w:tc>
        <w:tc>
          <w:tcPr>
            <w:tcW w:type="dxa" w:w="1937"/>
          </w:tcPr>
          <w:p>
            <w:pPr>
              <w:pStyle w:val="MDPI42tablebody"/>
              <w:jc w:val="left"/>
            </w:pPr>
            <w:r>
              <w:rPr>
                <w:sz w:val="16"/>
              </w:rPr>
              <w:t>External validation of original coefficients/cutoffs, followed by recalibration and cohort-specific updating; stage: independent cohort fixed model evaluation and updating; validation: Independent-cohort evaluation of three published models, followed by recalibration/updating; predictor reconstruction differed from development</w:t>
            </w:r>
          </w:p>
        </w:tc>
        <w:tc>
          <w:tcPr>
            <w:tcW w:type="dxa" w:w="2549"/>
          </w:tcPr>
          <w:p>
            <w:pPr>
              <w:pStyle w:val="MDPI42tablebody"/>
              <w:jc w:val="left"/>
            </w:pPr>
            <w:r>
              <w:rPr>
                <w:sz w:val="16"/>
              </w:rPr>
              <w:t>Fixed-model AUCs for questionnaire-only comparator/gait-only/combined gait–questionnaire models: all falls 0.62/0.50/0.53 and walking falls 0.68/0.49/0.59; recalibrated AUCs 0.62/0.52/0.58 and 0.68/0.51/0.62, respectively; Across eligible gait-only and combined models, precision 0.20–0.49, sensitivity 0.32–0.55, and specificity 0.45–0.89; the questionnaire-only comparator produced the overall maximum sensitivity 0.58; Calibration: Original-model calibration intercepts included −1.06 and −0.83 for questionnaire-only and combined models for all falls and −2.17, −1.14, and −1.82 for questionnaire-only, gait-only, and combined models for walking falls; corresponding reported slopes for questionnaire-only and combined models were 2.22 and 1.40 for all falls and 3.24 and 2.08 for walking falls; no calibration plot was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Independent-cohort fixed-model evaluation, but predictor reconstruction/processing differed from development specifications; case mix and predictor effects differed, and updated models were evaluated in the same cohort; source: complete article.</w:t>
            </w:r>
          </w:p>
        </w:tc>
      </w:tr>
      <w:tr>
        <w:tc>
          <w:tcPr>
            <w:tcW w:type="dxa" w:w="1428"/>
          </w:tcPr>
          <w:p>
            <w:pPr>
              <w:pStyle w:val="MDPI42tablebody"/>
              <w:jc w:val="left"/>
            </w:pPr>
            <w:r>
              <w:rPr>
                <w:sz w:val="16"/>
              </w:rPr>
              <w:t>Lai et al. (2025) [61]</w:t>
            </w:r>
          </w:p>
        </w:tc>
        <w:tc>
          <w:tcPr>
            <w:tcW w:type="dxa" w:w="2243"/>
          </w:tcPr>
          <w:p>
            <w:pPr>
              <w:pStyle w:val="MDPI42tablebody"/>
              <w:jc w:val="left"/>
            </w:pPr>
            <w:r>
              <w:rPr>
                <w:sz w:val="16"/>
              </w:rPr>
              <w:t>Community-dwelling older people in Hong Kong; cohort: Booguu-Aspire-37; sample: 37; events: 5 fallers; 32 nonfallers</w:t>
            </w:r>
          </w:p>
        </w:tc>
        <w:tc>
          <w:tcPr>
            <w:tcW w:type="dxa" w:w="2243"/>
          </w:tcPr>
          <w:p>
            <w:pPr>
              <w:pStyle w:val="MDPI42tablebody"/>
              <w:jc w:val="left"/>
            </w:pPr>
            <w:r>
              <w:rPr>
                <w:sz w:val="16"/>
              </w:rPr>
              <w:t>Commercial Booguu Aspire waist-mounted sensor; Baseline proprietary gait/balance assessment; candidate predictors: Proprietary sensor-derived risk parameters</w:t>
            </w:r>
          </w:p>
        </w:tc>
        <w:tc>
          <w:tcPr>
            <w:tcW w:type="dxa" w:w="1734"/>
          </w:tcPr>
          <w:p>
            <w:pPr>
              <w:pStyle w:val="MDPI42tablebody"/>
              <w:jc w:val="left"/>
            </w:pPr>
            <w:r>
              <w:rPr>
                <w:sz w:val="16"/>
              </w:rPr>
              <w:t>At least one prospective fall; horizon: 12 months; ascertainment: Quarterly telephone follow-up</w:t>
            </w:r>
          </w:p>
        </w:tc>
        <w:tc>
          <w:tcPr>
            <w:tcW w:type="dxa" w:w="1937"/>
          </w:tcPr>
          <w:p>
            <w:pPr>
              <w:pStyle w:val="MDPI42tablebody"/>
              <w:jc w:val="left"/>
            </w:pPr>
            <w:r>
              <w:rPr>
                <w:sz w:val="16"/>
              </w:rPr>
              <w:t>Fixed commercial high/moderate/low risk algorithm; stage: prospective fixed score evaluation; validation: Prospective evaluation of a fixed proprietary score/rule in 37 participants</w:t>
            </w:r>
          </w:p>
        </w:tc>
        <w:tc>
          <w:tcPr>
            <w:tcW w:type="dxa" w:w="2549"/>
          </w:tcPr>
          <w:p>
            <w:pPr>
              <w:pStyle w:val="MDPI42tablebody"/>
              <w:jc w:val="left"/>
            </w:pPr>
            <w:r>
              <w:rPr>
                <w:sz w:val="16"/>
              </w:rPr>
              <w:t>Reported AUC 0.688; At the reported high-risk threshold, recalculated from confusion counts: sensitivity 100%, specificity 37.5%, PPV 20%, NPV 100%, accuracy 45.9%; Calibration: Not reported</w:t>
            </w:r>
          </w:p>
        </w:tc>
        <w:tc>
          <w:tcPr>
            <w:tcW w:type="dxa" w:w="1020"/>
          </w:tcPr>
          <w:p>
            <w:pPr>
              <w:pStyle w:val="MDPI42tablebody"/>
              <w:jc w:val="left"/>
            </w:pPr>
            <w:r>
              <w:rPr>
                <w:sz w:val="16"/>
              </w:rPr>
              <w:t>Development: Not applicable; Evaluation: High</w:t>
            </w:r>
          </w:p>
        </w:tc>
        <w:tc>
          <w:tcPr>
            <w:tcW w:type="dxa" w:w="2244"/>
          </w:tcPr>
          <w:p>
            <w:pPr>
              <w:pStyle w:val="MDPI42tablebody"/>
              <w:jc w:val="left"/>
            </w:pPr>
            <w:r>
              <w:rPr>
                <w:sz w:val="16"/>
              </w:rPr>
              <w:t>Only 37 participants and five fallers; proprietary/opaque score; low specificity and positive predictive value; no calibration; source: complete article.</w:t>
            </w:r>
          </w:p>
        </w:tc>
      </w:tr>
      <w:tr>
        <w:tc>
          <w:tcPr>
            <w:tcW w:type="dxa" w:w="1428"/>
          </w:tcPr>
          <w:p>
            <w:pPr>
              <w:pStyle w:val="MDPI42tablebody"/>
              <w:jc w:val="left"/>
            </w:pPr>
            <w:r>
              <w:rPr>
                <w:sz w:val="16"/>
              </w:rPr>
              <w:t>Giardini et al. (2025) [17] †</w:t>
            </w:r>
          </w:p>
        </w:tc>
        <w:tc>
          <w:tcPr>
            <w:tcW w:type="dxa" w:w="2243"/>
          </w:tcPr>
          <w:p>
            <w:pPr>
              <w:pStyle w:val="MDPI42tablebody"/>
              <w:jc w:val="left"/>
            </w:pPr>
            <w:r>
              <w:rPr>
                <w:sz w:val="16"/>
              </w:rPr>
              <w:t>Older inpatients with femur fracture before discharge; age summary NR; cohort: Femur-fracture-iTUG-201; sample: 201 enrolled; analytic/follow-up denominator NR; reported fall incidence 5.5%; exact faller count NR</w:t>
            </w:r>
          </w:p>
        </w:tc>
        <w:tc>
          <w:tcPr>
            <w:tcW w:type="dxa" w:w="2243"/>
          </w:tcPr>
          <w:p>
            <w:pPr>
              <w:pStyle w:val="MDPI42tablebody"/>
              <w:jc w:val="left"/>
            </w:pPr>
            <w:r>
              <w:rPr>
                <w:sz w:val="16"/>
              </w:rPr>
              <w:t>Inertial-sensor instrumented TUG; sensor specification/placement NR; Instrumented Timed Up and Go before discharge; candidate predictors: Three iTUG variables selected after reliability assessment and exploratory factor analysis</w:t>
            </w:r>
          </w:p>
        </w:tc>
        <w:tc>
          <w:tcPr>
            <w:tcW w:type="dxa" w:w="1734"/>
          </w:tcPr>
          <w:p>
            <w:pPr>
              <w:pStyle w:val="MDPI42tablebody"/>
              <w:jc w:val="left"/>
            </w:pPr>
            <w:r>
              <w:rPr>
                <w:sz w:val="16"/>
              </w:rPr>
              <w:t>At least one post-discharge fall; horizon: 1 month; ascertainment: Telephone follow-up at 1 month</w:t>
            </w:r>
          </w:p>
        </w:tc>
        <w:tc>
          <w:tcPr>
            <w:tcW w:type="dxa" w:w="1937"/>
          </w:tcPr>
          <w:p>
            <w:pPr>
              <w:pStyle w:val="MDPI42tablebody"/>
              <w:jc w:val="left"/>
            </w:pPr>
            <w:r>
              <w:rPr>
                <w:sz w:val="16"/>
              </w:rPr>
              <w:t>Multivariable logistic regression; stage: development; validation: Apparent performance; no independent or resampling validation reported in abstract</w:t>
            </w:r>
          </w:p>
        </w:tc>
        <w:tc>
          <w:tcPr>
            <w:tcW w:type="dxa" w:w="2549"/>
          </w:tcPr>
          <w:p>
            <w:pPr>
              <w:pStyle w:val="MDPI42tablebody"/>
              <w:jc w:val="left"/>
            </w:pPr>
            <w:r>
              <w:rPr>
                <w:sz w:val="16"/>
              </w:rPr>
              <w:t>R²=0.31; AUC=0.91;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Exact analytic denominator and faller count NR; approximately 100 candidate iTUG variables filtered in the same data; no internal validation or calibration; very short horizon; source: indexed/publisher abstract only.</w:t>
            </w:r>
          </w:p>
        </w:tc>
      </w:tr>
      <w:tr>
        <w:tc>
          <w:tcPr>
            <w:tcW w:type="dxa" w:w="1428"/>
          </w:tcPr>
          <w:p>
            <w:pPr>
              <w:pStyle w:val="MDPI42tablebody"/>
              <w:jc w:val="left"/>
            </w:pPr>
            <w:r>
              <w:rPr>
                <w:sz w:val="16"/>
              </w:rPr>
              <w:t>Guan et al. (2025) [62]</w:t>
            </w:r>
          </w:p>
        </w:tc>
        <w:tc>
          <w:tcPr>
            <w:tcW w:type="dxa" w:w="2243"/>
          </w:tcPr>
          <w:p>
            <w:pPr>
              <w:pStyle w:val="MDPI42tablebody"/>
              <w:jc w:val="left"/>
            </w:pPr>
            <w:r>
              <w:rPr>
                <w:sz w:val="16"/>
              </w:rPr>
              <w:t>Residents aged ≥65 years from five New York City senior-living facilities; mean age 84.7 years; cohort: InstrumentedFootwear-95; sample: 95; events: 15 fallers; 80 nonfallers</w:t>
            </w:r>
          </w:p>
        </w:tc>
        <w:tc>
          <w:tcPr>
            <w:tcW w:type="dxa" w:w="2243"/>
          </w:tcPr>
          <w:p>
            <w:pPr>
              <w:pStyle w:val="MDPI42tablebody"/>
              <w:jc w:val="left"/>
            </w:pPr>
            <w:r>
              <w:rPr>
                <w:sz w:val="16"/>
              </w:rPr>
              <w:t>Instrumented footwear plus instrumented walkway; 6-minute walk test; candidate predictors: Spatiotemporal gait parameters and variability estimated by conventional and two SVR algorithms</w:t>
            </w:r>
          </w:p>
        </w:tc>
        <w:tc>
          <w:tcPr>
            <w:tcW w:type="dxa" w:w="1734"/>
          </w:tcPr>
          <w:p>
            <w:pPr>
              <w:pStyle w:val="MDPI42tablebody"/>
              <w:jc w:val="left"/>
            </w:pPr>
            <w:r>
              <w:rPr>
                <w:sz w:val="16"/>
              </w:rPr>
              <w:t>At least one prospectively observed fall; horizon: 6 months; ascertainment: Nursing-station records reviewed through 6 months after gait testing</w:t>
            </w:r>
          </w:p>
        </w:tc>
        <w:tc>
          <w:tcPr>
            <w:tcW w:type="dxa" w:w="1937"/>
          </w:tcPr>
          <w:p>
            <w:pPr>
              <w:pStyle w:val="MDPI42tablebody"/>
              <w:jc w:val="left"/>
            </w:pPr>
            <w:r>
              <w:rPr>
                <w:sz w:val="16"/>
              </w:rPr>
              <w:t>Logistic regression, decision tree, support-vector classifier, and artificial neural network; stage: development internal validation; validation: Leave-one-out cross-validation after whole-dataset gait-algorithm, feature-combination, and classifier tuning</w:t>
            </w:r>
          </w:p>
        </w:tc>
        <w:tc>
          <w:tcPr>
            <w:tcW w:type="dxa" w:w="2549"/>
          </w:tcPr>
          <w:p>
            <w:pPr>
              <w:pStyle w:val="MDPI42tablebody"/>
              <w:jc w:val="left"/>
            </w:pPr>
            <w:r>
              <w:rPr>
                <w:sz w:val="16"/>
              </w:rPr>
              <w:t>Best prospective-fall AUC improved from 0.84 (conventional gait estimation) to 0.89 (SVR-derived features); Calibration: Not reported</w:t>
            </w:r>
          </w:p>
        </w:tc>
        <w:tc>
          <w:tcPr>
            <w:tcW w:type="dxa" w:w="1020"/>
          </w:tcPr>
          <w:p>
            <w:pPr>
              <w:pStyle w:val="MDPI42tablebody"/>
              <w:jc w:val="left"/>
            </w:pPr>
            <w:r>
              <w:rPr>
                <w:sz w:val="16"/>
              </w:rPr>
              <w:t>Development: High; Evaluation: High</w:t>
            </w:r>
          </w:p>
        </w:tc>
        <w:tc>
          <w:tcPr>
            <w:tcW w:type="dxa" w:w="2244"/>
          </w:tcPr>
          <w:p>
            <w:pPr>
              <w:pStyle w:val="MDPI42tablebody"/>
              <w:jc w:val="left"/>
            </w:pPr>
            <w:r>
              <w:rPr>
                <w:sz w:val="16"/>
              </w:rPr>
              <w:t>Only 15 prospective fallers; gait-algorithm, feature-combination, and classifier searches were not nested within leave-one-out validation; no independent validation or calibration; source: complete article.</w:t>
            </w:r>
          </w:p>
        </w:tc>
      </w:tr>
      <w:tr>
        <w:tc>
          <w:tcPr>
            <w:tcW w:type="dxa" w:w="1428"/>
          </w:tcPr>
          <w:p>
            <w:pPr>
              <w:pStyle w:val="MDPI42tablebody"/>
              <w:jc w:val="left"/>
            </w:pPr>
            <w:r>
              <w:rPr>
                <w:sz w:val="16"/>
              </w:rPr>
              <w:t>Suffoletto et al. (2026) [15] †</w:t>
            </w:r>
          </w:p>
        </w:tc>
        <w:tc>
          <w:tcPr>
            <w:tcW w:type="dxa" w:w="2243"/>
          </w:tcPr>
          <w:p>
            <w:pPr>
              <w:pStyle w:val="MDPI42tablebody"/>
              <w:jc w:val="left"/>
            </w:pPr>
            <w:r>
              <w:rPr>
                <w:sz w:val="16"/>
              </w:rPr>
              <w:t>Community-dwelling adults aged ≥60 years discharged from an emergency department; cohort: ED-miTUG-360; sample: 360; events: 94 fallers during 180-day follow-up</w:t>
            </w:r>
          </w:p>
        </w:tc>
        <w:tc>
          <w:tcPr>
            <w:tcW w:type="dxa" w:w="2243"/>
          </w:tcPr>
          <w:p>
            <w:pPr>
              <w:pStyle w:val="MDPI42tablebody"/>
              <w:jc w:val="left"/>
            </w:pPr>
            <w:r>
              <w:rPr>
                <w:sz w:val="16"/>
              </w:rPr>
              <w:t>IMU during a brief modified Timed Up and Go; placement NR in the indexed/publisher abstract; Baseline modified Timed Up and Go instrumented mobility test; candidate predictors: Nine clinical predictors and four IMU-derived modified-TUG features</w:t>
            </w:r>
          </w:p>
        </w:tc>
        <w:tc>
          <w:tcPr>
            <w:tcW w:type="dxa" w:w="1734"/>
          </w:tcPr>
          <w:p>
            <w:pPr>
              <w:pStyle w:val="MDPI42tablebody"/>
              <w:jc w:val="left"/>
            </w:pPr>
            <w:r>
              <w:rPr>
                <w:sz w:val="16"/>
              </w:rPr>
              <w:t>Any fall; horizon: 180 days; ascertainment: Prospective follow-up; ascertainment details NR in the indexed/publisher abstract</w:t>
            </w:r>
          </w:p>
        </w:tc>
        <w:tc>
          <w:tcPr>
            <w:tcW w:type="dxa" w:w="1937"/>
          </w:tcPr>
          <w:p>
            <w:pPr>
              <w:pStyle w:val="MDPI42tablebody"/>
              <w:jc w:val="left"/>
            </w:pPr>
            <w:r>
              <w:rPr>
                <w:sz w:val="16"/>
              </w:rPr>
              <w:t>Multivariable clinical model with and without four IMU features; full specification NR in the indexed/publisher abstract; stage: development apparent; validation: Same-cohort apparent performance; no independent validation reported</w:t>
            </w:r>
          </w:p>
        </w:tc>
        <w:tc>
          <w:tcPr>
            <w:tcW w:type="dxa" w:w="2549"/>
          </w:tcPr>
          <w:p>
            <w:pPr>
              <w:pStyle w:val="MDPI42tablebody"/>
              <w:jc w:val="left"/>
            </w:pPr>
            <w:r>
              <w:rPr>
                <w:sz w:val="16"/>
              </w:rPr>
              <w:t>AUC 0.72 for clinical plus IMU features versus 0.67 for clinical predictors alone (p = 0.19); C-index 0.73 versus 0.69; At a prespecified 30% threshold: sensitivity 0.57 versus 0.45, specificity 0.80 versus 0.76, and PPV 0.50 versus 0.39 for combined versus clinical models</w:t>
            </w:r>
          </w:p>
        </w:tc>
        <w:tc>
          <w:tcPr>
            <w:tcW w:type="dxa" w:w="1020"/>
          </w:tcPr>
          <w:p>
            <w:pPr>
              <w:pStyle w:val="MDPI42tablebody"/>
              <w:jc w:val="left"/>
            </w:pPr>
            <w:r>
              <w:rPr>
                <w:sz w:val="16"/>
              </w:rPr>
              <w:t>Development: Unclear; Evaluation: Unclear</w:t>
            </w:r>
          </w:p>
        </w:tc>
        <w:tc>
          <w:tcPr>
            <w:tcW w:type="dxa" w:w="2244"/>
          </w:tcPr>
          <w:p>
            <w:pPr>
              <w:pStyle w:val="MDPI42tablebody"/>
              <w:jc w:val="left"/>
            </w:pPr>
            <w:r>
              <w:rPr>
                <w:sz w:val="16"/>
              </w:rPr>
              <w:t>Indexed structured abstract only; same-cohort performance; modelling details, optimism correction, calibration, and independent validation NR; source: indexed/publisher abstract only.</w:t>
            </w:r>
          </w:p>
        </w:tc>
      </w:tr>
    </w:tbl>
    <w:p>
      <w:pPr>
        <w:pStyle w:val="MDPI32textnoindent"/>
        <w:spacing w:before="60" w:after="160"/>
        <w:ind w:left="0" w:firstLine="0"/>
      </w:pPr>
      <w:r>
        <w:t>† Complete article not accessible for 10 reports (Table S3); the validation stage and methods reflect what the indexed/publisher abstract reports, and procedures not described there are treated as not reported rather than absent. Uncertainty is reported as given by the source and labelled by type: 95% CI, confidence interval; SD across repeated splits; range across resamples; “±, type not specified” where the source did not define the dispersion measure; mean ± SD for participant characteristics. Abbreviations are defined in the footnote to Table 2 of the main article.</w:t>
      </w:r>
    </w:p>
    <w:p>
      <w:pPr>
        <w:pStyle w:val="MDPI32textnoindent"/>
        <w:spacing w:before="200" w:after="80"/>
        <w:ind w:left="0" w:firstLine="0"/>
      </w:pPr>
      <w:r>
        <w:t>Table S3. Reports assessed without the complete article (n = 10)</w:t>
      </w:r>
    </w:p>
    <w:tbl>
      <w:tblPr>
        <w:tblStyle w:val="MDPI41threelinetable"/>
        <w:tblW w:type="dxa" w:w="15398"/>
        <w:tblLook w:firstColumn="1" w:firstRow="1" w:lastColumn="0" w:lastRow="0" w:noHBand="0" w:noVBand="1" w:val="04A0"/>
        <w:tblLayout w:type="fixed"/>
      </w:tblPr>
      <w:tblGrid>
        <w:gridCol w:w="1823"/>
        <w:gridCol w:w="2533"/>
        <w:gridCol w:w="2026"/>
        <w:gridCol w:w="2229"/>
        <w:gridCol w:w="3850"/>
        <w:gridCol w:w="2937"/>
      </w:tblGrid>
      <w:tr>
        <w:trPr>
          <w:tblHeader/>
        </w:trPr>
        <w:tc>
          <w:tcPr>
            <w:tcW w:type="dxa" w:w="1823"/>
          </w:tcPr>
          <w:p>
            <w:pPr>
              <w:pStyle w:val="MDPI42tablebody"/>
              <w:jc w:val="left"/>
            </w:pPr>
            <w:r>
              <w:rPr>
                <w:b/>
                <w:sz w:val="16"/>
              </w:rPr>
              <w:t>Report [ref.]</w:t>
            </w:r>
          </w:p>
        </w:tc>
        <w:tc>
          <w:tcPr>
            <w:tcW w:type="dxa" w:w="2533"/>
          </w:tcPr>
          <w:p>
            <w:pPr>
              <w:pStyle w:val="MDPI42tablebody"/>
              <w:jc w:val="left"/>
            </w:pPr>
            <w:r>
              <w:rPr>
                <w:b/>
                <w:sz w:val="16"/>
              </w:rPr>
              <w:t>Source (DOI)</w:t>
            </w:r>
          </w:p>
        </w:tc>
        <w:tc>
          <w:tcPr>
            <w:tcW w:type="dxa" w:w="2026"/>
          </w:tcPr>
          <w:p>
            <w:pPr>
              <w:pStyle w:val="MDPI42tablebody"/>
              <w:jc w:val="left"/>
            </w:pPr>
            <w:r>
              <w:rPr>
                <w:b/>
                <w:sz w:val="16"/>
              </w:rPr>
              <w:t>Material used</w:t>
            </w:r>
          </w:p>
        </w:tc>
        <w:tc>
          <w:tcPr>
            <w:tcW w:type="dxa" w:w="2229"/>
          </w:tcPr>
          <w:p>
            <w:pPr>
              <w:pStyle w:val="MDPI42tablebody"/>
              <w:jc w:val="left"/>
            </w:pPr>
            <w:r>
              <w:rPr>
                <w:b/>
                <w:sz w:val="16"/>
              </w:rPr>
              <w:t>Retrieval routes attempted</w:t>
            </w:r>
          </w:p>
        </w:tc>
        <w:tc>
          <w:tcPr>
            <w:tcW w:type="dxa" w:w="3850"/>
          </w:tcPr>
          <w:p>
            <w:pPr>
              <w:pStyle w:val="MDPI42tablebody"/>
              <w:jc w:val="left"/>
            </w:pPr>
            <w:r>
              <w:rPr>
                <w:b/>
                <w:sz w:val="16"/>
              </w:rPr>
              <w:t>Items that could not be verified</w:t>
            </w:r>
          </w:p>
        </w:tc>
        <w:tc>
          <w:tcPr>
            <w:tcW w:type="dxa" w:w="2937"/>
          </w:tcPr>
          <w:p>
            <w:pPr>
              <w:pStyle w:val="MDPI42tablebody"/>
              <w:jc w:val="left"/>
            </w:pPr>
            <w:r>
              <w:rPr>
                <w:b/>
                <w:sz w:val="16"/>
              </w:rPr>
              <w:t>Handling in the review</w:t>
            </w:r>
          </w:p>
        </w:tc>
      </w:tr>
      <w:tr>
        <w:tc>
          <w:tcPr>
            <w:tcW w:type="dxa" w:w="1823"/>
          </w:tcPr>
          <w:p>
            <w:pPr>
              <w:pStyle w:val="MDPI42tablebody"/>
              <w:jc w:val="left"/>
            </w:pPr>
            <w:r>
              <w:rPr>
                <w:sz w:val="16"/>
              </w:rPr>
              <w:t>Marschollek et al. 2011 [18]</w:t>
            </w:r>
          </w:p>
        </w:tc>
        <w:tc>
          <w:tcPr>
            <w:tcW w:type="dxa" w:w="2533"/>
          </w:tcPr>
          <w:p>
            <w:pPr>
              <w:pStyle w:val="MDPI42tablebody"/>
              <w:jc w:val="left"/>
            </w:pPr>
            <w:r>
              <w:rPr>
                <w:sz w:val="16"/>
              </w:rPr>
              <w:t>https://doi.org/10.3414/ME10-01-0040</w:t>
            </w:r>
          </w:p>
        </w:tc>
        <w:tc>
          <w:tcPr>
            <w:tcW w:type="dxa" w:w="2026"/>
          </w:tcPr>
          <w:p>
            <w:pPr>
              <w:pStyle w:val="MDPI42tablebody"/>
              <w:jc w:val="left"/>
            </w:pPr>
            <w:r>
              <w:rPr>
                <w:sz w:val="16"/>
              </w:rPr>
              <w:t>Abstract (indexed bibliographic record and publisher abstract page)</w:t>
            </w:r>
          </w:p>
        </w:tc>
        <w:tc>
          <w:tcPr>
            <w:tcW w:type="dxa" w:w="2229"/>
          </w:tcPr>
          <w:p>
            <w:pPr>
              <w:pStyle w:val="MDPI42tablebody"/>
              <w:jc w:val="left"/>
            </w:pPr>
            <w:r>
              <w:rPr>
                <w:sz w:val="16"/>
              </w:rPr>
              <w:t>Publisher website; institutional subscriptions; open-access and institutional repositories</w:t>
            </w:r>
          </w:p>
        </w:tc>
        <w:tc>
          <w:tcPr>
            <w:tcW w:type="dxa" w:w="3850"/>
          </w:tcPr>
          <w:p>
            <w:pPr>
              <w:pStyle w:val="MDPI42tablebody"/>
              <w:jc w:val="left"/>
            </w:pPr>
            <w:r>
              <w:rPr>
                <w:sz w:val="16"/>
              </w:rPr>
              <w:t>Exact number of fallers; attrition; model-selection process; repeated cross-validation; interpretation of the Brier score; calibration.</w:t>
            </w:r>
          </w:p>
        </w:tc>
        <w:tc>
          <w:tcPr>
            <w:tcW w:type="dxa" w:w="2937"/>
          </w:tcPr>
          <w:p>
            <w:pPr>
              <w:pStyle w:val="MDPI42tablebody"/>
              <w:jc w:val="left"/>
            </w:pPr>
            <w:r>
              <w:rPr>
                <w:sz w:val="16"/>
              </w:rPr>
              <w:t>Unverifiable fields were recorded as NR in data extraction. Archived report-level domain judgments are summarized in Table S7; the original item-level PROBAST+AI responses were not retained. The open companion paper (Marschollek et al. 2011 [19]) was extracted separately and not used as a substitute.</w:t>
            </w:r>
          </w:p>
        </w:tc>
      </w:tr>
      <w:tr>
        <w:tc>
          <w:tcPr>
            <w:tcW w:type="dxa" w:w="1823"/>
          </w:tcPr>
          <w:p>
            <w:pPr>
              <w:pStyle w:val="MDPI42tablebody"/>
              <w:jc w:val="left"/>
            </w:pPr>
            <w:r>
              <w:rPr>
                <w:sz w:val="16"/>
              </w:rPr>
              <w:t>Greene et al. 2012 [20]</w:t>
            </w:r>
          </w:p>
        </w:tc>
        <w:tc>
          <w:tcPr>
            <w:tcW w:type="dxa" w:w="2533"/>
          </w:tcPr>
          <w:p>
            <w:pPr>
              <w:pStyle w:val="MDPI42tablebody"/>
              <w:jc w:val="left"/>
            </w:pPr>
            <w:r>
              <w:rPr>
                <w:sz w:val="16"/>
              </w:rPr>
              <w:t>https://doi.org/10.1159/000337259</w:t>
            </w:r>
          </w:p>
        </w:tc>
        <w:tc>
          <w:tcPr>
            <w:tcW w:type="dxa" w:w="2026"/>
          </w:tcPr>
          <w:p>
            <w:pPr>
              <w:pStyle w:val="MDPI42tablebody"/>
              <w:jc w:val="left"/>
            </w:pPr>
            <w:r>
              <w:rPr>
                <w:sz w:val="16"/>
              </w:rPr>
              <w:t>Abstract (indexed bibliographic record and publisher abstract page)</w:t>
            </w:r>
          </w:p>
        </w:tc>
        <w:tc>
          <w:tcPr>
            <w:tcW w:type="dxa" w:w="2229"/>
          </w:tcPr>
          <w:p>
            <w:pPr>
              <w:pStyle w:val="MDPI42tablebody"/>
              <w:jc w:val="left"/>
            </w:pPr>
            <w:r>
              <w:rPr>
                <w:sz w:val="16"/>
              </w:rPr>
              <w:t>Publisher website; institutional subscriptions; open-access and institutional repositories</w:t>
            </w:r>
          </w:p>
        </w:tc>
        <w:tc>
          <w:tcPr>
            <w:tcW w:type="dxa" w:w="3850"/>
          </w:tcPr>
          <w:p>
            <w:pPr>
              <w:pStyle w:val="MDPI42tablebody"/>
              <w:jc w:val="left"/>
            </w:pPr>
            <w:r>
              <w:rPr>
                <w:sz w:val="16"/>
              </w:rPr>
              <w:t>Nesting of feature selection; repeated cross-validation; missing data; two-year fall ascertainment; confidence intervals and calibration.</w:t>
            </w:r>
          </w:p>
        </w:tc>
        <w:tc>
          <w:tcPr>
            <w:tcW w:type="dxa" w:w="2937"/>
          </w:tcPr>
          <w:p>
            <w:pPr>
              <w:pStyle w:val="MDPI42tablebody"/>
              <w:jc w:val="left"/>
            </w:pPr>
            <w:r>
              <w:rPr>
                <w:sz w:val="16"/>
              </w:rPr>
              <w:t>Unverifiable fields were recorded as NR in data extraction. Archived report-level domain judgments are summarized in Table S7; the original item-level PROBAST+AI responses were not retained.</w:t>
            </w:r>
          </w:p>
        </w:tc>
      </w:tr>
      <w:tr>
        <w:tc>
          <w:tcPr>
            <w:tcW w:type="dxa" w:w="1823"/>
          </w:tcPr>
          <w:p>
            <w:pPr>
              <w:pStyle w:val="MDPI42tablebody"/>
              <w:jc w:val="left"/>
            </w:pPr>
            <w:r>
              <w:rPr>
                <w:sz w:val="16"/>
              </w:rPr>
              <w:t>Schwesig et al. 2013 [22]</w:t>
            </w:r>
          </w:p>
        </w:tc>
        <w:tc>
          <w:tcPr>
            <w:tcW w:type="dxa" w:w="2533"/>
          </w:tcPr>
          <w:p>
            <w:pPr>
              <w:pStyle w:val="MDPI42tablebody"/>
              <w:jc w:val="left"/>
            </w:pPr>
            <w:r>
              <w:rPr>
                <w:sz w:val="16"/>
              </w:rPr>
              <w:t>https://doi.org/10.1177/0269215512452880</w:t>
            </w:r>
          </w:p>
        </w:tc>
        <w:tc>
          <w:tcPr>
            <w:tcW w:type="dxa" w:w="2026"/>
          </w:tcPr>
          <w:p>
            <w:pPr>
              <w:pStyle w:val="MDPI42tablebody"/>
              <w:jc w:val="left"/>
            </w:pPr>
            <w:r>
              <w:rPr>
                <w:sz w:val="16"/>
              </w:rPr>
              <w:t>Abstract (indexed bibliographic record and publisher abstract page)</w:t>
            </w:r>
          </w:p>
        </w:tc>
        <w:tc>
          <w:tcPr>
            <w:tcW w:type="dxa" w:w="2229"/>
          </w:tcPr>
          <w:p>
            <w:pPr>
              <w:pStyle w:val="MDPI42tablebody"/>
              <w:jc w:val="left"/>
            </w:pPr>
            <w:r>
              <w:rPr>
                <w:sz w:val="16"/>
              </w:rPr>
              <w:t>Publisher website; institutional subscriptions; open-access and institutional repositories</w:t>
            </w:r>
          </w:p>
        </w:tc>
        <w:tc>
          <w:tcPr>
            <w:tcW w:type="dxa" w:w="3850"/>
          </w:tcPr>
          <w:p>
            <w:pPr>
              <w:pStyle w:val="MDPI42tablebody"/>
              <w:jc w:val="left"/>
            </w:pPr>
            <w:r>
              <w:rPr>
                <w:sz w:val="16"/>
              </w:rPr>
              <w:t>Exact denominators; prespecified versus newly derived rule; thresholds; recurrent-fall counts; validation and calibration.</w:t>
            </w:r>
          </w:p>
        </w:tc>
        <w:tc>
          <w:tcPr>
            <w:tcW w:type="dxa" w:w="2937"/>
          </w:tcPr>
          <w:p>
            <w:pPr>
              <w:pStyle w:val="MDPI42tablebody"/>
              <w:jc w:val="left"/>
            </w:pPr>
            <w:r>
              <w:rPr>
                <w:sz w:val="16"/>
              </w:rPr>
              <w:t>Unverifiable fields were recorded as NR in data extraction. Archived report-level domain judgments are summarized in Table S7; the original item-level PROBAST+AI responses were not retained.</w:t>
            </w:r>
          </w:p>
        </w:tc>
      </w:tr>
      <w:tr>
        <w:tc>
          <w:tcPr>
            <w:tcW w:type="dxa" w:w="1823"/>
          </w:tcPr>
          <w:p>
            <w:pPr>
              <w:pStyle w:val="MDPI42tablebody"/>
              <w:jc w:val="left"/>
            </w:pPr>
            <w:r>
              <w:rPr>
                <w:sz w:val="16"/>
              </w:rPr>
              <w:t>Howcroft et al. 2017 [28]</w:t>
            </w:r>
          </w:p>
        </w:tc>
        <w:tc>
          <w:tcPr>
            <w:tcW w:type="dxa" w:w="2533"/>
          </w:tcPr>
          <w:p>
            <w:pPr>
              <w:pStyle w:val="MDPI42tablebody"/>
              <w:jc w:val="left"/>
            </w:pPr>
            <w:r>
              <w:rPr>
                <w:sz w:val="16"/>
              </w:rPr>
              <w:t>https://doi.org/10.1109/TNSRE.2017.2687100</w:t>
            </w:r>
          </w:p>
        </w:tc>
        <w:tc>
          <w:tcPr>
            <w:tcW w:type="dxa" w:w="2026"/>
          </w:tcPr>
          <w:p>
            <w:pPr>
              <w:pStyle w:val="MDPI42tablebody"/>
              <w:jc w:val="left"/>
            </w:pPr>
            <w:r>
              <w:rPr>
                <w:sz w:val="16"/>
              </w:rPr>
              <w:t>Abstract (indexed bibliographic record and publisher abstract page)</w:t>
            </w:r>
          </w:p>
        </w:tc>
        <w:tc>
          <w:tcPr>
            <w:tcW w:type="dxa" w:w="2229"/>
          </w:tcPr>
          <w:p>
            <w:pPr>
              <w:pStyle w:val="MDPI42tablebody"/>
              <w:jc w:val="left"/>
            </w:pPr>
            <w:r>
              <w:rPr>
                <w:sz w:val="16"/>
              </w:rPr>
              <w:t>Publisher website; institutional subscriptions; open-access and institutional repositories</w:t>
            </w:r>
          </w:p>
        </w:tc>
        <w:tc>
          <w:tcPr>
            <w:tcW w:type="dxa" w:w="3850"/>
          </w:tcPr>
          <w:p>
            <w:pPr>
              <w:pStyle w:val="MDPI42tablebody"/>
              <w:jc w:val="left"/>
            </w:pPr>
            <w:r>
              <w:rPr>
                <w:sz w:val="16"/>
              </w:rPr>
              <w:t>Sensor and model search; feature selection; participant split; test-set performance; outcome ascertainment; overlap with related reports.</w:t>
            </w:r>
          </w:p>
        </w:tc>
        <w:tc>
          <w:tcPr>
            <w:tcW w:type="dxa" w:w="2937"/>
          </w:tcPr>
          <w:p>
            <w:pPr>
              <w:pStyle w:val="MDPI42tablebody"/>
              <w:jc w:val="left"/>
            </w:pPr>
            <w:r>
              <w:rPr>
                <w:sz w:val="16"/>
              </w:rPr>
              <w:t>Unverifiable fields were recorded as NR in data extraction. Archived report-level domain judgments are summarized in Table S7; the original item-level PROBAST+AI responses were not retained. A related thesis was not used as a substitute.</w:t>
            </w:r>
          </w:p>
        </w:tc>
      </w:tr>
      <w:tr>
        <w:tc>
          <w:tcPr>
            <w:tcW w:type="dxa" w:w="1823"/>
          </w:tcPr>
          <w:p>
            <w:pPr>
              <w:pStyle w:val="MDPI42tablebody"/>
              <w:jc w:val="left"/>
            </w:pPr>
            <w:r>
              <w:rPr>
                <w:sz w:val="16"/>
              </w:rPr>
              <w:t>Marques et al. 2019 [37]</w:t>
            </w:r>
          </w:p>
        </w:tc>
        <w:tc>
          <w:tcPr>
            <w:tcW w:type="dxa" w:w="2533"/>
          </w:tcPr>
          <w:p>
            <w:pPr>
              <w:pStyle w:val="MDPI42tablebody"/>
              <w:jc w:val="left"/>
            </w:pPr>
            <w:r>
              <w:rPr>
                <w:sz w:val="16"/>
              </w:rPr>
              <w:t>https://doi.org/10.1016/j.clinbiomech.2019.04.011</w:t>
            </w:r>
          </w:p>
        </w:tc>
        <w:tc>
          <w:tcPr>
            <w:tcW w:type="dxa" w:w="2026"/>
          </w:tcPr>
          <w:p>
            <w:pPr>
              <w:pStyle w:val="MDPI42tablebody"/>
              <w:jc w:val="left"/>
            </w:pPr>
            <w:r>
              <w:rPr>
                <w:sz w:val="16"/>
              </w:rPr>
              <w:t>Abstract (indexed bibliographic record and publisher abstract page)</w:t>
            </w:r>
          </w:p>
        </w:tc>
        <w:tc>
          <w:tcPr>
            <w:tcW w:type="dxa" w:w="2229"/>
          </w:tcPr>
          <w:p>
            <w:pPr>
              <w:pStyle w:val="MDPI42tablebody"/>
              <w:jc w:val="left"/>
            </w:pPr>
            <w:r>
              <w:rPr>
                <w:sz w:val="16"/>
              </w:rPr>
              <w:t>Publisher website; institutional subscriptions; open-access and institutional repositories</w:t>
            </w:r>
          </w:p>
        </w:tc>
        <w:tc>
          <w:tcPr>
            <w:tcW w:type="dxa" w:w="3850"/>
          </w:tcPr>
          <w:p>
            <w:pPr>
              <w:pStyle w:val="MDPI42tablebody"/>
              <w:jc w:val="left"/>
            </w:pPr>
            <w:r>
              <w:rPr>
                <w:sz w:val="16"/>
              </w:rPr>
              <w:t>Follow-up schedule; exact AUCs and uncertainty; cut-point derivation; missing data; model specification and calibration.</w:t>
            </w:r>
          </w:p>
        </w:tc>
        <w:tc>
          <w:tcPr>
            <w:tcW w:type="dxa" w:w="2937"/>
          </w:tcPr>
          <w:p>
            <w:pPr>
              <w:pStyle w:val="MDPI42tablebody"/>
              <w:jc w:val="left"/>
            </w:pPr>
            <w:r>
              <w:rPr>
                <w:sz w:val="16"/>
              </w:rPr>
              <w:t>Unverifiable fields were recorded as NR in data extraction. Archived report-level domain judgments are summarized in Table S7; the original item-level PROBAST+AI responses were not retained.</w:t>
            </w:r>
          </w:p>
        </w:tc>
      </w:tr>
      <w:tr>
        <w:tc>
          <w:tcPr>
            <w:tcW w:type="dxa" w:w="1823"/>
          </w:tcPr>
          <w:p>
            <w:pPr>
              <w:pStyle w:val="MDPI42tablebody"/>
              <w:jc w:val="left"/>
            </w:pPr>
            <w:r>
              <w:rPr>
                <w:sz w:val="16"/>
              </w:rPr>
              <w:t>Gillain et al. 2019 [38]</w:t>
            </w:r>
          </w:p>
        </w:tc>
        <w:tc>
          <w:tcPr>
            <w:tcW w:type="dxa" w:w="2533"/>
          </w:tcPr>
          <w:p>
            <w:pPr>
              <w:pStyle w:val="MDPI42tablebody"/>
              <w:jc w:val="left"/>
            </w:pPr>
            <w:r>
              <w:rPr>
                <w:sz w:val="16"/>
              </w:rPr>
              <w:t>https://doi.org/10.1016/j.exger.2019.110730</w:t>
            </w:r>
          </w:p>
        </w:tc>
        <w:tc>
          <w:tcPr>
            <w:tcW w:type="dxa" w:w="2026"/>
          </w:tcPr>
          <w:p>
            <w:pPr>
              <w:pStyle w:val="MDPI42tablebody"/>
              <w:jc w:val="left"/>
            </w:pPr>
            <w:r>
              <w:rPr>
                <w:sz w:val="16"/>
              </w:rPr>
              <w:t>Abstract (indexed bibliographic record and publisher abstract page)</w:t>
            </w:r>
          </w:p>
        </w:tc>
        <w:tc>
          <w:tcPr>
            <w:tcW w:type="dxa" w:w="2229"/>
          </w:tcPr>
          <w:p>
            <w:pPr>
              <w:pStyle w:val="MDPI42tablebody"/>
              <w:jc w:val="left"/>
            </w:pPr>
            <w:r>
              <w:rPr>
                <w:sz w:val="16"/>
              </w:rPr>
              <w:t>Publisher website; institutional subscriptions; open-access and institutional repositories</w:t>
            </w:r>
          </w:p>
        </w:tc>
        <w:tc>
          <w:tcPr>
            <w:tcW w:type="dxa" w:w="3850"/>
          </w:tcPr>
          <w:p>
            <w:pPr>
              <w:pStyle w:val="MDPI42tablebody"/>
              <w:jc w:val="left"/>
            </w:pPr>
            <w:r>
              <w:rPr>
                <w:sz w:val="16"/>
              </w:rPr>
              <w:t>Reasons for attrition; tree construction and pruning; candidate variables; optimism correction; validation and calibration.</w:t>
            </w:r>
          </w:p>
        </w:tc>
        <w:tc>
          <w:tcPr>
            <w:tcW w:type="dxa" w:w="2937"/>
          </w:tcPr>
          <w:p>
            <w:pPr>
              <w:pStyle w:val="MDPI42tablebody"/>
              <w:jc w:val="left"/>
            </w:pPr>
            <w:r>
              <w:rPr>
                <w:sz w:val="16"/>
              </w:rPr>
              <w:t>Unverifiable fields were recorded as NR in data extraction. Archived report-level domain judgments are summarized in Table S7; the original item-level PROBAST+AI responses were not retained. A related poster was not used as a substitute.</w:t>
            </w:r>
          </w:p>
        </w:tc>
      </w:tr>
      <w:tr>
        <w:tc>
          <w:tcPr>
            <w:tcW w:type="dxa" w:w="1823"/>
          </w:tcPr>
          <w:p>
            <w:pPr>
              <w:pStyle w:val="MDPI42tablebody"/>
              <w:jc w:val="left"/>
            </w:pPr>
            <w:r>
              <w:rPr>
                <w:sz w:val="16"/>
              </w:rPr>
              <w:t>Mehdizadeh et al. 2021 [43]</w:t>
            </w:r>
          </w:p>
        </w:tc>
        <w:tc>
          <w:tcPr>
            <w:tcW w:type="dxa" w:w="2533"/>
          </w:tcPr>
          <w:p>
            <w:pPr>
              <w:pStyle w:val="MDPI42tablebody"/>
              <w:jc w:val="left"/>
            </w:pPr>
            <w:r>
              <w:rPr>
                <w:sz w:val="16"/>
              </w:rPr>
              <w:t>https://doi.org/10.1016/j.jamda.2020.07.030</w:t>
            </w:r>
          </w:p>
        </w:tc>
        <w:tc>
          <w:tcPr>
            <w:tcW w:type="dxa" w:w="2026"/>
          </w:tcPr>
          <w:p>
            <w:pPr>
              <w:pStyle w:val="MDPI42tablebody"/>
              <w:jc w:val="left"/>
            </w:pPr>
            <w:r>
              <w:rPr>
                <w:sz w:val="16"/>
              </w:rPr>
              <w:t>Abstract (indexed bibliographic record and publisher abstract page)</w:t>
            </w:r>
          </w:p>
        </w:tc>
        <w:tc>
          <w:tcPr>
            <w:tcW w:type="dxa" w:w="2229"/>
          </w:tcPr>
          <w:p>
            <w:pPr>
              <w:pStyle w:val="MDPI42tablebody"/>
              <w:jc w:val="left"/>
            </w:pPr>
            <w:r>
              <w:rPr>
                <w:sz w:val="16"/>
              </w:rPr>
              <w:t>Publisher website; institutional subscriptions; open-access and institutional repositories</w:t>
            </w:r>
          </w:p>
        </w:tc>
        <w:tc>
          <w:tcPr>
            <w:tcW w:type="dxa" w:w="3850"/>
          </w:tcPr>
          <w:p>
            <w:pPr>
              <w:pStyle w:val="MDPI42tablebody"/>
              <w:jc w:val="left"/>
            </w:pPr>
            <w:r>
              <w:rPr>
                <w:sz w:val="16"/>
              </w:rPr>
              <w:t>Exclusion reasons; fallers at 7 and 30 days; internal-validation procedure; model assumptions; missing data; quantitative calibration.</w:t>
            </w:r>
          </w:p>
        </w:tc>
        <w:tc>
          <w:tcPr>
            <w:tcW w:type="dxa" w:w="2937"/>
          </w:tcPr>
          <w:p>
            <w:pPr>
              <w:pStyle w:val="MDPI42tablebody"/>
              <w:jc w:val="left"/>
            </w:pPr>
            <w:r>
              <w:rPr>
                <w:sz w:val="16"/>
              </w:rPr>
              <w:t>Unverifiable fields were recorded as NR in data extraction. Archived report-level domain judgments are summarized in Table S7; the original item-level PROBAST+AI responses were not retained.</w:t>
            </w:r>
          </w:p>
        </w:tc>
      </w:tr>
      <w:tr>
        <w:tc>
          <w:tcPr>
            <w:tcW w:type="dxa" w:w="1823"/>
          </w:tcPr>
          <w:p>
            <w:pPr>
              <w:pStyle w:val="MDPI42tablebody"/>
              <w:jc w:val="left"/>
            </w:pPr>
            <w:r>
              <w:rPr>
                <w:sz w:val="16"/>
              </w:rPr>
              <w:t>Ma et al. 2022 [49]</w:t>
            </w:r>
          </w:p>
        </w:tc>
        <w:tc>
          <w:tcPr>
            <w:tcW w:type="dxa" w:w="2533"/>
          </w:tcPr>
          <w:p>
            <w:pPr>
              <w:pStyle w:val="MDPI42tablebody"/>
              <w:jc w:val="left"/>
            </w:pPr>
            <w:r>
              <w:rPr>
                <w:sz w:val="16"/>
              </w:rPr>
              <w:t>https://doi.org/10.1080/00207454.2020.1849189</w:t>
            </w:r>
          </w:p>
        </w:tc>
        <w:tc>
          <w:tcPr>
            <w:tcW w:type="dxa" w:w="2026"/>
          </w:tcPr>
          <w:p>
            <w:pPr>
              <w:pStyle w:val="MDPI42tablebody"/>
              <w:jc w:val="left"/>
            </w:pPr>
            <w:r>
              <w:rPr>
                <w:sz w:val="16"/>
              </w:rPr>
              <w:t>Abstract (indexed bibliographic record and publisher abstract page)</w:t>
            </w:r>
          </w:p>
        </w:tc>
        <w:tc>
          <w:tcPr>
            <w:tcW w:type="dxa" w:w="2229"/>
          </w:tcPr>
          <w:p>
            <w:pPr>
              <w:pStyle w:val="MDPI42tablebody"/>
              <w:jc w:val="left"/>
            </w:pPr>
            <w:r>
              <w:rPr>
                <w:sz w:val="16"/>
              </w:rPr>
              <w:t>Publisher website; institutional subscriptions; open-access and institutional repositories</w:t>
            </w:r>
          </w:p>
        </w:tc>
        <w:tc>
          <w:tcPr>
            <w:tcW w:type="dxa" w:w="3850"/>
          </w:tcPr>
          <w:p>
            <w:pPr>
              <w:pStyle w:val="MDPI42tablebody"/>
              <w:jc w:val="left"/>
            </w:pPr>
            <w:r>
              <w:rPr>
                <w:sz w:val="16"/>
              </w:rPr>
              <w:t>Predictor screening; complete regression specification; coefficients; missing data; optimism correction; uncertainty and calibration.</w:t>
            </w:r>
          </w:p>
        </w:tc>
        <w:tc>
          <w:tcPr>
            <w:tcW w:type="dxa" w:w="2937"/>
          </w:tcPr>
          <w:p>
            <w:pPr>
              <w:pStyle w:val="MDPI42tablebody"/>
              <w:jc w:val="left"/>
            </w:pPr>
            <w:r>
              <w:rPr>
                <w:sz w:val="16"/>
              </w:rPr>
              <w:t>Unverifiable fields were recorded as NR in data extraction. Archived report-level domain judgments are summarized in Table S7; the original item-level PROBAST+AI responses were not retained.</w:t>
            </w:r>
          </w:p>
        </w:tc>
      </w:tr>
      <w:tr>
        <w:tc>
          <w:tcPr>
            <w:tcW w:type="dxa" w:w="1823"/>
          </w:tcPr>
          <w:p>
            <w:pPr>
              <w:pStyle w:val="MDPI42tablebody"/>
              <w:jc w:val="left"/>
            </w:pPr>
            <w:r>
              <w:rPr>
                <w:sz w:val="16"/>
              </w:rPr>
              <w:t>Giardini et al. 2025 [17]</w:t>
            </w:r>
          </w:p>
        </w:tc>
        <w:tc>
          <w:tcPr>
            <w:tcW w:type="dxa" w:w="2533"/>
          </w:tcPr>
          <w:p>
            <w:pPr>
              <w:pStyle w:val="MDPI42tablebody"/>
              <w:jc w:val="left"/>
            </w:pPr>
            <w:r>
              <w:rPr>
                <w:sz w:val="16"/>
              </w:rPr>
              <w:t>https://doi.org/10.1016/j.gaitpost.2025.08.074</w:t>
            </w:r>
          </w:p>
        </w:tc>
        <w:tc>
          <w:tcPr>
            <w:tcW w:type="dxa" w:w="2026"/>
          </w:tcPr>
          <w:p>
            <w:pPr>
              <w:pStyle w:val="MDPI42tablebody"/>
              <w:jc w:val="left"/>
            </w:pPr>
            <w:r>
              <w:rPr>
                <w:sz w:val="16"/>
              </w:rPr>
              <w:t>Abstract (indexed bibliographic record and publisher abstract page)</w:t>
            </w:r>
          </w:p>
        </w:tc>
        <w:tc>
          <w:tcPr>
            <w:tcW w:type="dxa" w:w="2229"/>
          </w:tcPr>
          <w:p>
            <w:pPr>
              <w:pStyle w:val="MDPI42tablebody"/>
              <w:jc w:val="left"/>
            </w:pPr>
            <w:r>
              <w:rPr>
                <w:sz w:val="16"/>
              </w:rPr>
              <w:t>Publisher website; institutional subscriptions; open-access and institutional repositories</w:t>
            </w:r>
          </w:p>
        </w:tc>
        <w:tc>
          <w:tcPr>
            <w:tcW w:type="dxa" w:w="3850"/>
          </w:tcPr>
          <w:p>
            <w:pPr>
              <w:pStyle w:val="MDPI42tablebody"/>
              <w:jc w:val="left"/>
            </w:pPr>
            <w:r>
              <w:rPr>
                <w:sz w:val="16"/>
              </w:rPr>
              <w:t>Exact analysed sample and faller count; reduction of about 100 candidate variables; coefficients; missing data; validation and calibration.</w:t>
            </w:r>
          </w:p>
        </w:tc>
        <w:tc>
          <w:tcPr>
            <w:tcW w:type="dxa" w:w="2937"/>
          </w:tcPr>
          <w:p>
            <w:pPr>
              <w:pStyle w:val="MDPI42tablebody"/>
              <w:jc w:val="left"/>
            </w:pPr>
            <w:r>
              <w:rPr>
                <w:sz w:val="16"/>
              </w:rPr>
              <w:t>Unverifiable fields were recorded as NR in data extraction. Archived report-level domain judgments are summarized in Table S7; the original item-level PROBAST+AI responses were not retained. A related conference abstract was not used as a substitute.</w:t>
            </w:r>
          </w:p>
        </w:tc>
      </w:tr>
      <w:tr>
        <w:tc>
          <w:tcPr>
            <w:tcW w:type="dxa" w:w="1823"/>
          </w:tcPr>
          <w:p>
            <w:pPr>
              <w:pStyle w:val="MDPI42tablebody"/>
              <w:jc w:val="left"/>
            </w:pPr>
            <w:r>
              <w:rPr>
                <w:sz w:val="16"/>
              </w:rPr>
              <w:t>Suffoletto et al. 2026 [15]</w:t>
            </w:r>
          </w:p>
        </w:tc>
        <w:tc>
          <w:tcPr>
            <w:tcW w:type="dxa" w:w="2533"/>
          </w:tcPr>
          <w:p>
            <w:pPr>
              <w:pStyle w:val="MDPI42tablebody"/>
              <w:jc w:val="left"/>
            </w:pPr>
            <w:r>
              <w:rPr>
                <w:sz w:val="16"/>
              </w:rPr>
              <w:t>https://doi.org/10.1111/acem.70259</w:t>
            </w:r>
          </w:p>
        </w:tc>
        <w:tc>
          <w:tcPr>
            <w:tcW w:type="dxa" w:w="2026"/>
          </w:tcPr>
          <w:p>
            <w:pPr>
              <w:pStyle w:val="MDPI42tablebody"/>
              <w:jc w:val="left"/>
            </w:pPr>
            <w:r>
              <w:rPr>
                <w:sz w:val="16"/>
              </w:rPr>
              <w:t>Abstract (indexed bibliographic record and publisher abstract page)</w:t>
            </w:r>
          </w:p>
        </w:tc>
        <w:tc>
          <w:tcPr>
            <w:tcW w:type="dxa" w:w="2229"/>
          </w:tcPr>
          <w:p>
            <w:pPr>
              <w:pStyle w:val="MDPI42tablebody"/>
              <w:jc w:val="left"/>
            </w:pPr>
            <w:r>
              <w:rPr>
                <w:sz w:val="16"/>
              </w:rPr>
              <w:t>Publisher website; institutional subscriptions; open-access and institutional repositories</w:t>
            </w:r>
          </w:p>
        </w:tc>
        <w:tc>
          <w:tcPr>
            <w:tcW w:type="dxa" w:w="3850"/>
          </w:tcPr>
          <w:p>
            <w:pPr>
              <w:pStyle w:val="MDPI42tablebody"/>
              <w:jc w:val="left"/>
            </w:pPr>
            <w:r>
              <w:rPr>
                <w:sz w:val="16"/>
              </w:rPr>
              <w:t>Sensor placement and acquisition; complete clinical and combined models; missing data; threshold specification; optimism correction; calibration.</w:t>
            </w:r>
          </w:p>
        </w:tc>
        <w:tc>
          <w:tcPr>
            <w:tcW w:type="dxa" w:w="2937"/>
          </w:tcPr>
          <w:p>
            <w:pPr>
              <w:pStyle w:val="MDPI42tablebody"/>
              <w:jc w:val="left"/>
            </w:pPr>
            <w:r>
              <w:rPr>
                <w:sz w:val="16"/>
              </w:rPr>
              <w:t>Unverifiable fields were recorded as NR in data extraction. Archived report-level domain judgments are summarized in Table S7; the original item-level PROBAST+AI responses were not retained.</w:t>
            </w:r>
          </w:p>
        </w:tc>
      </w:tr>
    </w:tbl>
    <w:p>
      <w:pPr>
        <w:pStyle w:val="MDPI32textnoindent"/>
        <w:spacing w:before="60" w:after="160"/>
        <w:ind w:left="0" w:firstLine="0"/>
      </w:pPr>
      <w:r>
        <w:t>These 10 included reports are distinct from the 11 reports that could not be retrieved in any form sufficient to judge eligibility and were therefore not assessed (Figure 1). For each report above, the indexed/publisher abstract confirmed completion of gait measurement before the fall-outcome window and individualized model performance. Excluding these reports did not materially change the performance summaries (Table 3 of the main article) or the archived report-level domain judgments.</w:t>
      </w:r>
    </w:p>
    <w:p>
      <w:pPr>
        <w:pStyle w:val="MDPI32textnoindent"/>
        <w:keepNext/>
        <w:spacing w:before="200" w:after="80"/>
        <w:ind w:left="0" w:firstLine="0"/>
      </w:pPr>
      <w:r>
        <w:rPr>
          <w:b/>
          <w:sz w:val="20"/>
        </w:rPr>
        <w:t>Table S4. Excluded reports that might appear eligible, with reasons</w:t>
      </w:r>
    </w:p>
    <w:p>
      <w:pPr>
        <w:pStyle w:val="MDPI32textnoindent"/>
        <w:keepNext/>
        <w:spacing w:before="0" w:after="80"/>
        <w:ind w:left="0" w:firstLine="0"/>
      </w:pPr>
      <w:r>
        <w:rPr>
          <w:sz w:val="18"/>
        </w:rPr>
        <w:t>Principal reasons for the 294 reports excluded after eligibility assessment: no prospective fall outcome or no valid temporal separation, 99; fall detection or event recognition, 53; no individualized prediction-model performance, 44; no sensor-derived gait predictor, 35; age criterion not met, 27; ineligible publication type, 20; simulated or synthetic fall data, 10; duplicate report, 6. The reports below are those that might reasonably appear to meet the eligibility criteria.</w:t>
      </w:r>
    </w:p>
    <w:p>
      <w:pPr>
        <w:pStyle w:val="MDPI32textnoindent"/>
        <w:spacing w:before="200" w:after="80"/>
        <w:ind w:left="0" w:firstLine="0"/>
      </w:pPr>
    </w:p>
    <w:tbl>
      <w:tblPr>
        <w:tblStyle w:val="MDPI41threelinetable"/>
        <w:tblW w:type="dxa" w:w="15398"/>
        <w:tblLook w:firstColumn="1" w:firstRow="1" w:lastColumn="0" w:lastRow="0" w:noHBand="0" w:noVBand="1" w:val="04A0"/>
        <w:tblLayout w:type="fixed"/>
      </w:tblPr>
      <w:tblGrid>
        <w:gridCol w:w="7027"/>
        <w:gridCol w:w="2377"/>
        <w:gridCol w:w="5994"/>
      </w:tblGrid>
      <w:tr>
        <w:trPr>
          <w:tblHeader/>
        </w:trPr>
        <w:tc>
          <w:tcPr>
            <w:tcW w:type="dxa" w:w="7027"/>
          </w:tcPr>
          <w:p>
            <w:pPr>
              <w:pStyle w:val="MDPI42tablebody"/>
              <w:jc w:val="left"/>
            </w:pPr>
            <w:r>
              <w:rPr>
                <w:b/>
                <w:sz w:val="16"/>
              </w:rPr>
              <w:t>Report</w:t>
            </w:r>
          </w:p>
        </w:tc>
        <w:tc>
          <w:tcPr>
            <w:tcW w:type="dxa" w:w="2377"/>
          </w:tcPr>
          <w:p>
            <w:pPr>
              <w:pStyle w:val="MDPI42tablebody"/>
              <w:jc w:val="left"/>
            </w:pPr>
            <w:r>
              <w:rPr>
                <w:b/>
                <w:sz w:val="16"/>
              </w:rPr>
              <w:t>DOI</w:t>
            </w:r>
          </w:p>
        </w:tc>
        <w:tc>
          <w:tcPr>
            <w:tcW w:type="dxa" w:w="5994"/>
          </w:tcPr>
          <w:p>
            <w:pPr>
              <w:pStyle w:val="MDPI42tablebody"/>
              <w:jc w:val="left"/>
            </w:pPr>
            <w:r>
              <w:rPr>
                <w:b/>
                <w:sz w:val="16"/>
              </w:rPr>
              <w:t>Principal exclusion reason</w:t>
            </w:r>
          </w:p>
        </w:tc>
      </w:tr>
      <w:tr>
        <w:tc>
          <w:tcPr>
            <w:tcW w:type="dxa" w:w="7027"/>
          </w:tcPr>
          <w:p>
            <w:pPr>
              <w:pStyle w:val="MDPI42tablebody"/>
              <w:jc w:val="left"/>
            </w:pPr>
            <w:r>
              <w:rPr>
                <w:sz w:val="16"/>
              </w:rPr>
              <w:t>Davey, N.; Harte, G.; Boran, A.; Pierpoint, R.; Gallagher, C.; Mc Elwaine, P.; Kennelly, S.P. Gait speed as a predictor of fall risk: An AI-based, risk-stratified study in specialist falls-clinic and community-dwelling older adults. Age Ageing 2025, 54 (Suppl. 4), afaf318.032.</w:t>
            </w:r>
          </w:p>
        </w:tc>
        <w:tc>
          <w:tcPr>
            <w:tcW w:type="dxa" w:w="2377"/>
          </w:tcPr>
          <w:p>
            <w:pPr>
              <w:pStyle w:val="MDPI42tablebody"/>
              <w:jc w:val="left"/>
            </w:pPr>
            <w:r>
              <w:rPr>
                <w:sz w:val="16"/>
              </w:rPr>
              <w:t>10.1093/ageing/afaf318.032</w:t>
            </w:r>
          </w:p>
        </w:tc>
        <w:tc>
          <w:tcPr>
            <w:tcW w:type="dxa" w:w="5994"/>
          </w:tcPr>
          <w:p>
            <w:pPr>
              <w:pStyle w:val="MDPI42tablebody"/>
              <w:jc w:val="left"/>
            </w:pPr>
            <w:r>
              <w:rPr>
                <w:sz w:val="16"/>
              </w:rPr>
              <w:t>Conference abstract without a sufficiently detailed, appraisable peer-reviewed full journal report.</w:t>
            </w:r>
          </w:p>
        </w:tc>
      </w:tr>
      <w:tr>
        <w:tc>
          <w:tcPr>
            <w:tcW w:type="dxa" w:w="7027"/>
          </w:tcPr>
          <w:p>
            <w:pPr>
              <w:pStyle w:val="MDPI42tablebody"/>
              <w:jc w:val="left"/>
            </w:pPr>
            <w:r>
              <w:rPr>
                <w:sz w:val="16"/>
              </w:rPr>
              <w:t>Hewage, K.; Lee, S.; Fosker, S.; Hardcastle, T.; Ali, K. 736 Real-time mobility data from wearable devices predicting falls risk in older adults. Age Ageing 2022, 51 (Suppl. 1), afac035.736.</w:t>
            </w:r>
          </w:p>
        </w:tc>
        <w:tc>
          <w:tcPr>
            <w:tcW w:type="dxa" w:w="2377"/>
          </w:tcPr>
          <w:p>
            <w:pPr>
              <w:pStyle w:val="MDPI42tablebody"/>
              <w:jc w:val="left"/>
            </w:pPr>
            <w:r>
              <w:rPr>
                <w:sz w:val="16"/>
              </w:rPr>
              <w:t>10.1093/ageing/afac035.736</w:t>
            </w:r>
          </w:p>
        </w:tc>
        <w:tc>
          <w:tcPr>
            <w:tcW w:type="dxa" w:w="5994"/>
          </w:tcPr>
          <w:p>
            <w:pPr>
              <w:pStyle w:val="MDPI42tablebody"/>
              <w:jc w:val="left"/>
            </w:pPr>
            <w:r>
              <w:rPr>
                <w:sz w:val="16"/>
              </w:rPr>
              <w:t>Conference abstract without a sufficiently detailed, appraisable peer-reviewed full journal report.</w:t>
            </w:r>
          </w:p>
        </w:tc>
      </w:tr>
      <w:tr>
        <w:tc>
          <w:tcPr>
            <w:tcW w:type="dxa" w:w="7027"/>
          </w:tcPr>
          <w:p>
            <w:pPr>
              <w:pStyle w:val="MDPI42tablebody"/>
              <w:jc w:val="left"/>
            </w:pPr>
            <w:r>
              <w:rPr>
                <w:sz w:val="16"/>
              </w:rPr>
              <w:t>Osaka, H.; Fujita, D.; Kobara, K.; Yoshimura, Y.; Matsumoto, H.; Suehiro, T. 01 Prediction of falls in community-dwelling older people using an accelerometer: The results of a 1-year prospective study. Age Ageing 2019, 48 (Suppl. 4), iv1–iv2.</w:t>
            </w:r>
          </w:p>
        </w:tc>
        <w:tc>
          <w:tcPr>
            <w:tcW w:type="dxa" w:w="2377"/>
          </w:tcPr>
          <w:p>
            <w:pPr>
              <w:pStyle w:val="MDPI42tablebody"/>
              <w:jc w:val="left"/>
            </w:pPr>
            <w:r>
              <w:rPr>
                <w:sz w:val="16"/>
              </w:rPr>
              <w:t>10.1093/ageing/afz164.01</w:t>
            </w:r>
          </w:p>
        </w:tc>
        <w:tc>
          <w:tcPr>
            <w:tcW w:type="dxa" w:w="5994"/>
          </w:tcPr>
          <w:p>
            <w:pPr>
              <w:pStyle w:val="MDPI42tablebody"/>
              <w:jc w:val="left"/>
            </w:pPr>
            <w:r>
              <w:rPr>
                <w:sz w:val="16"/>
              </w:rPr>
              <w:t>Conference abstract without a sufficiently detailed, appraisable peer-reviewed full journal report.</w:t>
            </w:r>
          </w:p>
        </w:tc>
      </w:tr>
      <w:tr>
        <w:tc>
          <w:tcPr>
            <w:tcW w:type="dxa" w:w="7027"/>
          </w:tcPr>
          <w:p>
            <w:pPr>
              <w:pStyle w:val="MDPI42tablebody"/>
              <w:jc w:val="left"/>
            </w:pPr>
            <w:r>
              <w:rPr>
                <w:sz w:val="16"/>
              </w:rPr>
              <w:t>Mohan, D.; Chong, P.H.J.; Gutierrez, J.; Baig, M.M.; Li, H. Deep belief network-based activity of daily living monitoring for fall risk prediction in elderly. IEEE Trans. Emerg. Top. Comput. 2026, 14, 543–556.</w:t>
            </w:r>
          </w:p>
        </w:tc>
        <w:tc>
          <w:tcPr>
            <w:tcW w:type="dxa" w:w="2377"/>
          </w:tcPr>
          <w:p>
            <w:pPr>
              <w:pStyle w:val="MDPI42tablebody"/>
              <w:jc w:val="left"/>
            </w:pPr>
            <w:r>
              <w:rPr>
                <w:sz w:val="16"/>
              </w:rPr>
              <w:t>10.1109/TETC.2026.3686005</w:t>
            </w:r>
          </w:p>
        </w:tc>
        <w:tc>
          <w:tcPr>
            <w:tcW w:type="dxa" w:w="5994"/>
          </w:tcPr>
          <w:p>
            <w:pPr>
              <w:pStyle w:val="MDPI42tablebody"/>
              <w:jc w:val="left"/>
            </w:pPr>
            <w:r>
              <w:rPr>
                <w:sz w:val="16"/>
              </w:rPr>
              <w:t>No prospectively ascertained subsequent-fall outcome with a completed index period; performance used contemporaneous ground-truth risk labels.</w:t>
            </w:r>
          </w:p>
        </w:tc>
      </w:tr>
      <w:tr>
        <w:tc>
          <w:tcPr>
            <w:tcW w:type="dxa" w:w="7027"/>
          </w:tcPr>
          <w:p>
            <w:pPr>
              <w:pStyle w:val="MDPI42tablebody"/>
              <w:jc w:val="left"/>
            </w:pPr>
            <w:r>
              <w:rPr>
                <w:sz w:val="16"/>
              </w:rPr>
              <w:t>Choi, Y.; Jeong, J.; Lee, H.; Lee, H.J.; Han, J.W.; Kim, K.W. Neural control of anticipatory braking and lateral balance predicts fall risk in older adults: BMI-dependent mechanisms. Front. Aging Neurosci. 2026, 17, 1699584.</w:t>
            </w:r>
          </w:p>
        </w:tc>
        <w:tc>
          <w:tcPr>
            <w:tcW w:type="dxa" w:w="2377"/>
          </w:tcPr>
          <w:p>
            <w:pPr>
              <w:pStyle w:val="MDPI42tablebody"/>
              <w:jc w:val="left"/>
            </w:pPr>
            <w:r>
              <w:rPr>
                <w:sz w:val="16"/>
              </w:rPr>
              <w:t>10.3389/fnagi.2025.1699584</w:t>
            </w:r>
          </w:p>
        </w:tc>
        <w:tc>
          <w:tcPr>
            <w:tcW w:type="dxa" w:w="5994"/>
          </w:tcPr>
          <w:p>
            <w:pPr>
              <w:pStyle w:val="MDPI42tablebody"/>
              <w:jc w:val="left"/>
            </w:pPr>
            <w:r>
              <w:rPr>
                <w:sz w:val="16"/>
              </w:rPr>
              <w:t>Reported adjusted associations and odds ratios but no eligible individualized discrimination, calibration, or threshold-performance estimate.</w:t>
            </w:r>
          </w:p>
        </w:tc>
      </w:tr>
      <w:tr>
        <w:tc>
          <w:tcPr>
            <w:tcW w:type="dxa" w:w="7027"/>
          </w:tcPr>
          <w:p>
            <w:pPr>
              <w:pStyle w:val="MDPI42tablebody"/>
              <w:jc w:val="left"/>
            </w:pPr>
            <w:r>
              <w:rPr>
                <w:sz w:val="16"/>
              </w:rPr>
              <w:t>Lam, W.W.T.; Ang, W.T.; Fong, K.N.K. Prediction for prospective falls via gait evaluation using mobile devices for stroke survivors: A markerless motion analysis study. Clin. Rehabil. 2026, 40, 959–971.</w:t>
            </w:r>
          </w:p>
        </w:tc>
        <w:tc>
          <w:tcPr>
            <w:tcW w:type="dxa" w:w="2377"/>
          </w:tcPr>
          <w:p>
            <w:pPr>
              <w:pStyle w:val="MDPI42tablebody"/>
              <w:jc w:val="left"/>
            </w:pPr>
            <w:r>
              <w:rPr>
                <w:sz w:val="16"/>
              </w:rPr>
              <w:t>10.1177/02692155251414356</w:t>
            </w:r>
          </w:p>
        </w:tc>
        <w:tc>
          <w:tcPr>
            <w:tcW w:type="dxa" w:w="5994"/>
          </w:tcPr>
          <w:p>
            <w:pPr>
              <w:pStyle w:val="MDPI42tablebody"/>
              <w:jc w:val="left"/>
            </w:pPr>
            <w:r>
              <w:rPr>
                <w:sz w:val="16"/>
              </w:rPr>
              <w:t>The stroke cohort did not satisfy the review's defined older-adult age criterion, and eligible older-adult model results were not separately extractable.</w:t>
            </w:r>
          </w:p>
        </w:tc>
      </w:tr>
      <w:tr>
        <w:tc>
          <w:tcPr>
            <w:tcW w:type="dxa" w:w="7027"/>
          </w:tcPr>
          <w:p>
            <w:pPr>
              <w:pStyle w:val="MDPI42tablebody"/>
              <w:jc w:val="left"/>
            </w:pPr>
            <w:r>
              <w:rPr>
                <w:sz w:val="16"/>
              </w:rPr>
              <w:t>Feld, L.; Hackbarth, M.; Himmelmann, L.; Speckmann, E.-M.; Koschate-Storm, J.; Stuckenschneider, T.; Zieschang, T. Quantifying reactive dynamic balance in older adults: An exploratory lag-plot-based approach towards fall risk estimation. Gerontology 2026, advance online publication.</w:t>
            </w:r>
          </w:p>
        </w:tc>
        <w:tc>
          <w:tcPr>
            <w:tcW w:type="dxa" w:w="2377"/>
          </w:tcPr>
          <w:p>
            <w:pPr>
              <w:pStyle w:val="MDPI42tablebody"/>
              <w:jc w:val="left"/>
            </w:pPr>
            <w:r>
              <w:rPr>
                <w:sz w:val="16"/>
              </w:rPr>
              <w:t>10.1159/000551583</w:t>
            </w:r>
          </w:p>
        </w:tc>
        <w:tc>
          <w:tcPr>
            <w:tcW w:type="dxa" w:w="5994"/>
          </w:tcPr>
          <w:p>
            <w:pPr>
              <w:pStyle w:val="MDPI42tablebody"/>
              <w:jc w:val="left"/>
            </w:pPr>
            <w:r>
              <w:rPr>
                <w:sz w:val="16"/>
              </w:rPr>
              <w:t>Reported exploratory regression associations, odds ratios, and pseudo-R², but no eligible individualized discrimination, calibration, or threshold-performance estimate.</w:t>
            </w:r>
          </w:p>
        </w:tc>
      </w:tr>
      <w:tr>
        <w:tc>
          <w:tcPr>
            <w:tcW w:type="dxa" w:w="7027"/>
          </w:tcPr>
          <w:p>
            <w:pPr>
              <w:pStyle w:val="MDPI42tablebody"/>
              <w:jc w:val="left"/>
            </w:pPr>
            <w:r>
              <w:rPr>
                <w:sz w:val="16"/>
              </w:rPr>
              <w:t>Suffoletto, B.; Kim, D.; Toth, C.; Mayer, W.; Ashenburg, N.; Lin, M.; Losak, M. Development of a model predicting falls in older emergency department patients using smartphone-based mobility measures. J. Am. Geriatr. Soc. 2025, 73, 791–801.</w:t>
            </w:r>
          </w:p>
        </w:tc>
        <w:tc>
          <w:tcPr>
            <w:tcW w:type="dxa" w:w="2377"/>
          </w:tcPr>
          <w:p>
            <w:pPr>
              <w:pStyle w:val="MDPI42tablebody"/>
              <w:jc w:val="left"/>
            </w:pPr>
            <w:r>
              <w:rPr>
                <w:sz w:val="16"/>
              </w:rPr>
              <w:t>10.1111/jgs.19303</w:t>
            </w:r>
          </w:p>
        </w:tc>
        <w:tc>
          <w:tcPr>
            <w:tcW w:type="dxa" w:w="5994"/>
          </w:tcPr>
          <w:p>
            <w:pPr>
              <w:pStyle w:val="MDPI42tablebody"/>
              <w:jc w:val="left"/>
            </w:pPr>
            <w:r>
              <w:rPr>
                <w:sz w:val="16"/>
              </w:rPr>
              <w:t>Smartphone predictors, including longitudinal change measures, were collected during the same 90-day interval in which falls were ascertained; the index window was not completed before outcome follow-up.</w:t>
            </w:r>
          </w:p>
        </w:tc>
      </w:tr>
      <w:tr>
        <w:tc>
          <w:tcPr>
            <w:tcW w:type="dxa" w:w="7027"/>
          </w:tcPr>
          <w:p>
            <w:pPr>
              <w:pStyle w:val="MDPI42tablebody"/>
              <w:jc w:val="left"/>
            </w:pPr>
            <w:r>
              <w:rPr>
                <w:sz w:val="16"/>
              </w:rPr>
              <w:t>Sun, C.-Y.; Hsu, L.-C.; Su, C.-C.; Li, C.-Y.; Chao, C.-T.; Chang, Y.-T.; Chang, C.-M.; Wang, W.-F.; Lien, W.-C. Gait abnormalities and longitudinal fall risk in older patients with end-stage kidney disease and sarcopenia. BMC Geriatr. 2024, 24, 937.</w:t>
            </w:r>
          </w:p>
        </w:tc>
        <w:tc>
          <w:tcPr>
            <w:tcW w:type="dxa" w:w="2377"/>
          </w:tcPr>
          <w:p>
            <w:pPr>
              <w:pStyle w:val="MDPI42tablebody"/>
              <w:jc w:val="left"/>
            </w:pPr>
            <w:r>
              <w:rPr>
                <w:sz w:val="16"/>
              </w:rPr>
              <w:t>10.1186/s12877-024-05506-z</w:t>
            </w:r>
          </w:p>
        </w:tc>
        <w:tc>
          <w:tcPr>
            <w:tcW w:type="dxa" w:w="5994"/>
          </w:tcPr>
          <w:p>
            <w:pPr>
              <w:pStyle w:val="MDPI42tablebody"/>
              <w:jc w:val="left"/>
            </w:pPr>
            <w:r>
              <w:rPr>
                <w:sz w:val="16"/>
              </w:rPr>
              <w:t>Examined associations between baseline gait markers and injurious falls but did not report an eligible individualized prediction-model performance measure.</w:t>
            </w:r>
          </w:p>
        </w:tc>
      </w:tr>
      <w:tr>
        <w:tc>
          <w:tcPr>
            <w:tcW w:type="dxa" w:w="7027"/>
          </w:tcPr>
          <w:p>
            <w:pPr>
              <w:pStyle w:val="MDPI42tablebody"/>
              <w:jc w:val="left"/>
            </w:pPr>
            <w:r>
              <w:rPr>
                <w:sz w:val="16"/>
              </w:rPr>
              <w:t>Zhang, K.; Liu, W.; Zhang, J.; Li, Z.; Liu, J. A fall risk assessment model for community-dwelling elderly individuals based on gait parameters. IEEE Access 2023, 11, 120857–120867.</w:t>
            </w:r>
          </w:p>
        </w:tc>
        <w:tc>
          <w:tcPr>
            <w:tcW w:type="dxa" w:w="2377"/>
          </w:tcPr>
          <w:p>
            <w:pPr>
              <w:pStyle w:val="MDPI42tablebody"/>
              <w:jc w:val="left"/>
            </w:pPr>
            <w:r>
              <w:rPr>
                <w:sz w:val="16"/>
              </w:rPr>
              <w:t>10.1109/ACCESS.2023.3327091</w:t>
            </w:r>
          </w:p>
        </w:tc>
        <w:tc>
          <w:tcPr>
            <w:tcW w:type="dxa" w:w="5994"/>
          </w:tcPr>
          <w:p>
            <w:pPr>
              <w:pStyle w:val="MDPI42tablebody"/>
              <w:jc w:val="left"/>
            </w:pPr>
            <w:r>
              <w:rPr>
                <w:sz w:val="16"/>
              </w:rPr>
              <w:t>The classification target was fall-risk status based principally on previous fall history rather than falls occurring after completion of the gait assessment.</w:t>
            </w:r>
          </w:p>
        </w:tc>
      </w:tr>
      <w:tr>
        <w:tc>
          <w:tcPr>
            <w:tcW w:type="dxa" w:w="7027"/>
          </w:tcPr>
          <w:p>
            <w:pPr>
              <w:pStyle w:val="MDPI42tablebody"/>
              <w:jc w:val="left"/>
            </w:pPr>
            <w:r>
              <w:rPr>
                <w:sz w:val="16"/>
              </w:rPr>
              <w:t>Nouriani, A.; Jonason, A.; Sabal, L.T.; Hanson, J.T.; Jean, J.N.; Lisko, T.; Reid, E.; Moua, Y.; Rozeboom, S.; Neverman, K.; et al. Real world validation of activity recognition algorithm and development of novel behavioral biomarkers of falls in aged control and movement disorder patients. Front. Aging Neurosci. 2023, 15, 1117802.</w:t>
            </w:r>
          </w:p>
        </w:tc>
        <w:tc>
          <w:tcPr>
            <w:tcW w:type="dxa" w:w="2377"/>
          </w:tcPr>
          <w:p>
            <w:pPr>
              <w:pStyle w:val="MDPI42tablebody"/>
              <w:jc w:val="left"/>
            </w:pPr>
            <w:r>
              <w:rPr>
                <w:sz w:val="16"/>
              </w:rPr>
              <w:t>10.3389/fnagi.2023.1117802</w:t>
            </w:r>
          </w:p>
        </w:tc>
        <w:tc>
          <w:tcPr>
            <w:tcW w:type="dxa" w:w="5994"/>
          </w:tcPr>
          <w:p>
            <w:pPr>
              <w:pStyle w:val="MDPI42tablebody"/>
              <w:jc w:val="left"/>
            </w:pPr>
            <w:r>
              <w:rPr>
                <w:sz w:val="16"/>
              </w:rPr>
              <w:t>The prospective model used activity/behavioral measures but did not include an eligible gait-derived predictor.</w:t>
            </w:r>
          </w:p>
        </w:tc>
      </w:tr>
      <w:tr>
        <w:tc>
          <w:tcPr>
            <w:tcW w:type="dxa" w:w="7027"/>
          </w:tcPr>
          <w:p>
            <w:pPr>
              <w:pStyle w:val="MDPI42tablebody"/>
              <w:jc w:val="left"/>
            </w:pPr>
            <w:r>
              <w:rPr>
                <w:sz w:val="16"/>
              </w:rPr>
              <w:t>Shimada, H.; Lee, S.; Doi, T.; Takayanagi, N.; Sudo, M.; Yamashiro, Y.; Niki, Y.; Arai, H. Community walking speed as a new predictor of disability incidence in older adults: A prospective cohort study. Gerontology 2026, 72, 279–288.</w:t>
            </w:r>
          </w:p>
        </w:tc>
        <w:tc>
          <w:tcPr>
            <w:tcW w:type="dxa" w:w="2377"/>
          </w:tcPr>
          <w:p>
            <w:pPr>
              <w:pStyle w:val="MDPI42tablebody"/>
              <w:jc w:val="left"/>
            </w:pPr>
            <w:r>
              <w:rPr>
                <w:sz w:val="16"/>
              </w:rPr>
              <w:t>10.1159/000550778</w:t>
            </w:r>
          </w:p>
        </w:tc>
        <w:tc>
          <w:tcPr>
            <w:tcW w:type="dxa" w:w="5994"/>
          </w:tcPr>
          <w:p>
            <w:pPr>
              <w:pStyle w:val="MDPI42tablebody"/>
              <w:jc w:val="left"/>
            </w:pPr>
            <w:r>
              <w:rPr>
                <w:sz w:val="16"/>
              </w:rPr>
              <w:t>The modeled outcome was incident disability, not a subsequent fall.</w:t>
            </w:r>
          </w:p>
        </w:tc>
      </w:tr>
      <w:tr>
        <w:tc>
          <w:tcPr>
            <w:tcW w:type="dxa" w:w="7027"/>
          </w:tcPr>
          <w:p>
            <w:pPr>
              <w:pStyle w:val="MDPI42tablebody"/>
              <w:jc w:val="left"/>
            </w:pPr>
            <w:r>
              <w:rPr>
                <w:sz w:val="16"/>
              </w:rPr>
              <w:t>Takayanagi, N.; Sudo, M.; Yamashiro, Y.; Chiba, I.; Lee, S.; Niki, Y.; Shimada, H. Predictivity of daily gait speed using tri-axial accelerometers for two-year incident disability among Japanese older adults. Sci. Rep. 2022, 12, 10067.</w:t>
            </w:r>
          </w:p>
        </w:tc>
        <w:tc>
          <w:tcPr>
            <w:tcW w:type="dxa" w:w="2377"/>
          </w:tcPr>
          <w:p>
            <w:pPr>
              <w:pStyle w:val="MDPI42tablebody"/>
              <w:jc w:val="left"/>
            </w:pPr>
            <w:r>
              <w:rPr>
                <w:sz w:val="16"/>
              </w:rPr>
              <w:t>10.1038/s41598-022-14304-9</w:t>
            </w:r>
          </w:p>
        </w:tc>
        <w:tc>
          <w:tcPr>
            <w:tcW w:type="dxa" w:w="5994"/>
          </w:tcPr>
          <w:p>
            <w:pPr>
              <w:pStyle w:val="MDPI42tablebody"/>
              <w:jc w:val="left"/>
            </w:pPr>
            <w:r>
              <w:rPr>
                <w:sz w:val="16"/>
              </w:rPr>
              <w:t>The modeled outcome was incident disability, not a subsequent fall.</w:t>
            </w:r>
          </w:p>
        </w:tc>
      </w:tr>
      <w:tr>
        <w:tc>
          <w:tcPr>
            <w:tcW w:type="dxa" w:w="7027"/>
          </w:tcPr>
          <w:p>
            <w:pPr>
              <w:pStyle w:val="MDPI42tablebody"/>
              <w:jc w:val="left"/>
            </w:pPr>
            <w:r>
              <w:rPr>
                <w:sz w:val="16"/>
              </w:rPr>
              <w:t>Buchman, A.S.; Dawe, R.J.; Leurgans, S.E.; Curran, T.A.; Truty, T.; Yu, L.; Barnes, L.L.; Hausdorff, J.M.; Bennett, D.A. Different combinations of mobility metrics derived from a wearable sensor are associated with distinct health outcomes in older adults. J. Gerontol. A Biol. Sci. Med. Sci. 2020, 75, 1176–1183.</w:t>
            </w:r>
          </w:p>
        </w:tc>
        <w:tc>
          <w:tcPr>
            <w:tcW w:type="dxa" w:w="2377"/>
          </w:tcPr>
          <w:p>
            <w:pPr>
              <w:pStyle w:val="MDPI42tablebody"/>
              <w:jc w:val="left"/>
            </w:pPr>
            <w:r>
              <w:rPr>
                <w:sz w:val="16"/>
              </w:rPr>
              <w:t>10.1093/gerona/glz160</w:t>
            </w:r>
          </w:p>
        </w:tc>
        <w:tc>
          <w:tcPr>
            <w:tcW w:type="dxa" w:w="5994"/>
          </w:tcPr>
          <w:p>
            <w:pPr>
              <w:pStyle w:val="MDPI42tablebody"/>
              <w:jc w:val="left"/>
            </w:pPr>
            <w:r>
              <w:rPr>
                <w:sz w:val="16"/>
              </w:rPr>
              <w:t>Outcomes were disability, cognitive decline, hospitalization, and mortality; subsequent falls were not modeled.</w:t>
            </w:r>
          </w:p>
        </w:tc>
      </w:tr>
      <w:tr>
        <w:tc>
          <w:tcPr>
            <w:tcW w:type="dxa" w:w="7027"/>
          </w:tcPr>
          <w:p>
            <w:pPr>
              <w:pStyle w:val="MDPI42tablebody"/>
              <w:jc w:val="left"/>
            </w:pPr>
            <w:r>
              <w:rPr>
                <w:sz w:val="16"/>
              </w:rPr>
              <w:t>Bower, K.; Thilarajah, S.; Pua, Y.-H.; Williams, G.; Tan, D.; Mentiplay, B.; Denehy, L.; Clark, R. Dynamic balance and instrumented gait variables are independent predictors of falls following stroke. J. Neuroeng. Rehabil. 2019, 16, 3.</w:t>
            </w:r>
          </w:p>
        </w:tc>
        <w:tc>
          <w:tcPr>
            <w:tcW w:type="dxa" w:w="2377"/>
          </w:tcPr>
          <w:p>
            <w:pPr>
              <w:pStyle w:val="MDPI42tablebody"/>
              <w:jc w:val="left"/>
            </w:pPr>
            <w:r>
              <w:rPr>
                <w:sz w:val="16"/>
              </w:rPr>
              <w:t>10.1186/s12984-018-0478-4</w:t>
            </w:r>
          </w:p>
        </w:tc>
        <w:tc>
          <w:tcPr>
            <w:tcW w:type="dxa" w:w="5994"/>
          </w:tcPr>
          <w:p>
            <w:pPr>
              <w:pStyle w:val="MDPI42tablebody"/>
              <w:jc w:val="left"/>
            </w:pPr>
            <w:r>
              <w:rPr>
                <w:sz w:val="16"/>
              </w:rPr>
              <w:t>Reported adjusted prognostic-factor associations and odds ratios but no eligible individualized discrimination, calibration, or threshold-performance estimate.</w:t>
            </w:r>
          </w:p>
        </w:tc>
      </w:tr>
      <w:tr>
        <w:tc>
          <w:tcPr>
            <w:tcW w:type="dxa" w:w="7027"/>
          </w:tcPr>
          <w:p>
            <w:pPr>
              <w:pStyle w:val="MDPI42tablebody"/>
              <w:jc w:val="left"/>
            </w:pPr>
            <w:r>
              <w:rPr>
                <w:sz w:val="16"/>
              </w:rPr>
              <w:t>Quicksall, Z.S. Accelerometer-based analysis of gait and prediction of fall risk in older adults. M.S. Thesis, University of Illinois at Urbana–Champaign, Urbana, IL, USA, 2018. Available online: https://hdl.handle.net/2142/102899.</w:t>
            </w:r>
          </w:p>
        </w:tc>
        <w:tc>
          <w:tcPr>
            <w:tcW w:type="dxa" w:w="2377"/>
          </w:tcPr>
          <w:p>
            <w:pPr>
              <w:pStyle w:val="MDPI42tablebody"/>
              <w:jc w:val="left"/>
            </w:pPr>
            <w:r>
              <w:rPr>
                <w:sz w:val="16"/>
              </w:rPr>
              <w:t>No DOI</w:t>
            </w:r>
          </w:p>
        </w:tc>
        <w:tc>
          <w:tcPr>
            <w:tcW w:type="dxa" w:w="5994"/>
          </w:tcPr>
          <w:p>
            <w:pPr>
              <w:pStyle w:val="MDPI42tablebody"/>
              <w:jc w:val="left"/>
            </w:pPr>
            <w:r>
              <w:rPr>
                <w:sz w:val="16"/>
              </w:rPr>
              <w:t>Master’s thesis; did not meet the review's defined peer-reviewed journal-report criterion.</w:t>
            </w:r>
          </w:p>
        </w:tc>
      </w:tr>
      <w:tr>
        <w:tc>
          <w:tcPr>
            <w:tcW w:type="dxa" w:w="7027"/>
          </w:tcPr>
          <w:p>
            <w:pPr>
              <w:pStyle w:val="MDPI42tablebody"/>
              <w:jc w:val="left"/>
            </w:pPr>
            <w:r>
              <w:rPr>
                <w:sz w:val="16"/>
              </w:rPr>
              <w:t>Similä, H.; Immonen, M.; Ermes, M. Accelerometry-based assessment and detection of early signs of balance deficits. Comput. Biol. Med. 2017, 85, 25–32.</w:t>
            </w:r>
          </w:p>
        </w:tc>
        <w:tc>
          <w:tcPr>
            <w:tcW w:type="dxa" w:w="2377"/>
          </w:tcPr>
          <w:p>
            <w:pPr>
              <w:pStyle w:val="MDPI42tablebody"/>
              <w:jc w:val="left"/>
            </w:pPr>
            <w:r>
              <w:rPr>
                <w:sz w:val="16"/>
              </w:rPr>
              <w:t>10.1016/j.compbiomed.2017.04.009</w:t>
            </w:r>
          </w:p>
        </w:tc>
        <w:tc>
          <w:tcPr>
            <w:tcW w:type="dxa" w:w="5994"/>
          </w:tcPr>
          <w:p>
            <w:pPr>
              <w:pStyle w:val="MDPI42tablebody"/>
              <w:jc w:val="left"/>
            </w:pPr>
            <w:r>
              <w:rPr>
                <w:sz w:val="16"/>
              </w:rPr>
              <w:t>The target was deterioration in a balance assessment score rather than an actual subsequent fall.</w:t>
            </w:r>
          </w:p>
        </w:tc>
      </w:tr>
      <w:tr>
        <w:tc>
          <w:tcPr>
            <w:tcW w:type="dxa" w:w="7027"/>
          </w:tcPr>
          <w:p>
            <w:pPr>
              <w:pStyle w:val="MDPI42tablebody"/>
              <w:jc w:val="left"/>
            </w:pPr>
            <w:r>
              <w:rPr>
                <w:sz w:val="16"/>
              </w:rPr>
              <w:t>Mohler, M.J.; Wendel, C.S.; Taylor-Piliae, R.E.; Toosizadeh, N.; Najafi, B. Motor performance and physical activity as predictors of prospective falls in community-dwelling older adults by frailty level: Application of wearable technology. Gerontology 2016, 62, 654–664.</w:t>
            </w:r>
          </w:p>
        </w:tc>
        <w:tc>
          <w:tcPr>
            <w:tcW w:type="dxa" w:w="2377"/>
          </w:tcPr>
          <w:p>
            <w:pPr>
              <w:pStyle w:val="MDPI42tablebody"/>
              <w:jc w:val="left"/>
            </w:pPr>
            <w:r>
              <w:rPr>
                <w:sz w:val="16"/>
              </w:rPr>
              <w:t>10.1159/000445889</w:t>
            </w:r>
          </w:p>
        </w:tc>
        <w:tc>
          <w:tcPr>
            <w:tcW w:type="dxa" w:w="5994"/>
          </w:tcPr>
          <w:p>
            <w:pPr>
              <w:pStyle w:val="MDPI42tablebody"/>
              <w:jc w:val="left"/>
            </w:pPr>
            <w:r>
              <w:rPr>
                <w:sz w:val="16"/>
              </w:rPr>
              <w:t>Although gait was measured, the reported final prognostic models contained balance and physical-activity measures but no gait-derived predictor.</w:t>
            </w:r>
          </w:p>
        </w:tc>
      </w:tr>
      <w:tr>
        <w:tc>
          <w:tcPr>
            <w:tcW w:type="dxa" w:w="7027"/>
          </w:tcPr>
          <w:p>
            <w:pPr>
              <w:pStyle w:val="MDPI42tablebody"/>
              <w:jc w:val="left"/>
            </w:pPr>
            <w:r>
              <w:rPr>
                <w:sz w:val="16"/>
              </w:rPr>
              <w:t>Matsumoto, H.; Makabe, T.; Morita, T.; Ikuhara, K.; Kajigase, A.; Okamoto, Y.; Ashikawa, E.; Kobayashi, E.; Hagino, H. Accelerometry-based gait analysis predicts falls among patients with a recent fracture who are ambulatory: A 1-year prospective study. Int. J. Rehabil. Res. 2015, 38, 131–136.</w:t>
            </w:r>
          </w:p>
        </w:tc>
        <w:tc>
          <w:tcPr>
            <w:tcW w:type="dxa" w:w="2377"/>
          </w:tcPr>
          <w:p>
            <w:pPr>
              <w:pStyle w:val="MDPI42tablebody"/>
              <w:jc w:val="left"/>
            </w:pPr>
            <w:r>
              <w:rPr>
                <w:sz w:val="16"/>
              </w:rPr>
              <w:t>10.1097/MRR.0000000000000099</w:t>
            </w:r>
          </w:p>
        </w:tc>
        <w:tc>
          <w:tcPr>
            <w:tcW w:type="dxa" w:w="5994"/>
          </w:tcPr>
          <w:p>
            <w:pPr>
              <w:pStyle w:val="MDPI42tablebody"/>
              <w:jc w:val="left"/>
            </w:pPr>
            <w:r>
              <w:rPr>
                <w:sz w:val="16"/>
              </w:rPr>
              <w:t>Reported gait-factor group differences and an adjusted association but no eligible individualized discrimination, calibration, or threshold-performance estimate.</w:t>
            </w:r>
          </w:p>
        </w:tc>
      </w:tr>
      <w:tr>
        <w:tc>
          <w:tcPr>
            <w:tcW w:type="dxa" w:w="7027"/>
          </w:tcPr>
          <w:p>
            <w:pPr>
              <w:pStyle w:val="MDPI42tablebody"/>
              <w:jc w:val="left"/>
            </w:pPr>
            <w:r>
              <w:rPr>
                <w:sz w:val="16"/>
              </w:rPr>
              <w:t>Buckinx, F.; Beaudart, C.; Slomian, J.; Maquet, D.; Demonceau, M.; Gillain, S.; Petermans, J.; Reginster, J.-Y.; Bruyère, O. Added value of a triaxial accelerometer assessing gait parameters to predict falls and mortality among nursing home residents: A two-year prospective study. Technol. Health Care 2015, 23, 195–203.</w:t>
            </w:r>
          </w:p>
        </w:tc>
        <w:tc>
          <w:tcPr>
            <w:tcW w:type="dxa" w:w="2377"/>
          </w:tcPr>
          <w:p>
            <w:pPr>
              <w:pStyle w:val="MDPI42tablebody"/>
              <w:jc w:val="left"/>
            </w:pPr>
            <w:r>
              <w:rPr>
                <w:sz w:val="16"/>
              </w:rPr>
              <w:t>10.3233/THC-140883</w:t>
            </w:r>
          </w:p>
        </w:tc>
        <w:tc>
          <w:tcPr>
            <w:tcW w:type="dxa" w:w="5994"/>
          </w:tcPr>
          <w:p>
            <w:pPr>
              <w:pStyle w:val="MDPI42tablebody"/>
              <w:jc w:val="left"/>
            </w:pPr>
            <w:r>
              <w:rPr>
                <w:sz w:val="16"/>
              </w:rPr>
              <w:t>Evaluated gait parameters as prognostic factors but did not report eligible individualized model discrimination, calibration, or threshold performance.</w:t>
            </w:r>
          </w:p>
        </w:tc>
      </w:tr>
      <w:tr>
        <w:tc>
          <w:tcPr>
            <w:tcW w:type="dxa" w:w="7027"/>
          </w:tcPr>
          <w:p>
            <w:pPr>
              <w:pStyle w:val="MDPI42tablebody"/>
              <w:jc w:val="left"/>
            </w:pPr>
            <w:r>
              <w:rPr>
                <w:sz w:val="16"/>
              </w:rPr>
              <w:t>Weiss, A.; Herman, T.; Giladi, N.; Hausdorff, J.M. Objective assessment of fall risk in Parkinson’s disease using a body-fixed sensor worn for 3 days. PLoS ONE 2014, 9, e96675.</w:t>
            </w:r>
          </w:p>
        </w:tc>
        <w:tc>
          <w:tcPr>
            <w:tcW w:type="dxa" w:w="2377"/>
          </w:tcPr>
          <w:p>
            <w:pPr>
              <w:pStyle w:val="MDPI42tablebody"/>
              <w:jc w:val="left"/>
            </w:pPr>
            <w:r>
              <w:rPr>
                <w:sz w:val="16"/>
              </w:rPr>
              <w:t>10.1371/journal.pone.0096675</w:t>
            </w:r>
          </w:p>
        </w:tc>
        <w:tc>
          <w:tcPr>
            <w:tcW w:type="dxa" w:w="5994"/>
          </w:tcPr>
          <w:p>
            <w:pPr>
              <w:pStyle w:val="MDPI42tablebody"/>
              <w:jc w:val="left"/>
            </w:pPr>
            <w:r>
              <w:rPr>
                <w:sz w:val="16"/>
              </w:rPr>
              <w:t>Primarily assessed associations between sensor-derived measures and fall-risk characteristics; no eligible individualized prospective model-performance estimate was reported.</w:t>
            </w:r>
          </w:p>
        </w:tc>
      </w:tr>
      <w:tr>
        <w:tc>
          <w:tcPr>
            <w:tcW w:type="dxa" w:w="7027"/>
          </w:tcPr>
          <w:p>
            <w:pPr>
              <w:pStyle w:val="MDPI42tablebody"/>
              <w:jc w:val="left"/>
            </w:pPr>
            <w:r>
              <w:rPr>
                <w:sz w:val="16"/>
              </w:rPr>
              <w:t>Saadeh, W.; Butt, S.A.; Altaf, M.A.B. A patient-specific single sensor IoT-based wearable fall prediction and detection system. IEEE Trans. Neural Syst. Rehabil. Eng. 2019, 27, 995–1003.</w:t>
            </w:r>
          </w:p>
        </w:tc>
        <w:tc>
          <w:tcPr>
            <w:tcW w:type="dxa" w:w="2377"/>
          </w:tcPr>
          <w:p>
            <w:pPr>
              <w:pStyle w:val="MDPI42tablebody"/>
              <w:jc w:val="left"/>
            </w:pPr>
            <w:r>
              <w:rPr>
                <w:sz w:val="16"/>
              </w:rPr>
              <w:t>10.1109/TNSRE.2019.2911602</w:t>
            </w:r>
          </w:p>
        </w:tc>
        <w:tc>
          <w:tcPr>
            <w:tcW w:type="dxa" w:w="5994"/>
          </w:tcPr>
          <w:p>
            <w:pPr>
              <w:pStyle w:val="MDPI42tablebody"/>
              <w:jc w:val="left"/>
            </w:pPr>
            <w:r>
              <w:rPr>
                <w:sz w:val="16"/>
              </w:rPr>
              <w:t>Addressed imminent pre-impact fall prediction/detection from the ongoing movement episode, not estimation of future-fall risk over a clinical prediction horizon.</w:t>
            </w:r>
          </w:p>
        </w:tc>
      </w:tr>
      <w:tr>
        <w:tc>
          <w:tcPr>
            <w:tcW w:type="dxa" w:w="7027"/>
          </w:tcPr>
          <w:p>
            <w:pPr>
              <w:pStyle w:val="MDPI42tablebody"/>
              <w:jc w:val="left"/>
            </w:pPr>
            <w:r>
              <w:rPr>
                <w:sz w:val="16"/>
              </w:rPr>
              <w:t>Chan, L.L.Y.; Arbona, C.H.; Brodie, M.A.; Lord, S.R. Prediction of injurious falls in older adults using digital gait biomarkers extracted from large-scale wrist sensor data. Age Ageing 2023, 52, afad179.</w:t>
            </w:r>
          </w:p>
        </w:tc>
        <w:tc>
          <w:tcPr>
            <w:tcW w:type="dxa" w:w="2377"/>
          </w:tcPr>
          <w:p>
            <w:pPr>
              <w:pStyle w:val="MDPI42tablebody"/>
              <w:jc w:val="left"/>
            </w:pPr>
            <w:r>
              <w:rPr>
                <w:sz w:val="16"/>
              </w:rPr>
              <w:t>10.1093/ageing/afad179</w:t>
            </w:r>
          </w:p>
        </w:tc>
        <w:tc>
          <w:tcPr>
            <w:tcW w:type="dxa" w:w="5994"/>
          </w:tcPr>
          <w:p>
            <w:pPr>
              <w:pStyle w:val="MDPI42tablebody"/>
              <w:jc w:val="left"/>
            </w:pPr>
            <w:r>
              <w:rPr>
                <w:sz w:val="16"/>
              </w:rPr>
              <w:t>Reported associations and risk stratification but no eligible individualized discrimination, calibration, or threshold-performance measure.</w:t>
            </w:r>
          </w:p>
        </w:tc>
      </w:tr>
      <w:tr>
        <w:tc>
          <w:tcPr>
            <w:tcW w:type="dxa" w:w="7027"/>
          </w:tcPr>
          <w:p>
            <w:pPr>
              <w:pStyle w:val="MDPI42tablebody"/>
              <w:jc w:val="left"/>
            </w:pPr>
            <w:r>
              <w:rPr>
                <w:sz w:val="16"/>
              </w:rPr>
              <w:t>Unger, E.W.; Pohlemann, T.; Orth, M.; Rollmann, M.F.R.; Menger, M.M.; Herath, S.C.; Histing, T.; Braun, B.J. “Fall risk scoring” in outpatient gait analysis: Validation of a new fall risk assessment for nursing home residents. Z. Orthop. Unfall. 2024, 162, 474–478.</w:t>
            </w:r>
          </w:p>
        </w:tc>
        <w:tc>
          <w:tcPr>
            <w:tcW w:type="dxa" w:w="2377"/>
          </w:tcPr>
          <w:p>
            <w:pPr>
              <w:pStyle w:val="MDPI42tablebody"/>
              <w:jc w:val="left"/>
            </w:pPr>
            <w:r>
              <w:rPr>
                <w:sz w:val="16"/>
              </w:rPr>
              <w:t>10.1055/a-2151-4709</w:t>
            </w:r>
          </w:p>
        </w:tc>
        <w:tc>
          <w:tcPr>
            <w:tcW w:type="dxa" w:w="5994"/>
          </w:tcPr>
          <w:p>
            <w:pPr>
              <w:pStyle w:val="MDPI42tablebody"/>
              <w:jc w:val="left"/>
            </w:pPr>
            <w:r>
              <w:rPr>
                <w:sz w:val="16"/>
              </w:rPr>
              <w:t>The 12-month fall classification combined falls occurring before and after the gait assessment; valid temporal separation was not established.</w:t>
            </w:r>
          </w:p>
        </w:tc>
      </w:tr>
      <w:tr>
        <w:tc>
          <w:tcPr>
            <w:tcW w:type="dxa" w:w="7027"/>
          </w:tcPr>
          <w:p>
            <w:pPr>
              <w:pStyle w:val="MDPI42tablebody"/>
              <w:jc w:val="left"/>
            </w:pPr>
            <w:r>
              <w:rPr>
                <w:sz w:val="16"/>
              </w:rPr>
              <w:t>Kikkert, L.H.J.; de Groot, M.H.; van Campen, J.P.; Beijnen, J.H.; Hortobágyi, T.; Vuillerme, N.; Lamoth, C.C.J. Gait dynamics to optimize fall risk assessment in geriatric patients admitted to an outpatient diagnostic clinic. PLoS ONE 2017, 12, e0178615.</w:t>
            </w:r>
          </w:p>
        </w:tc>
        <w:tc>
          <w:tcPr>
            <w:tcW w:type="dxa" w:w="2377"/>
          </w:tcPr>
          <w:p>
            <w:pPr>
              <w:pStyle w:val="MDPI42tablebody"/>
              <w:jc w:val="left"/>
            </w:pPr>
            <w:r>
              <w:rPr>
                <w:sz w:val="16"/>
              </w:rPr>
              <w:t>10.1371/journal.pone.0178615</w:t>
            </w:r>
          </w:p>
        </w:tc>
        <w:tc>
          <w:tcPr>
            <w:tcW w:type="dxa" w:w="5994"/>
          </w:tcPr>
          <w:p>
            <w:pPr>
              <w:pStyle w:val="MDPI42tablebody"/>
              <w:jc w:val="left"/>
            </w:pPr>
            <w:r>
              <w:rPr>
                <w:sz w:val="16"/>
              </w:rPr>
              <w:t>Faller status combined retrospective and prospective falls, and the authors characterized the analysis as essentially cross-sectional.</w:t>
            </w:r>
          </w:p>
        </w:tc>
      </w:tr>
      <w:tr>
        <w:tc>
          <w:tcPr>
            <w:tcW w:type="dxa" w:w="7027"/>
          </w:tcPr>
          <w:p>
            <w:pPr>
              <w:pStyle w:val="MDPI42tablebody"/>
              <w:jc w:val="left"/>
            </w:pPr>
            <w:r>
              <w:rPr>
                <w:sz w:val="16"/>
              </w:rPr>
              <w:t>Gietzelt, M.; Feldwieser, F.; Gövercin, M.; Steinhagen-Thiessen, E.; Marschollek, M. A prospective field study for sensor-based identification of fall risk in older people with dementia. Inform. Health Soc. Care 2014, 39, 249–261.</w:t>
            </w:r>
          </w:p>
        </w:tc>
        <w:tc>
          <w:tcPr>
            <w:tcW w:type="dxa" w:w="2377"/>
          </w:tcPr>
          <w:p>
            <w:pPr>
              <w:pStyle w:val="MDPI42tablebody"/>
              <w:jc w:val="left"/>
            </w:pPr>
            <w:r>
              <w:rPr>
                <w:sz w:val="16"/>
              </w:rPr>
              <w:t>10.3109/17538157.2014.931851</w:t>
            </w:r>
          </w:p>
        </w:tc>
        <w:tc>
          <w:tcPr>
            <w:tcW w:type="dxa" w:w="5994"/>
          </w:tcPr>
          <w:p>
            <w:pPr>
              <w:pStyle w:val="MDPI42tablebody"/>
              <w:jc w:val="left"/>
            </w:pPr>
            <w:r>
              <w:rPr>
                <w:sz w:val="16"/>
              </w:rPr>
              <w:t>Classification performance was calculated for gait episodes rather than individualized participant-level predictions of subsequent falls.</w:t>
            </w:r>
          </w:p>
        </w:tc>
      </w:tr>
      <w:tr>
        <w:tc>
          <w:tcPr>
            <w:tcW w:type="dxa" w:w="7027"/>
          </w:tcPr>
          <w:p>
            <w:pPr>
              <w:pStyle w:val="MDPI42tablebody"/>
              <w:jc w:val="left"/>
            </w:pPr>
            <w:r>
              <w:rPr>
                <w:sz w:val="16"/>
              </w:rPr>
              <w:t>Schniepp, R.; Huppert, A.; Decker, J.; Schenkel, F.; Schlick, C.; Rasoul, A.; Dieterich, M.; Brandt, T.; Jahn, K.; Wuehr, M. Fall prediction in neurological gait disorders: Differential contributions from clinical assessment, gait analysis, and daily-life mobility monitoring. J. Neurol. 2021, 268, 3421–3434.</w:t>
            </w:r>
          </w:p>
        </w:tc>
        <w:tc>
          <w:tcPr>
            <w:tcW w:type="dxa" w:w="2377"/>
          </w:tcPr>
          <w:p>
            <w:pPr>
              <w:pStyle w:val="MDPI42tablebody"/>
              <w:jc w:val="left"/>
            </w:pPr>
            <w:r>
              <w:rPr>
                <w:sz w:val="16"/>
              </w:rPr>
              <w:t>10.1007/s00415-021-10504-x</w:t>
            </w:r>
          </w:p>
        </w:tc>
        <w:tc>
          <w:tcPr>
            <w:tcW w:type="dxa" w:w="5994"/>
          </w:tcPr>
          <w:p>
            <w:pPr>
              <w:pStyle w:val="MDPI42tablebody"/>
              <w:jc w:val="left"/>
            </w:pPr>
            <w:r>
              <w:rPr>
                <w:sz w:val="16"/>
              </w:rPr>
              <w:t>The pooled neurological cohort was predominantly working-age, and model performance was not separately extractable for a subgroup meeting the review's defined older-adult age criterion.</w:t>
            </w:r>
          </w:p>
        </w:tc>
      </w:tr>
    </w:tbl>
    <w:p>
      <w:pPr>
        <w:pStyle w:val="MDPI32textnoindent"/>
        <w:spacing w:before="200" w:after="80"/>
        <w:ind w:left="0" w:firstLine="0"/>
      </w:pPr>
      <w:r>
        <w:rPr>
          <w:b/>
          <w:sz w:val="20"/>
        </w:rPr>
        <w:t>Table S5. Cohort-overlap map</w:t>
      </w:r>
    </w:p>
    <w:tbl>
      <w:tblPr>
        <w:tblStyle w:val="MDPI41threelinetable"/>
        <w:tblW w:type="dxa" w:w="15398"/>
        <w:tblLook w:firstColumn="1" w:firstRow="1" w:lastColumn="0" w:lastRow="0" w:noHBand="0" w:noVBand="1" w:val="04A0"/>
        <w:tblLayout w:type="fixed"/>
      </w:tblPr>
      <w:tblGrid>
        <w:gridCol w:w="2687"/>
        <w:gridCol w:w="4340"/>
        <w:gridCol w:w="5167"/>
        <w:gridCol w:w="3204"/>
      </w:tblGrid>
      <w:tr>
        <w:trPr>
          <w:tblHeader/>
        </w:trPr>
        <w:tc>
          <w:tcPr>
            <w:tcW w:type="dxa" w:w="2687"/>
          </w:tcPr>
          <w:p>
            <w:pPr>
              <w:pStyle w:val="MDPI42tablebody"/>
              <w:jc w:val="left"/>
            </w:pPr>
            <w:r>
              <w:rPr>
                <w:b/>
                <w:sz w:val="16"/>
              </w:rPr>
              <w:t>Cohort family</w:t>
            </w:r>
          </w:p>
        </w:tc>
        <w:tc>
          <w:tcPr>
            <w:tcW w:type="dxa" w:w="4340"/>
          </w:tcPr>
          <w:p>
            <w:pPr>
              <w:pStyle w:val="MDPI42tablebody"/>
              <w:jc w:val="left"/>
            </w:pPr>
            <w:r>
              <w:rPr>
                <w:b/>
                <w:sz w:val="16"/>
              </w:rPr>
              <w:t>Linked reports</w:t>
            </w:r>
          </w:p>
        </w:tc>
        <w:tc>
          <w:tcPr>
            <w:tcW w:type="dxa" w:w="5167"/>
          </w:tcPr>
          <w:p>
            <w:pPr>
              <w:pStyle w:val="MDPI42tablebody"/>
              <w:jc w:val="left"/>
            </w:pPr>
            <w:r>
              <w:rPr>
                <w:b/>
                <w:sz w:val="16"/>
              </w:rPr>
              <w:t>Basis for linkage</w:t>
            </w:r>
          </w:p>
        </w:tc>
        <w:tc>
          <w:tcPr>
            <w:tcW w:type="dxa" w:w="3204"/>
          </w:tcPr>
          <w:p>
            <w:pPr>
              <w:pStyle w:val="MDPI42tablebody"/>
              <w:jc w:val="left"/>
            </w:pPr>
            <w:r>
              <w:rPr>
                <w:b/>
                <w:sz w:val="16"/>
              </w:rPr>
              <w:t>Synthesis handling</w:t>
            </w:r>
          </w:p>
        </w:tc>
      </w:tr>
      <w:tr>
        <w:tc>
          <w:tcPr>
            <w:tcW w:type="dxa" w:w="2687"/>
          </w:tcPr>
          <w:p>
            <w:pPr>
              <w:pStyle w:val="MDPI42tablebody"/>
              <w:jc w:val="left"/>
            </w:pPr>
            <w:r>
              <w:rPr>
                <w:sz w:val="16"/>
              </w:rPr>
              <w:t>FARAO</w:t>
            </w:r>
          </w:p>
        </w:tc>
        <w:tc>
          <w:tcPr>
            <w:tcW w:type="dxa" w:w="4340"/>
          </w:tcPr>
          <w:p>
            <w:pPr>
              <w:pStyle w:val="MDPI42tablebody"/>
              <w:jc w:val="left"/>
            </w:pPr>
            <w:r>
              <w:rPr>
                <w:sz w:val="16"/>
              </w:rPr>
              <w:t>van Schooten 2015 [26]; van Schooten 2016 [27]; Nait Aicha 2018 [32]; Ihlen 2018 [31]</w:t>
            </w:r>
          </w:p>
        </w:tc>
        <w:tc>
          <w:tcPr>
            <w:tcW w:type="dxa" w:w="5167"/>
          </w:tcPr>
          <w:p>
            <w:pPr>
              <w:pStyle w:val="MDPI42tablebody"/>
              <w:jc w:val="left"/>
            </w:pPr>
            <w:r>
              <w:rPr>
                <w:sz w:val="16"/>
              </w:rPr>
              <w:t>Daily-life trunk accelerometry; related/overlapping older-adult samples</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Howcroft programme</w:t>
            </w:r>
          </w:p>
        </w:tc>
        <w:tc>
          <w:tcPr>
            <w:tcW w:type="dxa" w:w="4340"/>
          </w:tcPr>
          <w:p>
            <w:pPr>
              <w:pStyle w:val="MDPI42tablebody"/>
              <w:jc w:val="left"/>
            </w:pPr>
            <w:r>
              <w:rPr>
                <w:sz w:val="16"/>
              </w:rPr>
              <w:t>Howcroft 2017 [28]; Drover 2017 [29]; Howcroft 2018 [33]</w:t>
            </w:r>
          </w:p>
        </w:tc>
        <w:tc>
          <w:tcPr>
            <w:tcW w:type="dxa" w:w="5167"/>
          </w:tcPr>
          <w:p>
            <w:pPr>
              <w:pStyle w:val="MDPI42tablebody"/>
              <w:jc w:val="left"/>
            </w:pPr>
            <w:r>
              <w:rPr>
                <w:sz w:val="16"/>
              </w:rPr>
              <w:t>Same research programme, closely aligned recruitment characteristics and six-month follow-up; exact participant overlap with Drover could not be resolved</w:t>
            </w:r>
          </w:p>
        </w:tc>
        <w:tc>
          <w:tcPr>
            <w:tcW w:type="dxa" w:w="3204"/>
          </w:tcPr>
          <w:p>
            <w:pPr>
              <w:pStyle w:val="MDPI42tablebody"/>
              <w:jc w:val="left"/>
            </w:pPr>
            <w:r>
              <w:rPr>
                <w:sz w:val="16"/>
              </w:rPr>
              <w:t>Primary analysis: one cohort family; sensitivity count treating Drover as distinct: 38 families</w:t>
            </w:r>
          </w:p>
        </w:tc>
      </w:tr>
      <w:tr>
        <w:tc>
          <w:tcPr>
            <w:tcW w:type="dxa" w:w="2687"/>
          </w:tcPr>
          <w:p>
            <w:pPr>
              <w:pStyle w:val="MDPI42tablebody"/>
              <w:jc w:val="left"/>
            </w:pPr>
            <w:r>
              <w:rPr>
                <w:sz w:val="16"/>
              </w:rPr>
              <w:t>Marschollek geriatric inpatient</w:t>
            </w:r>
          </w:p>
        </w:tc>
        <w:tc>
          <w:tcPr>
            <w:tcW w:type="dxa" w:w="4340"/>
          </w:tcPr>
          <w:p>
            <w:pPr>
              <w:pStyle w:val="MDPI42tablebody"/>
              <w:jc w:val="left"/>
            </w:pPr>
            <w:r>
              <w:rPr>
                <w:sz w:val="16"/>
              </w:rPr>
              <w:t>Marschollek 2011 [18,19]</w:t>
            </w:r>
          </w:p>
        </w:tc>
        <w:tc>
          <w:tcPr>
            <w:tcW w:type="dxa" w:w="5167"/>
          </w:tcPr>
          <w:p>
            <w:pPr>
              <w:pStyle w:val="MDPI42tablebody"/>
              <w:jc w:val="left"/>
            </w:pPr>
            <w:r>
              <w:rPr>
                <w:sz w:val="16"/>
              </w:rPr>
              <w:t>Same recruitment/follow-up; alternative model comparisons</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Toronto dementia ambient gait</w:t>
            </w:r>
          </w:p>
        </w:tc>
        <w:tc>
          <w:tcPr>
            <w:tcW w:type="dxa" w:w="4340"/>
          </w:tcPr>
          <w:p>
            <w:pPr>
              <w:pStyle w:val="MDPI42tablebody"/>
              <w:jc w:val="left"/>
            </w:pPr>
            <w:r>
              <w:rPr>
                <w:sz w:val="16"/>
              </w:rPr>
              <w:t>Mehdizadeh 2021 [43]; Adeli 2023 [55]</w:t>
            </w:r>
          </w:p>
        </w:tc>
        <w:tc>
          <w:tcPr>
            <w:tcW w:type="dxa" w:w="5167"/>
          </w:tcPr>
          <w:p>
            <w:pPr>
              <w:pStyle w:val="MDPI42tablebody"/>
              <w:jc w:val="left"/>
            </w:pPr>
            <w:r>
              <w:rPr>
                <w:sz w:val="16"/>
              </w:rPr>
              <w:t>Same ambient-vision program with overlapping participants</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Instrumented footwear-95</w:t>
            </w:r>
          </w:p>
        </w:tc>
        <w:tc>
          <w:tcPr>
            <w:tcW w:type="dxa" w:w="4340"/>
          </w:tcPr>
          <w:p>
            <w:pPr>
              <w:pStyle w:val="MDPI42tablebody"/>
              <w:jc w:val="left"/>
            </w:pPr>
            <w:r>
              <w:rPr>
                <w:sz w:val="16"/>
              </w:rPr>
              <w:t>Zhang 2024 [58]; Guan 2025 [62]</w:t>
            </w:r>
          </w:p>
        </w:tc>
        <w:tc>
          <w:tcPr>
            <w:tcW w:type="dxa" w:w="5167"/>
          </w:tcPr>
          <w:p>
            <w:pPr>
              <w:pStyle w:val="MDPI42tablebody"/>
              <w:jc w:val="left"/>
            </w:pPr>
            <w:r>
              <w:rPr>
                <w:sz w:val="16"/>
              </w:rPr>
              <w:t>Same n=95 cohort; revised gait-estimation algorithm</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Nursing-home IMU-73</w:t>
            </w:r>
          </w:p>
        </w:tc>
        <w:tc>
          <w:tcPr>
            <w:tcW w:type="dxa" w:w="4340"/>
          </w:tcPr>
          <w:p>
            <w:pPr>
              <w:pStyle w:val="MDPI42tablebody"/>
              <w:jc w:val="left"/>
            </w:pPr>
            <w:r>
              <w:rPr>
                <w:sz w:val="16"/>
              </w:rPr>
              <w:t>Buisseret 2020 [39]; Dierick 2022 [48]</w:t>
            </w:r>
          </w:p>
        </w:tc>
        <w:tc>
          <w:tcPr>
            <w:tcW w:type="dxa" w:w="5167"/>
          </w:tcPr>
          <w:p>
            <w:pPr>
              <w:pStyle w:val="MDPI42tablebody"/>
              <w:jc w:val="left"/>
            </w:pPr>
            <w:r>
              <w:rPr>
                <w:sz w:val="16"/>
              </w:rPr>
              <w:t>Same 73-person nursing-home gait/fall cohort; linked reports classified 23/50 and 24/49 fallers/nonfallers, respectively</w:t>
            </w:r>
          </w:p>
        </w:tc>
        <w:tc>
          <w:tcPr>
            <w:tcW w:type="dxa" w:w="3204"/>
          </w:tcPr>
          <w:p>
            <w:pPr>
              <w:pStyle w:val="MDPI42tablebody"/>
              <w:jc w:val="left"/>
            </w:pPr>
            <w:r>
              <w:rPr>
                <w:sz w:val="16"/>
              </w:rPr>
              <w:t>One cohort family; event distributions retained as reported</w:t>
            </w:r>
          </w:p>
        </w:tc>
      </w:tr>
      <w:tr>
        <w:tc>
          <w:tcPr>
            <w:tcW w:type="dxa" w:w="2687"/>
          </w:tcPr>
          <w:p>
            <w:pPr>
              <w:pStyle w:val="MDPI42tablebody"/>
              <w:jc w:val="left"/>
            </w:pPr>
            <w:r>
              <w:rPr>
                <w:sz w:val="16"/>
              </w:rPr>
              <w:t>QTUG-PD-15</w:t>
            </w:r>
          </w:p>
        </w:tc>
        <w:tc>
          <w:tcPr>
            <w:tcW w:type="dxa" w:w="4340"/>
          </w:tcPr>
          <w:p>
            <w:pPr>
              <w:pStyle w:val="MDPI42tablebody"/>
              <w:jc w:val="left"/>
            </w:pPr>
            <w:r>
              <w:rPr>
                <w:sz w:val="16"/>
              </w:rPr>
              <w:t>Greene 2018 [30]; Greene 2022 [46]</w:t>
            </w:r>
          </w:p>
        </w:tc>
        <w:tc>
          <w:tcPr>
            <w:tcW w:type="dxa" w:w="5167"/>
          </w:tcPr>
          <w:p>
            <w:pPr>
              <w:pStyle w:val="MDPI42tablebody"/>
              <w:jc w:val="left"/>
            </w:pPr>
            <w:r>
              <w:rPr>
                <w:sz w:val="16"/>
              </w:rPr>
              <w:t>Same 15-person Parkinson-disease cohort; the companion report reused the 24-week fall diary and baseline QTUG assessment for fall-count modelling</w:t>
            </w:r>
          </w:p>
        </w:tc>
        <w:tc>
          <w:tcPr>
            <w:tcW w:type="dxa" w:w="3204"/>
          </w:tcPr>
          <w:p>
            <w:pPr>
              <w:pStyle w:val="MDPI42tablebody"/>
              <w:jc w:val="left"/>
            </w:pPr>
            <w:r>
              <w:rPr>
                <w:sz w:val="16"/>
              </w:rPr>
              <w:t>One cohort family; any-fall and count analyses synthesized separately</w:t>
            </w:r>
          </w:p>
        </w:tc>
      </w:tr>
    </w:tbl>
    <w:p>
      <w:pPr>
        <w:pStyle w:val="MDPI32textnoindent"/>
        <w:spacing w:before="60" w:after="160"/>
        <w:ind w:left="0" w:firstLine="0"/>
      </w:pPr>
      <w:r>
        <w:rPr>
          <w:sz w:val="17"/>
        </w:rPr>
        <w:t>Seven multi-report cohort families covered 17 reports, and 30 single-report families contributed one report each (37 families). Because participant independence could not be established for Drover 2017, it was grouped with the Howcroft programme; treating it as independent (38 families) did not change any conclusion.</w:t>
      </w:r>
    </w:p>
    <w:p>
      <w:pPr>
        <w:pStyle w:val="MDPI32textnoindent"/>
        <w:spacing w:before="200" w:after="80"/>
        <w:ind w:left="0" w:firstLine="0"/>
      </w:pPr>
      <w:r>
        <w:rPr>
          <w:b/>
          <w:sz w:val="20"/>
        </w:rPr>
        <w:t>Table S6. Representative-estimate selection for each cohort family (n = 37)</w:t>
      </w:r>
    </w:p>
    <w:tbl>
      <w:tblPr>
        <w:tblStyle w:val="MDPI41threelinetable"/>
        <w:tblW w:type="dxa" w:w="15398"/>
        <w:tblLook w:firstColumn="1" w:firstRow="1" w:lastColumn="0" w:lastRow="0" w:noHBand="0" w:noVBand="1" w:val="04A0"/>
        <w:tblLayout w:type="fixed"/>
      </w:tblPr>
      <w:tblGrid>
        <w:gridCol w:w="1840"/>
        <w:gridCol w:w="2518"/>
        <w:gridCol w:w="2615"/>
        <w:gridCol w:w="968"/>
        <w:gridCol w:w="1453"/>
        <w:gridCol w:w="775"/>
        <w:gridCol w:w="581"/>
        <w:gridCol w:w="3583"/>
        <w:gridCol w:w="1065"/>
      </w:tblGrid>
      <w:tr>
        <w:trPr>
          <w:tblHeader/>
        </w:trPr>
        <w:tc>
          <w:tcPr>
            <w:tcW w:type="dxa" w:w="1840"/>
          </w:tcPr>
          <w:p>
            <w:pPr>
              <w:pStyle w:val="MDPI42tablebody"/>
              <w:jc w:val="left"/>
            </w:pPr>
            <w:r>
              <w:rPr>
                <w:b/>
                <w:sz w:val="16"/>
              </w:rPr>
              <w:t>Cohort family</w:t>
            </w:r>
          </w:p>
        </w:tc>
        <w:tc>
          <w:tcPr>
            <w:tcW w:type="dxa" w:w="2518"/>
          </w:tcPr>
          <w:p>
            <w:pPr>
              <w:pStyle w:val="MDPI42tablebody"/>
              <w:jc w:val="left"/>
            </w:pPr>
            <w:r>
              <w:rPr>
                <w:b/>
                <w:sz w:val="16"/>
              </w:rPr>
              <w:t>Reports [ref.]</w:t>
            </w:r>
          </w:p>
        </w:tc>
        <w:tc>
          <w:tcPr>
            <w:tcW w:type="dxa" w:w="2615"/>
          </w:tcPr>
          <w:p>
            <w:pPr>
              <w:pStyle w:val="MDPI42tablebody"/>
              <w:jc w:val="left"/>
            </w:pPr>
            <w:r>
              <w:rPr>
                <w:b/>
                <w:sz w:val="16"/>
              </w:rPr>
              <w:t>Selected estimate (report: model)</w:t>
            </w:r>
          </w:p>
        </w:tc>
        <w:tc>
          <w:tcPr>
            <w:tcW w:type="dxa" w:w="968"/>
          </w:tcPr>
          <w:p>
            <w:pPr>
              <w:pStyle w:val="MDPI42tablebody"/>
              <w:jc w:val="left"/>
            </w:pPr>
            <w:r>
              <w:rPr>
                <w:b/>
                <w:sz w:val="16"/>
              </w:rPr>
              <w:t>Horizon</w:t>
            </w:r>
          </w:p>
        </w:tc>
        <w:tc>
          <w:tcPr>
            <w:tcW w:type="dxa" w:w="1453"/>
          </w:tcPr>
          <w:p>
            <w:pPr>
              <w:pStyle w:val="MDPI42tablebody"/>
              <w:jc w:val="left"/>
            </w:pPr>
            <w:r>
              <w:rPr>
                <w:b/>
                <w:sz w:val="16"/>
              </w:rPr>
              <w:t>Validation</w:t>
            </w:r>
          </w:p>
        </w:tc>
        <w:tc>
          <w:tcPr>
            <w:tcW w:type="dxa" w:w="775"/>
          </w:tcPr>
          <w:p>
            <w:pPr>
              <w:pStyle w:val="MDPI42tablebody"/>
              <w:jc w:val="left"/>
            </w:pPr>
            <w:r>
              <w:rPr>
                <w:b/>
                <w:sz w:val="16"/>
              </w:rPr>
              <w:t>Fallers</w:t>
            </w:r>
          </w:p>
        </w:tc>
        <w:tc>
          <w:tcPr>
            <w:tcW w:type="dxa" w:w="581"/>
          </w:tcPr>
          <w:p>
            <w:pPr>
              <w:pStyle w:val="MDPI42tablebody"/>
              <w:jc w:val="left"/>
            </w:pPr>
            <w:r>
              <w:rPr>
                <w:b/>
                <w:sz w:val="16"/>
              </w:rPr>
              <w:t>AUC</w:t>
            </w:r>
          </w:p>
        </w:tc>
        <w:tc>
          <w:tcPr>
            <w:tcW w:type="dxa" w:w="3583"/>
          </w:tcPr>
          <w:p>
            <w:pPr>
              <w:pStyle w:val="MDPI42tablebody"/>
              <w:jc w:val="left"/>
            </w:pPr>
            <w:r>
              <w:rPr>
                <w:b/>
                <w:sz w:val="16"/>
              </w:rPr>
              <w:t>Selection reason</w:t>
            </w:r>
          </w:p>
        </w:tc>
        <w:tc>
          <w:tcPr>
            <w:tcW w:type="dxa" w:w="1065"/>
          </w:tcPr>
          <w:p>
            <w:pPr>
              <w:pStyle w:val="MDPI42tablebody"/>
              <w:jc w:val="left"/>
            </w:pPr>
            <w:r>
              <w:rPr>
                <w:b/>
                <w:sz w:val="16"/>
              </w:rPr>
              <w:t>Lowest / highest alternative AUC</w:t>
            </w:r>
          </w:p>
        </w:tc>
      </w:tr>
      <w:tr>
        <w:tc>
          <w:tcPr>
            <w:tcW w:type="dxa" w:w="1840"/>
          </w:tcPr>
          <w:p>
            <w:pPr>
              <w:pStyle w:val="MDPI42tablebody"/>
              <w:jc w:val="left"/>
            </w:pPr>
            <w:r>
              <w:rPr>
                <w:sz w:val="16"/>
              </w:rPr>
              <w:t>Marschollek geriatric inpatients</w:t>
            </w:r>
          </w:p>
        </w:tc>
        <w:tc>
          <w:tcPr>
            <w:tcW w:type="dxa" w:w="2518"/>
          </w:tcPr>
          <w:p>
            <w:pPr>
              <w:pStyle w:val="MDPI42tablebody"/>
              <w:jc w:val="left"/>
            </w:pPr>
            <w:r>
              <w:rPr>
                <w:sz w:val="16"/>
              </w:rPr>
              <w:t>Marschollek et al. 2011 [18]; Marschollek et al. 2011 [19]</w:t>
            </w:r>
          </w:p>
        </w:tc>
        <w:tc>
          <w:tcPr>
            <w:tcW w:type="dxa" w:w="2615"/>
          </w:tcPr>
          <w:p>
            <w:pPr>
              <w:pStyle w:val="MDPI42tablebody"/>
              <w:jc w:val="left"/>
            </w:pPr>
            <w:r>
              <w:rPr>
                <w:sz w:val="16"/>
              </w:rPr>
              <w:t>Marschollek et al. 2011 [19]: Sensor-based logistic model</w:t>
            </w:r>
          </w:p>
        </w:tc>
        <w:tc>
          <w:tcPr>
            <w:tcW w:type="dxa" w:w="968"/>
          </w:tcPr>
          <w:p>
            <w:pPr>
              <w:pStyle w:val="MDPI42tablebody"/>
              <w:jc w:val="left"/>
            </w:pPr>
            <w:r>
              <w:rPr>
                <w:sz w:val="16"/>
              </w:rPr>
              <w:t>12 months</w:t>
            </w:r>
          </w:p>
        </w:tc>
        <w:tc>
          <w:tcPr>
            <w:tcW w:type="dxa" w:w="1453"/>
          </w:tcPr>
          <w:p>
            <w:pPr>
              <w:pStyle w:val="MDPI42tablebody"/>
              <w:jc w:val="left"/>
            </w:pPr>
            <w:r>
              <w:rPr>
                <w:sz w:val="16"/>
              </w:rPr>
              <w:t>Repeated 10 × 10-fold CV</w:t>
            </w:r>
          </w:p>
        </w:tc>
        <w:tc>
          <w:tcPr>
            <w:tcW w:type="dxa" w:w="775"/>
          </w:tcPr>
          <w:p>
            <w:pPr>
              <w:pStyle w:val="MDPI42tablebody"/>
              <w:jc w:val="left"/>
            </w:pPr>
            <w:r>
              <w:rPr>
                <w:sz w:val="16"/>
              </w:rPr>
              <w:t>19</w:t>
            </w:r>
          </w:p>
        </w:tc>
        <w:tc>
          <w:tcPr>
            <w:tcW w:type="dxa" w:w="581"/>
          </w:tcPr>
          <w:p>
            <w:pPr>
              <w:pStyle w:val="MDPI42tablebody"/>
              <w:jc w:val="left"/>
            </w:pPr>
            <w:r>
              <w:rPr>
                <w:sz w:val="16"/>
              </w:rPr>
              <w:t>0.72</w:t>
            </w:r>
          </w:p>
        </w:tc>
        <w:tc>
          <w:tcPr>
            <w:tcW w:type="dxa" w:w="3583"/>
          </w:tcPr>
          <w:p>
            <w:pPr>
              <w:pStyle w:val="MDPI42tablebody"/>
              <w:jc w:val="left"/>
            </w:pPr>
            <w:r>
              <w:rPr>
                <w:sz w:val="16"/>
              </w:rPr>
              <w:t>Level 2; the classification-tree AUC of 0.87 [18] has no matched faller count in the indexed/publisher abstract</w:t>
            </w:r>
          </w:p>
        </w:tc>
        <w:tc>
          <w:tcPr>
            <w:tcW w:type="dxa" w:w="1065"/>
          </w:tcPr>
          <w:p>
            <w:pPr>
              <w:pStyle w:val="MDPI42tablebody"/>
              <w:jc w:val="left"/>
            </w:pPr>
            <w:r>
              <w:rPr>
                <w:sz w:val="16"/>
              </w:rPr>
              <w:t>0.720 / 0.870</w:t>
            </w:r>
          </w:p>
        </w:tc>
      </w:tr>
      <w:tr>
        <w:tc>
          <w:tcPr>
            <w:tcW w:type="dxa" w:w="1840"/>
          </w:tcPr>
          <w:p>
            <w:pPr>
              <w:pStyle w:val="MDPI42tablebody"/>
              <w:jc w:val="left"/>
            </w:pPr>
            <w:r>
              <w:rPr>
                <w:sz w:val="16"/>
              </w:rPr>
              <w:t>Greene community</w:t>
            </w:r>
          </w:p>
        </w:tc>
        <w:tc>
          <w:tcPr>
            <w:tcW w:type="dxa" w:w="2518"/>
          </w:tcPr>
          <w:p>
            <w:pPr>
              <w:pStyle w:val="MDPI42tablebody"/>
              <w:jc w:val="left"/>
            </w:pPr>
            <w:r>
              <w:rPr>
                <w:sz w:val="16"/>
              </w:rPr>
              <w:t>Greene et al. 2012 [20]</w:t>
            </w:r>
          </w:p>
        </w:tc>
        <w:tc>
          <w:tcPr>
            <w:tcW w:type="dxa" w:w="2615"/>
          </w:tcPr>
          <w:p>
            <w:pPr>
              <w:pStyle w:val="MDPI42tablebody"/>
              <w:jc w:val="left"/>
            </w:pPr>
            <w:r>
              <w:rPr>
                <w:sz w:val="16"/>
              </w:rPr>
              <w:t>Greene et al. 2012 [20]: Regularized discriminant classifier</w:t>
            </w:r>
          </w:p>
        </w:tc>
        <w:tc>
          <w:tcPr>
            <w:tcW w:type="dxa" w:w="968"/>
          </w:tcPr>
          <w:p>
            <w:pPr>
              <w:pStyle w:val="MDPI42tablebody"/>
              <w:jc w:val="left"/>
            </w:pPr>
            <w:r>
              <w:rPr>
                <w:sz w:val="16"/>
              </w:rPr>
              <w:t>2 years</w:t>
            </w:r>
          </w:p>
        </w:tc>
        <w:tc>
          <w:tcPr>
            <w:tcW w:type="dxa" w:w="1453"/>
          </w:tcPr>
          <w:p>
            <w:pPr>
              <w:pStyle w:val="MDPI42tablebody"/>
              <w:jc w:val="left"/>
            </w:pPr>
            <w:r>
              <w:rPr>
                <w:sz w:val="16"/>
              </w:rPr>
              <w:t>Repeated 10-fold CV</w:t>
            </w:r>
          </w:p>
        </w:tc>
        <w:tc>
          <w:tcPr>
            <w:tcW w:type="dxa" w:w="775"/>
          </w:tcPr>
          <w:p>
            <w:pPr>
              <w:pStyle w:val="MDPI42tablebody"/>
              <w:jc w:val="left"/>
            </w:pPr>
            <w:r>
              <w:rPr>
                <w:sz w:val="16"/>
              </w:rPr>
              <w:t>83</w:t>
            </w:r>
          </w:p>
        </w:tc>
        <w:tc>
          <w:tcPr>
            <w:tcW w:type="dxa" w:w="581"/>
          </w:tcPr>
          <w:p>
            <w:pPr>
              <w:pStyle w:val="MDPI42tablebody"/>
              <w:jc w:val="left"/>
            </w:pPr>
            <w:r>
              <w:rPr>
                <w:sz w:val="16"/>
              </w:rPr>
              <w:t>0.78</w:t>
            </w:r>
          </w:p>
        </w:tc>
        <w:tc>
          <w:tcPr>
            <w:tcW w:type="dxa" w:w="3583"/>
          </w:tcPr>
          <w:p>
            <w:pPr>
              <w:pStyle w:val="MDPI42tablebody"/>
              <w:jc w:val="left"/>
            </w:pPr>
            <w:r>
              <w:rPr>
                <w:sz w:val="16"/>
              </w:rPr>
              <w:t>Level 2; only estimate</w:t>
            </w:r>
          </w:p>
        </w:tc>
        <w:tc>
          <w:tcPr>
            <w:tcW w:type="dxa" w:w="1065"/>
          </w:tcPr>
          <w:p>
            <w:pPr>
              <w:pStyle w:val="MDPI42tablebody"/>
              <w:jc w:val="left"/>
            </w:pPr>
            <w:r>
              <w:rPr>
                <w:sz w:val="16"/>
              </w:rPr>
              <w:t>0.780 / 0.780</w:t>
            </w:r>
          </w:p>
        </w:tc>
      </w:tr>
      <w:tr>
        <w:tc>
          <w:tcPr>
            <w:tcW w:type="dxa" w:w="1840"/>
          </w:tcPr>
          <w:p>
            <w:pPr>
              <w:pStyle w:val="MDPI42tablebody"/>
              <w:jc w:val="left"/>
            </w:pPr>
            <w:r>
              <w:rPr>
                <w:sz w:val="16"/>
              </w:rPr>
              <w:t>Weiss community</w:t>
            </w:r>
          </w:p>
        </w:tc>
        <w:tc>
          <w:tcPr>
            <w:tcW w:type="dxa" w:w="2518"/>
          </w:tcPr>
          <w:p>
            <w:pPr>
              <w:pStyle w:val="MDPI42tablebody"/>
              <w:jc w:val="left"/>
            </w:pPr>
            <w:r>
              <w:rPr>
                <w:sz w:val="16"/>
              </w:rPr>
              <w:t>Weiss et al. 2013 [21]</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No prospective AUC reported</w:t>
            </w:r>
          </w:p>
        </w:tc>
        <w:tc>
          <w:tcPr>
            <w:tcW w:type="dxa" w:w="1065"/>
          </w:tcPr>
          <w:p>
            <w:pPr>
              <w:pStyle w:val="MDPI42tablebody"/>
              <w:jc w:val="left"/>
            </w:pPr>
            <w:r>
              <w:rPr>
                <w:sz w:val="16"/>
              </w:rPr>
              <w:t>—</w:t>
            </w:r>
          </w:p>
        </w:tc>
      </w:tr>
      <w:tr>
        <w:tc>
          <w:tcPr>
            <w:tcW w:type="dxa" w:w="1840"/>
          </w:tcPr>
          <w:p>
            <w:pPr>
              <w:pStyle w:val="MDPI42tablebody"/>
              <w:jc w:val="left"/>
            </w:pPr>
            <w:r>
              <w:rPr>
                <w:sz w:val="16"/>
              </w:rPr>
              <w:t>Schwesig nursing home</w:t>
            </w:r>
          </w:p>
        </w:tc>
        <w:tc>
          <w:tcPr>
            <w:tcW w:type="dxa" w:w="2518"/>
          </w:tcPr>
          <w:p>
            <w:pPr>
              <w:pStyle w:val="MDPI42tablebody"/>
              <w:jc w:val="left"/>
            </w:pPr>
            <w:r>
              <w:rPr>
                <w:sz w:val="16"/>
              </w:rPr>
              <w:t>Schwesig et al. 2013 [22]</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No AUC reported</w:t>
            </w:r>
          </w:p>
        </w:tc>
        <w:tc>
          <w:tcPr>
            <w:tcW w:type="dxa" w:w="1065"/>
          </w:tcPr>
          <w:p>
            <w:pPr>
              <w:pStyle w:val="MDPI42tablebody"/>
              <w:jc w:val="left"/>
            </w:pPr>
            <w:r>
              <w:rPr>
                <w:sz w:val="16"/>
              </w:rPr>
              <w:t>—</w:t>
            </w:r>
          </w:p>
        </w:tc>
      </w:tr>
      <w:tr>
        <w:tc>
          <w:tcPr>
            <w:tcW w:type="dxa" w:w="1840"/>
          </w:tcPr>
          <w:p>
            <w:pPr>
              <w:pStyle w:val="MDPI42tablebody"/>
              <w:jc w:val="left"/>
            </w:pPr>
            <w:r>
              <w:rPr>
                <w:sz w:val="16"/>
              </w:rPr>
              <w:t>Doi community</w:t>
            </w:r>
          </w:p>
        </w:tc>
        <w:tc>
          <w:tcPr>
            <w:tcW w:type="dxa" w:w="2518"/>
          </w:tcPr>
          <w:p>
            <w:pPr>
              <w:pStyle w:val="MDPI42tablebody"/>
              <w:jc w:val="left"/>
            </w:pPr>
            <w:r>
              <w:rPr>
                <w:sz w:val="16"/>
              </w:rPr>
              <w:t>Doi et al. 2013 [23]</w:t>
            </w:r>
          </w:p>
        </w:tc>
        <w:tc>
          <w:tcPr>
            <w:tcW w:type="dxa" w:w="2615"/>
          </w:tcPr>
          <w:p>
            <w:pPr>
              <w:pStyle w:val="MDPI42tablebody"/>
              <w:jc w:val="left"/>
            </w:pPr>
            <w:r>
              <w:rPr>
                <w:sz w:val="16"/>
              </w:rPr>
              <w:t>Doi et al. 2013 [23]: Multivariable logistic model (upper-trunk harmonic ratio)</w:t>
            </w:r>
          </w:p>
        </w:tc>
        <w:tc>
          <w:tcPr>
            <w:tcW w:type="dxa" w:w="968"/>
          </w:tcPr>
          <w:p>
            <w:pPr>
              <w:pStyle w:val="MDPI42tablebody"/>
              <w:jc w:val="left"/>
            </w:pPr>
            <w:r>
              <w:rPr>
                <w:sz w:val="16"/>
              </w:rPr>
              <w:t>12 months</w:t>
            </w:r>
          </w:p>
        </w:tc>
        <w:tc>
          <w:tcPr>
            <w:tcW w:type="dxa" w:w="1453"/>
          </w:tcPr>
          <w:p>
            <w:pPr>
              <w:pStyle w:val="MDPI42tablebody"/>
              <w:jc w:val="left"/>
            </w:pPr>
            <w:r>
              <w:rPr>
                <w:sz w:val="16"/>
              </w:rPr>
              <w:t>Apparent</w:t>
            </w:r>
          </w:p>
        </w:tc>
        <w:tc>
          <w:tcPr>
            <w:tcW w:type="dxa" w:w="775"/>
          </w:tcPr>
          <w:p>
            <w:pPr>
              <w:pStyle w:val="MDPI42tablebody"/>
              <w:jc w:val="left"/>
            </w:pPr>
            <w:r>
              <w:rPr>
                <w:sz w:val="16"/>
              </w:rPr>
              <w:t>16</w:t>
            </w:r>
          </w:p>
        </w:tc>
        <w:tc>
          <w:tcPr>
            <w:tcW w:type="dxa" w:w="581"/>
          </w:tcPr>
          <w:p>
            <w:pPr>
              <w:pStyle w:val="MDPI42tablebody"/>
              <w:jc w:val="left"/>
            </w:pPr>
            <w:r>
              <w:rPr>
                <w:sz w:val="16"/>
              </w:rPr>
              <w:t>0.81</w:t>
            </w:r>
          </w:p>
        </w:tc>
        <w:tc>
          <w:tcPr>
            <w:tcW w:type="dxa" w:w="3583"/>
          </w:tcPr>
          <w:p>
            <w:pPr>
              <w:pStyle w:val="MDPI42tablebody"/>
              <w:jc w:val="left"/>
            </w:pPr>
            <w:r>
              <w:rPr>
                <w:sz w:val="16"/>
              </w:rPr>
              <w:t>Level 3; only gait-containing model</w:t>
            </w:r>
          </w:p>
        </w:tc>
        <w:tc>
          <w:tcPr>
            <w:tcW w:type="dxa" w:w="1065"/>
          </w:tcPr>
          <w:p>
            <w:pPr>
              <w:pStyle w:val="MDPI42tablebody"/>
              <w:jc w:val="left"/>
            </w:pPr>
            <w:r>
              <w:rPr>
                <w:sz w:val="16"/>
              </w:rPr>
              <w:t>0.810 / 0.810</w:t>
            </w:r>
          </w:p>
        </w:tc>
      </w:tr>
      <w:tr>
        <w:tc>
          <w:tcPr>
            <w:tcW w:type="dxa" w:w="1840"/>
          </w:tcPr>
          <w:p>
            <w:pPr>
              <w:pStyle w:val="MDPI42tablebody"/>
              <w:jc w:val="left"/>
            </w:pPr>
            <w:r>
              <w:rPr>
                <w:sz w:val="16"/>
              </w:rPr>
              <w:t>Mignardot first fall</w:t>
            </w:r>
          </w:p>
        </w:tc>
        <w:tc>
          <w:tcPr>
            <w:tcW w:type="dxa" w:w="2518"/>
          </w:tcPr>
          <w:p>
            <w:pPr>
              <w:pStyle w:val="MDPI42tablebody"/>
              <w:jc w:val="left"/>
            </w:pPr>
            <w:r>
              <w:rPr>
                <w:sz w:val="16"/>
              </w:rPr>
              <w:t>Mignardot et al. 2014 [24]</w:t>
            </w:r>
          </w:p>
        </w:tc>
        <w:tc>
          <w:tcPr>
            <w:tcW w:type="dxa" w:w="2615"/>
          </w:tcPr>
          <w:p>
            <w:pPr>
              <w:pStyle w:val="MDPI42tablebody"/>
              <w:jc w:val="left"/>
            </w:pPr>
            <w:r>
              <w:rPr>
                <w:sz w:val="16"/>
              </w:rPr>
              <w:t>Mignardot et al. 2014 [24]: PCA-derived gait marker (PC1)</w:t>
            </w:r>
          </w:p>
        </w:tc>
        <w:tc>
          <w:tcPr>
            <w:tcW w:type="dxa" w:w="968"/>
          </w:tcPr>
          <w:p>
            <w:pPr>
              <w:pStyle w:val="MDPI42tablebody"/>
              <w:jc w:val="left"/>
            </w:pPr>
            <w:r>
              <w:rPr>
                <w:sz w:val="16"/>
              </w:rPr>
              <w:t>0–6 months</w:t>
            </w:r>
          </w:p>
        </w:tc>
        <w:tc>
          <w:tcPr>
            <w:tcW w:type="dxa" w:w="1453"/>
          </w:tcPr>
          <w:p>
            <w:pPr>
              <w:pStyle w:val="MDPI42tablebody"/>
              <w:jc w:val="left"/>
            </w:pPr>
            <w:r>
              <w:rPr>
                <w:sz w:val="16"/>
              </w:rPr>
              <w:t>Apparent</w:t>
            </w:r>
          </w:p>
        </w:tc>
        <w:tc>
          <w:tcPr>
            <w:tcW w:type="dxa" w:w="775"/>
          </w:tcPr>
          <w:p>
            <w:pPr>
              <w:pStyle w:val="MDPI42tablebody"/>
              <w:jc w:val="left"/>
            </w:pPr>
            <w:r>
              <w:rPr>
                <w:sz w:val="16"/>
              </w:rPr>
              <w:t>20</w:t>
            </w:r>
          </w:p>
        </w:tc>
        <w:tc>
          <w:tcPr>
            <w:tcW w:type="dxa" w:w="581"/>
          </w:tcPr>
          <w:p>
            <w:pPr>
              <w:pStyle w:val="MDPI42tablebody"/>
              <w:jc w:val="left"/>
            </w:pPr>
            <w:r>
              <w:rPr>
                <w:sz w:val="16"/>
              </w:rPr>
              <w:t>0.70</w:t>
            </w:r>
          </w:p>
        </w:tc>
        <w:tc>
          <w:tcPr>
            <w:tcW w:type="dxa" w:w="3583"/>
          </w:tcPr>
          <w:p>
            <w:pPr>
              <w:pStyle w:val="MDPI42tablebody"/>
              <w:jc w:val="left"/>
            </w:pPr>
            <w:r>
              <w:rPr>
                <w:sz w:val="16"/>
              </w:rPr>
              <w:t>Level 3; earliest horizon with a matched faller count</w:t>
            </w:r>
          </w:p>
        </w:tc>
        <w:tc>
          <w:tcPr>
            <w:tcW w:type="dxa" w:w="1065"/>
          </w:tcPr>
          <w:p>
            <w:pPr>
              <w:pStyle w:val="MDPI42tablebody"/>
              <w:jc w:val="left"/>
            </w:pPr>
            <w:r>
              <w:rPr>
                <w:sz w:val="16"/>
              </w:rPr>
              <w:t>0.670 / 0.700</w:t>
            </w:r>
          </w:p>
        </w:tc>
      </w:tr>
      <w:tr>
        <w:tc>
          <w:tcPr>
            <w:tcW w:type="dxa" w:w="1840"/>
          </w:tcPr>
          <w:p>
            <w:pPr>
              <w:pStyle w:val="MDPI42tablebody"/>
              <w:jc w:val="left"/>
            </w:pPr>
            <w:r>
              <w:rPr>
                <w:sz w:val="16"/>
              </w:rPr>
              <w:t>Schwenk dementia</w:t>
            </w:r>
          </w:p>
        </w:tc>
        <w:tc>
          <w:tcPr>
            <w:tcW w:type="dxa" w:w="2518"/>
          </w:tcPr>
          <w:p>
            <w:pPr>
              <w:pStyle w:val="MDPI42tablebody"/>
              <w:jc w:val="left"/>
            </w:pPr>
            <w:r>
              <w:rPr>
                <w:sz w:val="16"/>
              </w:rPr>
              <w:t>Schwenk et al. 2014 [25]</w:t>
            </w:r>
          </w:p>
        </w:tc>
        <w:tc>
          <w:tcPr>
            <w:tcW w:type="dxa" w:w="2615"/>
          </w:tcPr>
          <w:p>
            <w:pPr>
              <w:pStyle w:val="MDPI42tablebody"/>
              <w:jc w:val="left"/>
            </w:pPr>
            <w:r>
              <w:rPr>
                <w:sz w:val="16"/>
              </w:rPr>
              <w:t>Schwenk et al. 2014 [25]: Logistic model (fall history + walking-bout duration)</w:t>
            </w:r>
          </w:p>
        </w:tc>
        <w:tc>
          <w:tcPr>
            <w:tcW w:type="dxa" w:w="968"/>
          </w:tcPr>
          <w:p>
            <w:pPr>
              <w:pStyle w:val="MDPI42tablebody"/>
              <w:jc w:val="left"/>
            </w:pPr>
            <w:r>
              <w:rPr>
                <w:sz w:val="16"/>
              </w:rPr>
              <w:t>3 months</w:t>
            </w:r>
          </w:p>
        </w:tc>
        <w:tc>
          <w:tcPr>
            <w:tcW w:type="dxa" w:w="1453"/>
          </w:tcPr>
          <w:p>
            <w:pPr>
              <w:pStyle w:val="MDPI42tablebody"/>
              <w:jc w:val="left"/>
            </w:pPr>
            <w:r>
              <w:rPr>
                <w:sz w:val="16"/>
              </w:rPr>
              <w:t>Apparent</w:t>
            </w:r>
          </w:p>
        </w:tc>
        <w:tc>
          <w:tcPr>
            <w:tcW w:type="dxa" w:w="775"/>
          </w:tcPr>
          <w:p>
            <w:pPr>
              <w:pStyle w:val="MDPI42tablebody"/>
              <w:jc w:val="left"/>
            </w:pPr>
            <w:r>
              <w:rPr>
                <w:sz w:val="16"/>
              </w:rPr>
              <w:t>28</w:t>
            </w:r>
          </w:p>
        </w:tc>
        <w:tc>
          <w:tcPr>
            <w:tcW w:type="dxa" w:w="581"/>
          </w:tcPr>
          <w:p>
            <w:pPr>
              <w:pStyle w:val="MDPI42tablebody"/>
              <w:jc w:val="left"/>
            </w:pPr>
            <w:r>
              <w:rPr>
                <w:sz w:val="16"/>
              </w:rPr>
              <w:t>0.771</w:t>
            </w:r>
          </w:p>
        </w:tc>
        <w:tc>
          <w:tcPr>
            <w:tcW w:type="dxa" w:w="3583"/>
          </w:tcPr>
          <w:p>
            <w:pPr>
              <w:pStyle w:val="MDPI42tablebody"/>
              <w:jc w:val="left"/>
            </w:pPr>
            <w:r>
              <w:rPr>
                <w:sz w:val="16"/>
              </w:rPr>
              <w:t>Level 3; only gait-containing model</w:t>
            </w:r>
          </w:p>
        </w:tc>
        <w:tc>
          <w:tcPr>
            <w:tcW w:type="dxa" w:w="1065"/>
          </w:tcPr>
          <w:p>
            <w:pPr>
              <w:pStyle w:val="MDPI42tablebody"/>
              <w:jc w:val="left"/>
            </w:pPr>
            <w:r>
              <w:rPr>
                <w:sz w:val="16"/>
              </w:rPr>
              <w:t>0.771 / 0.771</w:t>
            </w:r>
          </w:p>
        </w:tc>
      </w:tr>
      <w:tr>
        <w:tc>
          <w:tcPr>
            <w:tcW w:type="dxa" w:w="1840"/>
          </w:tcPr>
          <w:p>
            <w:pPr>
              <w:pStyle w:val="MDPI42tablebody"/>
              <w:jc w:val="left"/>
            </w:pPr>
            <w:r>
              <w:rPr>
                <w:sz w:val="16"/>
              </w:rPr>
              <w:t>FARAO</w:t>
            </w:r>
          </w:p>
        </w:tc>
        <w:tc>
          <w:tcPr>
            <w:tcW w:type="dxa" w:w="2518"/>
          </w:tcPr>
          <w:p>
            <w:pPr>
              <w:pStyle w:val="MDPI42tablebody"/>
              <w:jc w:val="left"/>
            </w:pPr>
            <w:r>
              <w:rPr>
                <w:sz w:val="16"/>
              </w:rPr>
              <w:t>van Schooten et al. 2015 [26]; van Schooten et al. 2016 [27]; Nait Aicha et al. 2018 [32]; Ihlen et al. 2018 [31]</w:t>
            </w:r>
          </w:p>
        </w:tc>
        <w:tc>
          <w:tcPr>
            <w:tcW w:type="dxa" w:w="2615"/>
          </w:tcPr>
          <w:p>
            <w:pPr>
              <w:pStyle w:val="MDPI42tablebody"/>
              <w:jc w:val="left"/>
            </w:pPr>
            <w:r>
              <w:rPr>
                <w:sz w:val="16"/>
              </w:rPr>
              <w:t>Nait Aicha et al. 2018 [32]: Multitask deep network (with sex)</w:t>
            </w:r>
          </w:p>
        </w:tc>
        <w:tc>
          <w:tcPr>
            <w:tcW w:type="dxa" w:w="968"/>
          </w:tcPr>
          <w:p>
            <w:pPr>
              <w:pStyle w:val="MDPI42tablebody"/>
              <w:jc w:val="left"/>
            </w:pPr>
            <w:r>
              <w:rPr>
                <w:sz w:val="16"/>
              </w:rPr>
              <w:t>6 months</w:t>
            </w:r>
          </w:p>
        </w:tc>
        <w:tc>
          <w:tcPr>
            <w:tcW w:type="dxa" w:w="1453"/>
          </w:tcPr>
          <w:p>
            <w:pPr>
              <w:pStyle w:val="MDPI42tablebody"/>
              <w:jc w:val="left"/>
            </w:pPr>
            <w:r>
              <w:rPr>
                <w:sz w:val="16"/>
              </w:rPr>
              <w:t>Participant-level split</w:t>
            </w:r>
          </w:p>
        </w:tc>
        <w:tc>
          <w:tcPr>
            <w:tcW w:type="dxa" w:w="775"/>
          </w:tcPr>
          <w:p>
            <w:pPr>
              <w:pStyle w:val="MDPI42tablebody"/>
              <w:jc w:val="left"/>
            </w:pPr>
            <w:r>
              <w:rPr>
                <w:sz w:val="16"/>
              </w:rPr>
              <w:t>101</w:t>
            </w:r>
          </w:p>
        </w:tc>
        <w:tc>
          <w:tcPr>
            <w:tcW w:type="dxa" w:w="581"/>
          </w:tcPr>
          <w:p>
            <w:pPr>
              <w:pStyle w:val="MDPI42tablebody"/>
              <w:jc w:val="left"/>
            </w:pPr>
            <w:r>
              <w:rPr>
                <w:sz w:val="16"/>
              </w:rPr>
              <w:t>0.75</w:t>
            </w:r>
          </w:p>
        </w:tc>
        <w:tc>
          <w:tcPr>
            <w:tcW w:type="dxa" w:w="3583"/>
          </w:tcPr>
          <w:p>
            <w:pPr>
              <w:pStyle w:val="MDPI42tablebody"/>
              <w:jc w:val="left"/>
            </w:pPr>
            <w:r>
              <w:rPr>
                <w:sz w:val="16"/>
              </w:rPr>
              <w:t>Level 2 preferred to apparent (0.82 [26]); time-dependent AUCs [27] are ranges; highest participant-level estimate (ConvLSTM 0.65 in sensitivity analysis)</w:t>
            </w:r>
          </w:p>
        </w:tc>
        <w:tc>
          <w:tcPr>
            <w:tcW w:type="dxa" w:w="1065"/>
          </w:tcPr>
          <w:p>
            <w:pPr>
              <w:pStyle w:val="MDPI42tablebody"/>
              <w:jc w:val="left"/>
            </w:pPr>
            <w:r>
              <w:rPr>
                <w:sz w:val="16"/>
              </w:rPr>
              <w:t>0.650 / 0.820</w:t>
            </w:r>
          </w:p>
        </w:tc>
      </w:tr>
      <w:tr>
        <w:tc>
          <w:tcPr>
            <w:tcW w:type="dxa" w:w="1840"/>
          </w:tcPr>
          <w:p>
            <w:pPr>
              <w:pStyle w:val="MDPI42tablebody"/>
              <w:jc w:val="left"/>
            </w:pPr>
            <w:r>
              <w:rPr>
                <w:sz w:val="16"/>
              </w:rPr>
              <w:t>Howcroft programme</w:t>
            </w:r>
          </w:p>
        </w:tc>
        <w:tc>
          <w:tcPr>
            <w:tcW w:type="dxa" w:w="2518"/>
          </w:tcPr>
          <w:p>
            <w:pPr>
              <w:pStyle w:val="MDPI42tablebody"/>
              <w:jc w:val="left"/>
            </w:pPr>
            <w:r>
              <w:rPr>
                <w:sz w:val="16"/>
              </w:rPr>
              <w:t>Howcroft et al. 2017 [28]; Drover et al. 2017 [29]; Howcroft et al. 2018 [33]</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Accuracy, sensitivity, and specificity only</w:t>
            </w:r>
          </w:p>
        </w:tc>
        <w:tc>
          <w:tcPr>
            <w:tcW w:type="dxa" w:w="1065"/>
          </w:tcPr>
          <w:p>
            <w:pPr>
              <w:pStyle w:val="MDPI42tablebody"/>
              <w:jc w:val="left"/>
            </w:pPr>
            <w:r>
              <w:rPr>
                <w:sz w:val="16"/>
              </w:rPr>
              <w:t>—</w:t>
            </w:r>
          </w:p>
        </w:tc>
      </w:tr>
      <w:tr>
        <w:tc>
          <w:tcPr>
            <w:tcW w:type="dxa" w:w="1840"/>
          </w:tcPr>
          <w:p>
            <w:pPr>
              <w:pStyle w:val="MDPI42tablebody"/>
              <w:jc w:val="left"/>
            </w:pPr>
            <w:r>
              <w:rPr>
                <w:sz w:val="16"/>
              </w:rPr>
              <w:t>QTUG Parkinson disease</w:t>
            </w:r>
          </w:p>
        </w:tc>
        <w:tc>
          <w:tcPr>
            <w:tcW w:type="dxa" w:w="2518"/>
          </w:tcPr>
          <w:p>
            <w:pPr>
              <w:pStyle w:val="MDPI42tablebody"/>
              <w:jc w:val="left"/>
            </w:pPr>
            <w:r>
              <w:rPr>
                <w:sz w:val="16"/>
              </w:rPr>
              <w:t>Greene et al. 2018 [30]; Greene et al. 2022 [46]</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Accuracy and count-model statistics only</w:t>
            </w:r>
          </w:p>
        </w:tc>
        <w:tc>
          <w:tcPr>
            <w:tcW w:type="dxa" w:w="1065"/>
          </w:tcPr>
          <w:p>
            <w:pPr>
              <w:pStyle w:val="MDPI42tablebody"/>
              <w:jc w:val="left"/>
            </w:pPr>
            <w:r>
              <w:rPr>
                <w:sz w:val="16"/>
              </w:rPr>
              <w:t>—</w:t>
            </w:r>
          </w:p>
        </w:tc>
      </w:tr>
      <w:tr>
        <w:tc>
          <w:tcPr>
            <w:tcW w:type="dxa" w:w="1840"/>
          </w:tcPr>
          <w:p>
            <w:pPr>
              <w:pStyle w:val="MDPI42tablebody"/>
              <w:jc w:val="left"/>
            </w:pPr>
            <w:r>
              <w:rPr>
                <w:sz w:val="16"/>
              </w:rPr>
              <w:t>Bizovska community</w:t>
            </w:r>
          </w:p>
        </w:tc>
        <w:tc>
          <w:tcPr>
            <w:tcW w:type="dxa" w:w="2518"/>
          </w:tcPr>
          <w:p>
            <w:pPr>
              <w:pStyle w:val="MDPI42tablebody"/>
              <w:jc w:val="left"/>
            </w:pPr>
            <w:r>
              <w:rPr>
                <w:sz w:val="16"/>
              </w:rPr>
              <w:t>Bizovska et al. 2018 [34]</w:t>
            </w:r>
          </w:p>
        </w:tc>
        <w:tc>
          <w:tcPr>
            <w:tcW w:type="dxa" w:w="2615"/>
          </w:tcPr>
          <w:p>
            <w:pPr>
              <w:pStyle w:val="MDPI42tablebody"/>
              <w:jc w:val="left"/>
            </w:pPr>
            <w:r>
              <w:rPr>
                <w:sz w:val="16"/>
              </w:rPr>
              <w:t>Bizovska et al. 2018 [34]: Three-variable logistic model</w:t>
            </w:r>
          </w:p>
        </w:tc>
        <w:tc>
          <w:tcPr>
            <w:tcW w:type="dxa" w:w="968"/>
          </w:tcPr>
          <w:p>
            <w:pPr>
              <w:pStyle w:val="MDPI42tablebody"/>
              <w:jc w:val="left"/>
            </w:pPr>
            <w:r>
              <w:rPr>
                <w:sz w:val="16"/>
              </w:rPr>
              <w:t>12 months</w:t>
            </w:r>
          </w:p>
        </w:tc>
        <w:tc>
          <w:tcPr>
            <w:tcW w:type="dxa" w:w="1453"/>
          </w:tcPr>
          <w:p>
            <w:pPr>
              <w:pStyle w:val="MDPI42tablebody"/>
              <w:jc w:val="left"/>
            </w:pPr>
            <w:r>
              <w:rPr>
                <w:sz w:val="16"/>
              </w:rPr>
              <w:t>Apparent</w:t>
            </w:r>
          </w:p>
        </w:tc>
        <w:tc>
          <w:tcPr>
            <w:tcW w:type="dxa" w:w="775"/>
          </w:tcPr>
          <w:p>
            <w:pPr>
              <w:pStyle w:val="MDPI42tablebody"/>
              <w:jc w:val="left"/>
            </w:pPr>
            <w:r>
              <w:rPr>
                <w:sz w:val="16"/>
              </w:rPr>
              <w:t>15</w:t>
            </w:r>
          </w:p>
        </w:tc>
        <w:tc>
          <w:tcPr>
            <w:tcW w:type="dxa" w:w="581"/>
          </w:tcPr>
          <w:p>
            <w:pPr>
              <w:pStyle w:val="MDPI42tablebody"/>
              <w:jc w:val="left"/>
            </w:pPr>
            <w:r>
              <w:rPr>
                <w:sz w:val="16"/>
              </w:rPr>
              <w:t>0.760</w:t>
            </w:r>
          </w:p>
        </w:tc>
        <w:tc>
          <w:tcPr>
            <w:tcW w:type="dxa" w:w="3583"/>
          </w:tcPr>
          <w:p>
            <w:pPr>
              <w:pStyle w:val="MDPI42tablebody"/>
              <w:jc w:val="left"/>
            </w:pPr>
            <w:r>
              <w:rPr>
                <w:sz w:val="16"/>
              </w:rPr>
              <w:t>Level 3; principal multivariable model (stability alone 0.673)</w:t>
            </w:r>
          </w:p>
        </w:tc>
        <w:tc>
          <w:tcPr>
            <w:tcW w:type="dxa" w:w="1065"/>
          </w:tcPr>
          <w:p>
            <w:pPr>
              <w:pStyle w:val="MDPI42tablebody"/>
              <w:jc w:val="left"/>
            </w:pPr>
            <w:r>
              <w:rPr>
                <w:sz w:val="16"/>
              </w:rPr>
              <w:t>0.673 / 0.760</w:t>
            </w:r>
          </w:p>
        </w:tc>
      </w:tr>
      <w:tr>
        <w:tc>
          <w:tcPr>
            <w:tcW w:type="dxa" w:w="1840"/>
          </w:tcPr>
          <w:p>
            <w:pPr>
              <w:pStyle w:val="MDPI42tablebody"/>
              <w:jc w:val="left"/>
            </w:pPr>
            <w:r>
              <w:rPr>
                <w:sz w:val="16"/>
              </w:rPr>
              <w:t>Marques community</w:t>
            </w:r>
          </w:p>
        </w:tc>
        <w:tc>
          <w:tcPr>
            <w:tcW w:type="dxa" w:w="2518"/>
          </w:tcPr>
          <w:p>
            <w:pPr>
              <w:pStyle w:val="MDPI42tablebody"/>
              <w:jc w:val="left"/>
            </w:pPr>
            <w:r>
              <w:rPr>
                <w:sz w:val="16"/>
              </w:rPr>
              <w:t>Marques et al. 2018 [35]</w:t>
            </w:r>
          </w:p>
        </w:tc>
        <w:tc>
          <w:tcPr>
            <w:tcW w:type="dxa" w:w="2615"/>
          </w:tcPr>
          <w:p>
            <w:pPr>
              <w:pStyle w:val="MDPI42tablebody"/>
              <w:jc w:val="left"/>
            </w:pPr>
            <w:r>
              <w:rPr>
                <w:sz w:val="16"/>
              </w:rPr>
              <w:t>Marques et al. 2018 [35]: stance-time variability threshold</w:t>
            </w:r>
          </w:p>
        </w:tc>
        <w:tc>
          <w:tcPr>
            <w:tcW w:type="dxa" w:w="968"/>
          </w:tcPr>
          <w:p>
            <w:pPr>
              <w:pStyle w:val="MDPI42tablebody"/>
              <w:jc w:val="left"/>
            </w:pPr>
            <w:r>
              <w:rPr>
                <w:sz w:val="16"/>
              </w:rPr>
              <w:t>12 months</w:t>
            </w:r>
          </w:p>
        </w:tc>
        <w:tc>
          <w:tcPr>
            <w:tcW w:type="dxa" w:w="1453"/>
          </w:tcPr>
          <w:p>
            <w:pPr>
              <w:pStyle w:val="MDPI42tablebody"/>
              <w:jc w:val="left"/>
            </w:pPr>
            <w:r>
              <w:rPr>
                <w:sz w:val="16"/>
              </w:rPr>
              <w:t>Apparent</w:t>
            </w:r>
          </w:p>
        </w:tc>
        <w:tc>
          <w:tcPr>
            <w:tcW w:type="dxa" w:w="775"/>
          </w:tcPr>
          <w:p>
            <w:pPr>
              <w:pStyle w:val="MDPI42tablebody"/>
              <w:jc w:val="left"/>
            </w:pPr>
            <w:r>
              <w:rPr>
                <w:sz w:val="16"/>
              </w:rPr>
              <w:t>53</w:t>
            </w:r>
          </w:p>
        </w:tc>
        <w:tc>
          <w:tcPr>
            <w:tcW w:type="dxa" w:w="581"/>
          </w:tcPr>
          <w:p>
            <w:pPr>
              <w:pStyle w:val="MDPI42tablebody"/>
              <w:jc w:val="left"/>
            </w:pPr>
            <w:r>
              <w:rPr>
                <w:sz w:val="16"/>
              </w:rPr>
              <w:t>0.72</w:t>
            </w:r>
          </w:p>
        </w:tc>
        <w:tc>
          <w:tcPr>
            <w:tcW w:type="dxa" w:w="3583"/>
          </w:tcPr>
          <w:p>
            <w:pPr>
              <w:pStyle w:val="MDPI42tablebody"/>
              <w:jc w:val="left"/>
            </w:pPr>
            <w:r>
              <w:rPr>
                <w:sz w:val="16"/>
              </w:rPr>
              <w:t>Level 3; stance-time variability was the sample-size outcome, was emphasized in the stated hypothesis, and ranked first in the discriminant analysis. The reported swing-time AUC of 0.246 had the opposite predictor direction and was not treated as a lower discrimination bound.</w:t>
            </w:r>
          </w:p>
        </w:tc>
        <w:tc>
          <w:tcPr>
            <w:tcW w:type="dxa" w:w="1065"/>
          </w:tcPr>
          <w:p>
            <w:pPr>
              <w:pStyle w:val="MDPI42tablebody"/>
              <w:jc w:val="left"/>
            </w:pPr>
            <w:r>
              <w:rPr>
                <w:sz w:val="16"/>
              </w:rPr>
              <w:t>0.720 / 0.970</w:t>
            </w:r>
          </w:p>
        </w:tc>
      </w:tr>
      <w:tr>
        <w:tc>
          <w:tcPr>
            <w:tcW w:type="dxa" w:w="1840"/>
          </w:tcPr>
          <w:p>
            <w:pPr>
              <w:pStyle w:val="MDPI42tablebody"/>
              <w:jc w:val="left"/>
            </w:pPr>
            <w:r>
              <w:rPr>
                <w:sz w:val="16"/>
              </w:rPr>
              <w:t>Oxford Discovery (Parkinson disease)</w:t>
            </w:r>
          </w:p>
        </w:tc>
        <w:tc>
          <w:tcPr>
            <w:tcW w:type="dxa" w:w="2518"/>
          </w:tcPr>
          <w:p>
            <w:pPr>
              <w:pStyle w:val="MDPI42tablebody"/>
              <w:jc w:val="left"/>
            </w:pPr>
            <w:r>
              <w:rPr>
                <w:sz w:val="16"/>
              </w:rPr>
              <w:t>Lo et al. 2019 [36]</w:t>
            </w:r>
          </w:p>
        </w:tc>
        <w:tc>
          <w:tcPr>
            <w:tcW w:type="dxa" w:w="2615"/>
          </w:tcPr>
          <w:p>
            <w:pPr>
              <w:pStyle w:val="MDPI42tablebody"/>
              <w:jc w:val="left"/>
            </w:pPr>
            <w:r>
              <w:rPr>
                <w:sz w:val="16"/>
              </w:rPr>
              <w:t>Lo et al. 2019 [36]: Machine-learning model (30 features)</w:t>
            </w:r>
          </w:p>
        </w:tc>
        <w:tc>
          <w:tcPr>
            <w:tcW w:type="dxa" w:w="968"/>
          </w:tcPr>
          <w:p>
            <w:pPr>
              <w:pStyle w:val="MDPI42tablebody"/>
              <w:jc w:val="left"/>
            </w:pPr>
            <w:r>
              <w:rPr>
                <w:sz w:val="16"/>
              </w:rPr>
              <w:t>18 months</w:t>
            </w:r>
          </w:p>
        </w:tc>
        <w:tc>
          <w:tcPr>
            <w:tcW w:type="dxa" w:w="1453"/>
          </w:tcPr>
          <w:p>
            <w:pPr>
              <w:pStyle w:val="MDPI42tablebody"/>
              <w:jc w:val="left"/>
            </w:pPr>
            <w:r>
              <w:rPr>
                <w:sz w:val="16"/>
              </w:rPr>
              <w:t>Leave-one-subject-out CV</w:t>
            </w:r>
          </w:p>
        </w:tc>
        <w:tc>
          <w:tcPr>
            <w:tcW w:type="dxa" w:w="775"/>
          </w:tcPr>
          <w:p>
            <w:pPr>
              <w:pStyle w:val="MDPI42tablebody"/>
              <w:jc w:val="left"/>
            </w:pPr>
            <w:r>
              <w:rPr>
                <w:sz w:val="16"/>
              </w:rPr>
              <w:t>39</w:t>
            </w:r>
          </w:p>
        </w:tc>
        <w:tc>
          <w:tcPr>
            <w:tcW w:type="dxa" w:w="581"/>
          </w:tcPr>
          <w:p>
            <w:pPr>
              <w:pStyle w:val="MDPI42tablebody"/>
              <w:jc w:val="left"/>
            </w:pPr>
            <w:r>
              <w:rPr>
                <w:sz w:val="16"/>
              </w:rPr>
              <w:t>0.79</w:t>
            </w:r>
          </w:p>
        </w:tc>
        <w:tc>
          <w:tcPr>
            <w:tcW w:type="dxa" w:w="3583"/>
          </w:tcPr>
          <w:p>
            <w:pPr>
              <w:pStyle w:val="MDPI42tablebody"/>
              <w:jc w:val="left"/>
            </w:pPr>
            <w:r>
              <w:rPr>
                <w:sz w:val="16"/>
              </w:rPr>
              <w:t>Level 2; participant-level estimate (window-level CV estimates excluded because of leakage)</w:t>
            </w:r>
          </w:p>
        </w:tc>
        <w:tc>
          <w:tcPr>
            <w:tcW w:type="dxa" w:w="1065"/>
          </w:tcPr>
          <w:p>
            <w:pPr>
              <w:pStyle w:val="MDPI42tablebody"/>
              <w:jc w:val="left"/>
            </w:pPr>
            <w:r>
              <w:rPr>
                <w:sz w:val="16"/>
              </w:rPr>
              <w:t>0.790 / 0.790</w:t>
            </w:r>
          </w:p>
        </w:tc>
      </w:tr>
      <w:tr>
        <w:tc>
          <w:tcPr>
            <w:tcW w:type="dxa" w:w="1840"/>
          </w:tcPr>
          <w:p>
            <w:pPr>
              <w:pStyle w:val="MDPI42tablebody"/>
              <w:jc w:val="left"/>
            </w:pPr>
            <w:r>
              <w:rPr>
                <w:sz w:val="16"/>
              </w:rPr>
              <w:t>Marques long-term care</w:t>
            </w:r>
          </w:p>
        </w:tc>
        <w:tc>
          <w:tcPr>
            <w:tcW w:type="dxa" w:w="2518"/>
          </w:tcPr>
          <w:p>
            <w:pPr>
              <w:pStyle w:val="MDPI42tablebody"/>
              <w:jc w:val="left"/>
            </w:pPr>
            <w:r>
              <w:rPr>
                <w:sz w:val="16"/>
              </w:rPr>
              <w:t>Marques et al. 2019 [37]</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AUC not available in indexed/publisher abstract</w:t>
            </w:r>
          </w:p>
        </w:tc>
        <w:tc>
          <w:tcPr>
            <w:tcW w:type="dxa" w:w="1065"/>
          </w:tcPr>
          <w:p>
            <w:pPr>
              <w:pStyle w:val="MDPI42tablebody"/>
              <w:jc w:val="left"/>
            </w:pPr>
            <w:r>
              <w:rPr>
                <w:sz w:val="16"/>
              </w:rPr>
              <w:t>—</w:t>
            </w:r>
          </w:p>
        </w:tc>
      </w:tr>
      <w:tr>
        <w:tc>
          <w:tcPr>
            <w:tcW w:type="dxa" w:w="1840"/>
          </w:tcPr>
          <w:p>
            <w:pPr>
              <w:pStyle w:val="MDPI42tablebody"/>
              <w:jc w:val="left"/>
            </w:pPr>
            <w:r>
              <w:rPr>
                <w:sz w:val="16"/>
              </w:rPr>
              <w:t>Gillain community</w:t>
            </w:r>
          </w:p>
        </w:tc>
        <w:tc>
          <w:tcPr>
            <w:tcW w:type="dxa" w:w="2518"/>
          </w:tcPr>
          <w:p>
            <w:pPr>
              <w:pStyle w:val="MDPI42tablebody"/>
              <w:jc w:val="left"/>
            </w:pPr>
            <w:r>
              <w:rPr>
                <w:sz w:val="16"/>
              </w:rPr>
              <w:t>Gillain et al. 2019 [38]</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Accuracy, sensitivity, and specificity only</w:t>
            </w:r>
          </w:p>
        </w:tc>
        <w:tc>
          <w:tcPr>
            <w:tcW w:type="dxa" w:w="1065"/>
          </w:tcPr>
          <w:p>
            <w:pPr>
              <w:pStyle w:val="MDPI42tablebody"/>
              <w:jc w:val="left"/>
            </w:pPr>
            <w:r>
              <w:rPr>
                <w:sz w:val="16"/>
              </w:rPr>
              <w:t>—</w:t>
            </w:r>
          </w:p>
        </w:tc>
      </w:tr>
      <w:tr>
        <w:tc>
          <w:tcPr>
            <w:tcW w:type="dxa" w:w="1840"/>
          </w:tcPr>
          <w:p>
            <w:pPr>
              <w:pStyle w:val="MDPI42tablebody"/>
              <w:jc w:val="left"/>
            </w:pPr>
            <w:r>
              <w:rPr>
                <w:sz w:val="16"/>
              </w:rPr>
              <w:t>Nursing-home IMU</w:t>
            </w:r>
          </w:p>
        </w:tc>
        <w:tc>
          <w:tcPr>
            <w:tcW w:type="dxa" w:w="2518"/>
          </w:tcPr>
          <w:p>
            <w:pPr>
              <w:pStyle w:val="MDPI42tablebody"/>
              <w:jc w:val="left"/>
            </w:pPr>
            <w:r>
              <w:rPr>
                <w:sz w:val="16"/>
              </w:rPr>
              <w:t>Buisseret et al. 2020 [39]; Dierick et al. 2022 [48]</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Accuracy, sensitivity, and specificity only</w:t>
            </w:r>
          </w:p>
        </w:tc>
        <w:tc>
          <w:tcPr>
            <w:tcW w:type="dxa" w:w="1065"/>
          </w:tcPr>
          <w:p>
            <w:pPr>
              <w:pStyle w:val="MDPI42tablebody"/>
              <w:jc w:val="left"/>
            </w:pPr>
            <w:r>
              <w:rPr>
                <w:sz w:val="16"/>
              </w:rPr>
              <w:t>—</w:t>
            </w:r>
          </w:p>
        </w:tc>
      </w:tr>
      <w:tr>
        <w:tc>
          <w:tcPr>
            <w:tcW w:type="dxa" w:w="1840"/>
          </w:tcPr>
          <w:p>
            <w:pPr>
              <w:pStyle w:val="MDPI42tablebody"/>
              <w:jc w:val="left"/>
            </w:pPr>
            <w:r>
              <w:rPr>
                <w:sz w:val="16"/>
              </w:rPr>
              <w:t>FallSensing</w:t>
            </w:r>
          </w:p>
        </w:tc>
        <w:tc>
          <w:tcPr>
            <w:tcW w:type="dxa" w:w="2518"/>
          </w:tcPr>
          <w:p>
            <w:pPr>
              <w:pStyle w:val="MDPI42tablebody"/>
              <w:jc w:val="left"/>
            </w:pPr>
            <w:r>
              <w:rPr>
                <w:sz w:val="16"/>
              </w:rPr>
              <w:t>Silva et al. 2020 [40]</w:t>
            </w:r>
          </w:p>
        </w:tc>
        <w:tc>
          <w:tcPr>
            <w:tcW w:type="dxa" w:w="2615"/>
          </w:tcPr>
          <w:p>
            <w:pPr>
              <w:pStyle w:val="MDPI42tablebody"/>
              <w:jc w:val="left"/>
            </w:pPr>
            <w:r>
              <w:rPr>
                <w:sz w:val="16"/>
              </w:rPr>
              <w:t>Silva et al. 2020 [40]: Late-fusion pipeline</w:t>
            </w:r>
          </w:p>
        </w:tc>
        <w:tc>
          <w:tcPr>
            <w:tcW w:type="dxa" w:w="968"/>
          </w:tcPr>
          <w:p>
            <w:pPr>
              <w:pStyle w:val="MDPI42tablebody"/>
              <w:jc w:val="left"/>
            </w:pPr>
            <w:r>
              <w:rPr>
                <w:sz w:val="16"/>
              </w:rPr>
              <w:t>12 months</w:t>
            </w:r>
          </w:p>
        </w:tc>
        <w:tc>
          <w:tcPr>
            <w:tcW w:type="dxa" w:w="1453"/>
          </w:tcPr>
          <w:p>
            <w:pPr>
              <w:pStyle w:val="MDPI42tablebody"/>
              <w:jc w:val="left"/>
            </w:pPr>
            <w:r>
              <w:rPr>
                <w:sz w:val="16"/>
              </w:rPr>
              <w:t>50 repeated 67:33 splits</w:t>
            </w:r>
          </w:p>
        </w:tc>
        <w:tc>
          <w:tcPr>
            <w:tcW w:type="dxa" w:w="775"/>
          </w:tcPr>
          <w:p>
            <w:pPr>
              <w:pStyle w:val="MDPI42tablebody"/>
              <w:jc w:val="left"/>
            </w:pPr>
            <w:r>
              <w:rPr>
                <w:sz w:val="16"/>
              </w:rPr>
              <w:t>74</w:t>
            </w:r>
          </w:p>
        </w:tc>
        <w:tc>
          <w:tcPr>
            <w:tcW w:type="dxa" w:w="581"/>
          </w:tcPr>
          <w:p>
            <w:pPr>
              <w:pStyle w:val="MDPI42tablebody"/>
              <w:jc w:val="left"/>
            </w:pPr>
            <w:r>
              <w:rPr>
                <w:sz w:val="16"/>
              </w:rPr>
              <w:t>0.505</w:t>
            </w:r>
          </w:p>
        </w:tc>
        <w:tc>
          <w:tcPr>
            <w:tcW w:type="dxa" w:w="3583"/>
          </w:tcPr>
          <w:p>
            <w:pPr>
              <w:pStyle w:val="MDPI42tablebody"/>
              <w:jc w:val="left"/>
            </w:pPr>
            <w:r>
              <w:rPr>
                <w:sz w:val="16"/>
              </w:rPr>
              <w:t>Level 2; three fusion strategies with AUC 0.495–0.505 (choice immaterial)</w:t>
            </w:r>
          </w:p>
        </w:tc>
        <w:tc>
          <w:tcPr>
            <w:tcW w:type="dxa" w:w="1065"/>
          </w:tcPr>
          <w:p>
            <w:pPr>
              <w:pStyle w:val="MDPI42tablebody"/>
              <w:jc w:val="left"/>
            </w:pPr>
            <w:r>
              <w:rPr>
                <w:sz w:val="16"/>
              </w:rPr>
              <w:t>0.495 / 0.505</w:t>
            </w:r>
          </w:p>
        </w:tc>
      </w:tr>
      <w:tr>
        <w:tc>
          <w:tcPr>
            <w:tcW w:type="dxa" w:w="1840"/>
          </w:tcPr>
          <w:p>
            <w:pPr>
              <w:pStyle w:val="MDPI42tablebody"/>
              <w:jc w:val="left"/>
            </w:pPr>
            <w:r>
              <w:rPr>
                <w:sz w:val="16"/>
              </w:rPr>
              <w:t>Sturchio Parkinson disease with orthostatic hypotension</w:t>
            </w:r>
          </w:p>
        </w:tc>
        <w:tc>
          <w:tcPr>
            <w:tcW w:type="dxa" w:w="2518"/>
          </w:tcPr>
          <w:p>
            <w:pPr>
              <w:pStyle w:val="MDPI42tablebody"/>
              <w:jc w:val="left"/>
            </w:pPr>
            <w:r>
              <w:rPr>
                <w:sz w:val="16"/>
              </w:rPr>
              <w:t>Sturchio et al. 2021 [41]</w:t>
            </w:r>
          </w:p>
        </w:tc>
        <w:tc>
          <w:tcPr>
            <w:tcW w:type="dxa" w:w="2615"/>
          </w:tcPr>
          <w:p>
            <w:pPr>
              <w:pStyle w:val="MDPI42tablebody"/>
              <w:jc w:val="left"/>
            </w:pPr>
            <w:r>
              <w:rPr>
                <w:sz w:val="16"/>
              </w:rPr>
              <w:t>Sturchio et al. 2021 [41]: Three-feature kinematic cluster</w:t>
            </w:r>
          </w:p>
        </w:tc>
        <w:tc>
          <w:tcPr>
            <w:tcW w:type="dxa" w:w="968"/>
          </w:tcPr>
          <w:p>
            <w:pPr>
              <w:pStyle w:val="MDPI42tablebody"/>
              <w:jc w:val="left"/>
            </w:pPr>
            <w:r>
              <w:rPr>
                <w:sz w:val="16"/>
              </w:rPr>
              <w:t>6 months</w:t>
            </w:r>
          </w:p>
        </w:tc>
        <w:tc>
          <w:tcPr>
            <w:tcW w:type="dxa" w:w="1453"/>
          </w:tcPr>
          <w:p>
            <w:pPr>
              <w:pStyle w:val="MDPI42tablebody"/>
              <w:jc w:val="left"/>
            </w:pPr>
            <w:r>
              <w:rPr>
                <w:sz w:val="16"/>
              </w:rPr>
              <w:t>Apparent</w:t>
            </w:r>
          </w:p>
        </w:tc>
        <w:tc>
          <w:tcPr>
            <w:tcW w:type="dxa" w:w="775"/>
          </w:tcPr>
          <w:p>
            <w:pPr>
              <w:pStyle w:val="MDPI42tablebody"/>
              <w:jc w:val="left"/>
            </w:pPr>
            <w:r>
              <w:rPr>
                <w:sz w:val="16"/>
              </w:rPr>
              <w:t>14</w:t>
            </w:r>
          </w:p>
        </w:tc>
        <w:tc>
          <w:tcPr>
            <w:tcW w:type="dxa" w:w="581"/>
          </w:tcPr>
          <w:p>
            <w:pPr>
              <w:pStyle w:val="MDPI42tablebody"/>
              <w:jc w:val="left"/>
            </w:pPr>
            <w:r>
              <w:rPr>
                <w:sz w:val="16"/>
              </w:rPr>
              <w:t>0.87</w:t>
            </w:r>
          </w:p>
        </w:tc>
        <w:tc>
          <w:tcPr>
            <w:tcW w:type="dxa" w:w="3583"/>
          </w:tcPr>
          <w:p>
            <w:pPr>
              <w:pStyle w:val="MDPI42tablebody"/>
              <w:jc w:val="left"/>
            </w:pPr>
            <w:r>
              <w:rPr>
                <w:sz w:val="16"/>
              </w:rPr>
              <w:t>Level 3; principal multivariable model (single sway feature 0.81)</w:t>
            </w:r>
          </w:p>
        </w:tc>
        <w:tc>
          <w:tcPr>
            <w:tcW w:type="dxa" w:w="1065"/>
          </w:tcPr>
          <w:p>
            <w:pPr>
              <w:pStyle w:val="MDPI42tablebody"/>
              <w:jc w:val="left"/>
            </w:pPr>
            <w:r>
              <w:rPr>
                <w:sz w:val="16"/>
              </w:rPr>
              <w:t>0.810 / 0.870</w:t>
            </w:r>
          </w:p>
        </w:tc>
      </w:tr>
      <w:tr>
        <w:tc>
          <w:tcPr>
            <w:tcW w:type="dxa" w:w="1840"/>
          </w:tcPr>
          <w:p>
            <w:pPr>
              <w:pStyle w:val="MDPI42tablebody"/>
              <w:jc w:val="left"/>
            </w:pPr>
            <w:r>
              <w:rPr>
                <w:sz w:val="16"/>
              </w:rPr>
              <w:t>Bet community</w:t>
            </w:r>
          </w:p>
        </w:tc>
        <w:tc>
          <w:tcPr>
            <w:tcW w:type="dxa" w:w="2518"/>
          </w:tcPr>
          <w:p>
            <w:pPr>
              <w:pStyle w:val="MDPI42tablebody"/>
              <w:jc w:val="left"/>
            </w:pPr>
            <w:r>
              <w:rPr>
                <w:sz w:val="16"/>
              </w:rPr>
              <w:t>Bet et al. 2021 [42]</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Threshold performance only</w:t>
            </w:r>
          </w:p>
        </w:tc>
        <w:tc>
          <w:tcPr>
            <w:tcW w:type="dxa" w:w="1065"/>
          </w:tcPr>
          <w:p>
            <w:pPr>
              <w:pStyle w:val="MDPI42tablebody"/>
              <w:jc w:val="left"/>
            </w:pPr>
            <w:r>
              <w:rPr>
                <w:sz w:val="16"/>
              </w:rPr>
              <w:t>—</w:t>
            </w:r>
          </w:p>
        </w:tc>
      </w:tr>
      <w:tr>
        <w:tc>
          <w:tcPr>
            <w:tcW w:type="dxa" w:w="1840"/>
          </w:tcPr>
          <w:p>
            <w:pPr>
              <w:pStyle w:val="MDPI42tablebody"/>
              <w:jc w:val="left"/>
            </w:pPr>
            <w:r>
              <w:rPr>
                <w:sz w:val="16"/>
              </w:rPr>
              <w:t>Toronto dementia ambient vision</w:t>
            </w:r>
          </w:p>
        </w:tc>
        <w:tc>
          <w:tcPr>
            <w:tcW w:type="dxa" w:w="2518"/>
          </w:tcPr>
          <w:p>
            <w:pPr>
              <w:pStyle w:val="MDPI42tablebody"/>
              <w:jc w:val="left"/>
            </w:pPr>
            <w:r>
              <w:rPr>
                <w:sz w:val="16"/>
              </w:rPr>
              <w:t>Mehdizadeh et al. 2021 [43]; Adeli et al. 2023 [55]</w:t>
            </w:r>
          </w:p>
        </w:tc>
        <w:tc>
          <w:tcPr>
            <w:tcW w:type="dxa" w:w="2615"/>
          </w:tcPr>
          <w:p>
            <w:pPr>
              <w:pStyle w:val="MDPI42tablebody"/>
              <w:jc w:val="left"/>
            </w:pPr>
            <w:r>
              <w:rPr>
                <w:sz w:val="16"/>
              </w:rPr>
              <w:t>Adeli et al. 2023 [55]: Best machine-learning model with ambient gait</w:t>
            </w:r>
          </w:p>
        </w:tc>
        <w:tc>
          <w:tcPr>
            <w:tcW w:type="dxa" w:w="968"/>
          </w:tcPr>
          <w:p>
            <w:pPr>
              <w:pStyle w:val="MDPI42tablebody"/>
              <w:jc w:val="left"/>
            </w:pPr>
            <w:r>
              <w:rPr>
                <w:sz w:val="16"/>
              </w:rPr>
              <w:t>Rolling 4 weeks</w:t>
            </w:r>
          </w:p>
        </w:tc>
        <w:tc>
          <w:tcPr>
            <w:tcW w:type="dxa" w:w="1453"/>
          </w:tcPr>
          <w:p>
            <w:pPr>
              <w:pStyle w:val="MDPI42tablebody"/>
              <w:jc w:val="left"/>
            </w:pPr>
            <w:r>
              <w:rPr>
                <w:sz w:val="16"/>
              </w:rPr>
              <w:t>Leave-one-subject-out CV</w:t>
            </w:r>
          </w:p>
        </w:tc>
        <w:tc>
          <w:tcPr>
            <w:tcW w:type="dxa" w:w="775"/>
          </w:tcPr>
          <w:p>
            <w:pPr>
              <w:pStyle w:val="MDPI42tablebody"/>
              <w:jc w:val="left"/>
            </w:pPr>
            <w:r>
              <w:rPr>
                <w:sz w:val="16"/>
              </w:rPr>
              <w:t>20</w:t>
            </w:r>
          </w:p>
        </w:tc>
        <w:tc>
          <w:tcPr>
            <w:tcW w:type="dxa" w:w="581"/>
          </w:tcPr>
          <w:p>
            <w:pPr>
              <w:pStyle w:val="MDPI42tablebody"/>
              <w:jc w:val="left"/>
            </w:pPr>
            <w:r>
              <w:rPr>
                <w:sz w:val="16"/>
              </w:rPr>
              <w:t>0.762</w:t>
            </w:r>
          </w:p>
        </w:tc>
        <w:tc>
          <w:tcPr>
            <w:tcW w:type="dxa" w:w="3583"/>
          </w:tcPr>
          <w:p>
            <w:pPr>
              <w:pStyle w:val="MDPI42tablebody"/>
              <w:jc w:val="left"/>
            </w:pPr>
            <w:r>
              <w:rPr>
                <w:sz w:val="16"/>
              </w:rPr>
              <w:t>Level 2; 7- and 30-day AUCs [43] lack horizon-specific faller counts</w:t>
            </w:r>
          </w:p>
        </w:tc>
        <w:tc>
          <w:tcPr>
            <w:tcW w:type="dxa" w:w="1065"/>
          </w:tcPr>
          <w:p>
            <w:pPr>
              <w:pStyle w:val="MDPI42tablebody"/>
              <w:jc w:val="left"/>
            </w:pPr>
            <w:r>
              <w:rPr>
                <w:sz w:val="16"/>
              </w:rPr>
              <w:t>0.670 / 0.800</w:t>
            </w:r>
          </w:p>
        </w:tc>
      </w:tr>
      <w:tr>
        <w:tc>
          <w:tcPr>
            <w:tcW w:type="dxa" w:w="1840"/>
          </w:tcPr>
          <w:p>
            <w:pPr>
              <w:pStyle w:val="MDPI42tablebody"/>
              <w:jc w:val="left"/>
            </w:pPr>
            <w:r>
              <w:rPr>
                <w:sz w:val="16"/>
              </w:rPr>
              <w:t>Lockhart community</w:t>
            </w:r>
          </w:p>
        </w:tc>
        <w:tc>
          <w:tcPr>
            <w:tcW w:type="dxa" w:w="2518"/>
          </w:tcPr>
          <w:p>
            <w:pPr>
              <w:pStyle w:val="MDPI42tablebody"/>
              <w:jc w:val="left"/>
            </w:pPr>
            <w:r>
              <w:rPr>
                <w:sz w:val="16"/>
              </w:rPr>
              <w:t>Lockhart et al. 2021 [44]</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Accuracy, sensitivity, and specificity only</w:t>
            </w:r>
          </w:p>
        </w:tc>
        <w:tc>
          <w:tcPr>
            <w:tcW w:type="dxa" w:w="1065"/>
          </w:tcPr>
          <w:p>
            <w:pPr>
              <w:pStyle w:val="MDPI42tablebody"/>
              <w:jc w:val="left"/>
            </w:pPr>
            <w:r>
              <w:rPr>
                <w:sz w:val="16"/>
              </w:rPr>
              <w:t>—</w:t>
            </w:r>
          </w:p>
        </w:tc>
      </w:tr>
      <w:tr>
        <w:tc>
          <w:tcPr>
            <w:tcW w:type="dxa" w:w="1840"/>
          </w:tcPr>
          <w:p>
            <w:pPr>
              <w:pStyle w:val="MDPI42tablebody"/>
              <w:jc w:val="left"/>
            </w:pPr>
            <w:r>
              <w:rPr>
                <w:sz w:val="16"/>
              </w:rPr>
              <w:t>Roshdibenam geriatric clinic</w:t>
            </w:r>
          </w:p>
        </w:tc>
        <w:tc>
          <w:tcPr>
            <w:tcW w:type="dxa" w:w="2518"/>
          </w:tcPr>
          <w:p>
            <w:pPr>
              <w:pStyle w:val="MDPI42tablebody"/>
              <w:jc w:val="left"/>
            </w:pPr>
            <w:r>
              <w:rPr>
                <w:sz w:val="16"/>
              </w:rPr>
              <w:t>Roshdibenam et al. 2021 [45]</w:t>
            </w:r>
          </w:p>
        </w:tc>
        <w:tc>
          <w:tcPr>
            <w:tcW w:type="dxa" w:w="2615"/>
          </w:tcPr>
          <w:p>
            <w:pPr>
              <w:pStyle w:val="MDPI42tablebody"/>
              <w:jc w:val="left"/>
            </w:pPr>
            <w:r>
              <w:rPr>
                <w:sz w:val="16"/>
              </w:rPr>
              <w:t>Roshdibenam et al. 2021 [45]: Neck-sensor CNN (gyroscope)</w:t>
            </w:r>
          </w:p>
        </w:tc>
        <w:tc>
          <w:tcPr>
            <w:tcW w:type="dxa" w:w="968"/>
          </w:tcPr>
          <w:p>
            <w:pPr>
              <w:pStyle w:val="MDPI42tablebody"/>
              <w:jc w:val="left"/>
            </w:pPr>
            <w:r>
              <w:rPr>
                <w:sz w:val="16"/>
              </w:rPr>
              <w:t>6–12 months</w:t>
            </w:r>
          </w:p>
        </w:tc>
        <w:tc>
          <w:tcPr>
            <w:tcW w:type="dxa" w:w="1453"/>
          </w:tcPr>
          <w:p>
            <w:pPr>
              <w:pStyle w:val="MDPI42tablebody"/>
              <w:jc w:val="left"/>
            </w:pPr>
            <w:r>
              <w:rPr>
                <w:sz w:val="16"/>
              </w:rPr>
              <w:t>Repeated 80:20 split</w:t>
            </w:r>
          </w:p>
        </w:tc>
        <w:tc>
          <w:tcPr>
            <w:tcW w:type="dxa" w:w="775"/>
          </w:tcPr>
          <w:p>
            <w:pPr>
              <w:pStyle w:val="MDPI42tablebody"/>
              <w:jc w:val="left"/>
            </w:pPr>
            <w:r>
              <w:rPr>
                <w:sz w:val="16"/>
              </w:rPr>
              <w:t>25</w:t>
            </w:r>
          </w:p>
        </w:tc>
        <w:tc>
          <w:tcPr>
            <w:tcW w:type="dxa" w:w="581"/>
          </w:tcPr>
          <w:p>
            <w:pPr>
              <w:pStyle w:val="MDPI42tablebody"/>
              <w:jc w:val="left"/>
            </w:pPr>
            <w:r>
              <w:rPr>
                <w:sz w:val="16"/>
              </w:rPr>
              <w:t>0.56</w:t>
            </w:r>
          </w:p>
        </w:tc>
        <w:tc>
          <w:tcPr>
            <w:tcW w:type="dxa" w:w="3583"/>
          </w:tcPr>
          <w:p>
            <w:pPr>
              <w:pStyle w:val="MDPI42tablebody"/>
              <w:jc w:val="left"/>
            </w:pPr>
            <w:r>
              <w:rPr>
                <w:sz w:val="16"/>
              </w:rPr>
              <w:t>Level 2; best prospective-fall model</w:t>
            </w:r>
          </w:p>
        </w:tc>
        <w:tc>
          <w:tcPr>
            <w:tcW w:type="dxa" w:w="1065"/>
          </w:tcPr>
          <w:p>
            <w:pPr>
              <w:pStyle w:val="MDPI42tablebody"/>
              <w:jc w:val="left"/>
            </w:pPr>
            <w:r>
              <w:rPr>
                <w:sz w:val="16"/>
              </w:rPr>
              <w:t>0.560 / 0.560</w:t>
            </w:r>
          </w:p>
        </w:tc>
      </w:tr>
      <w:tr>
        <w:tc>
          <w:tcPr>
            <w:tcW w:type="dxa" w:w="1840"/>
          </w:tcPr>
          <w:p>
            <w:pPr>
              <w:pStyle w:val="MDPI42tablebody"/>
              <w:jc w:val="left"/>
            </w:pPr>
            <w:r>
              <w:rPr>
                <w:sz w:val="16"/>
              </w:rPr>
              <w:t>Kelly Umeå 70-year-olds</w:t>
            </w:r>
          </w:p>
        </w:tc>
        <w:tc>
          <w:tcPr>
            <w:tcW w:type="dxa" w:w="2518"/>
          </w:tcPr>
          <w:p>
            <w:pPr>
              <w:pStyle w:val="MDPI42tablebody"/>
              <w:jc w:val="left"/>
            </w:pPr>
            <w:r>
              <w:rPr>
                <w:sz w:val="16"/>
              </w:rPr>
              <w:t>Kelly et al. 2022 [47]</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Sensitivity and specificity only</w:t>
            </w:r>
          </w:p>
        </w:tc>
        <w:tc>
          <w:tcPr>
            <w:tcW w:type="dxa" w:w="1065"/>
          </w:tcPr>
          <w:p>
            <w:pPr>
              <w:pStyle w:val="MDPI42tablebody"/>
              <w:jc w:val="left"/>
            </w:pPr>
            <w:r>
              <w:rPr>
                <w:sz w:val="16"/>
              </w:rPr>
              <w:t>—</w:t>
            </w:r>
          </w:p>
        </w:tc>
      </w:tr>
      <w:tr>
        <w:tc>
          <w:tcPr>
            <w:tcW w:type="dxa" w:w="1840"/>
          </w:tcPr>
          <w:p>
            <w:pPr>
              <w:pStyle w:val="MDPI42tablebody"/>
              <w:jc w:val="left"/>
            </w:pPr>
            <w:r>
              <w:rPr>
                <w:sz w:val="16"/>
              </w:rPr>
              <w:t>Ma Parkinson disease</w:t>
            </w:r>
          </w:p>
        </w:tc>
        <w:tc>
          <w:tcPr>
            <w:tcW w:type="dxa" w:w="2518"/>
          </w:tcPr>
          <w:p>
            <w:pPr>
              <w:pStyle w:val="MDPI42tablebody"/>
              <w:jc w:val="left"/>
            </w:pPr>
            <w:r>
              <w:rPr>
                <w:sz w:val="16"/>
              </w:rPr>
              <w:t>Ma et al. 2022 [49]</w:t>
            </w:r>
          </w:p>
        </w:tc>
        <w:tc>
          <w:tcPr>
            <w:tcW w:type="dxa" w:w="2615"/>
          </w:tcPr>
          <w:p>
            <w:pPr>
              <w:pStyle w:val="MDPI42tablebody"/>
              <w:jc w:val="left"/>
            </w:pPr>
            <w:r>
              <w:rPr>
                <w:sz w:val="16"/>
              </w:rPr>
              <w:t>Ma et al. 2022 [49]: Multivariable logistic model</w:t>
            </w:r>
          </w:p>
        </w:tc>
        <w:tc>
          <w:tcPr>
            <w:tcW w:type="dxa" w:w="968"/>
          </w:tcPr>
          <w:p>
            <w:pPr>
              <w:pStyle w:val="MDPI42tablebody"/>
              <w:jc w:val="left"/>
            </w:pPr>
            <w:r>
              <w:rPr>
                <w:sz w:val="16"/>
              </w:rPr>
              <w:t>6 months</w:t>
            </w:r>
          </w:p>
        </w:tc>
        <w:tc>
          <w:tcPr>
            <w:tcW w:type="dxa" w:w="1453"/>
          </w:tcPr>
          <w:p>
            <w:pPr>
              <w:pStyle w:val="MDPI42tablebody"/>
              <w:jc w:val="left"/>
            </w:pPr>
            <w:r>
              <w:rPr>
                <w:sz w:val="16"/>
              </w:rPr>
              <w:t>Apparent</w:t>
            </w:r>
          </w:p>
        </w:tc>
        <w:tc>
          <w:tcPr>
            <w:tcW w:type="dxa" w:w="775"/>
          </w:tcPr>
          <w:p>
            <w:pPr>
              <w:pStyle w:val="MDPI42tablebody"/>
              <w:jc w:val="left"/>
            </w:pPr>
            <w:r>
              <w:rPr>
                <w:sz w:val="16"/>
              </w:rPr>
              <w:t>14</w:t>
            </w:r>
          </w:p>
        </w:tc>
        <w:tc>
          <w:tcPr>
            <w:tcW w:type="dxa" w:w="581"/>
          </w:tcPr>
          <w:p>
            <w:pPr>
              <w:pStyle w:val="MDPI42tablebody"/>
              <w:jc w:val="left"/>
            </w:pPr>
            <w:r>
              <w:rPr>
                <w:sz w:val="16"/>
              </w:rPr>
              <w:t>0.838</w:t>
            </w:r>
          </w:p>
        </w:tc>
        <w:tc>
          <w:tcPr>
            <w:tcW w:type="dxa" w:w="3583"/>
          </w:tcPr>
          <w:p>
            <w:pPr>
              <w:pStyle w:val="MDPI42tablebody"/>
              <w:jc w:val="left"/>
            </w:pPr>
            <w:r>
              <w:rPr>
                <w:sz w:val="16"/>
              </w:rPr>
              <w:t>Level 3; principal multivariable model (single variable 0.751)</w:t>
            </w:r>
          </w:p>
        </w:tc>
        <w:tc>
          <w:tcPr>
            <w:tcW w:type="dxa" w:w="1065"/>
          </w:tcPr>
          <w:p>
            <w:pPr>
              <w:pStyle w:val="MDPI42tablebody"/>
              <w:jc w:val="left"/>
            </w:pPr>
            <w:r>
              <w:rPr>
                <w:sz w:val="16"/>
              </w:rPr>
              <w:t>0.751 / 0.838</w:t>
            </w:r>
          </w:p>
        </w:tc>
      </w:tr>
      <w:tr>
        <w:tc>
          <w:tcPr>
            <w:tcW w:type="dxa" w:w="1840"/>
          </w:tcPr>
          <w:p>
            <w:pPr>
              <w:pStyle w:val="MDPI42tablebody"/>
              <w:jc w:val="left"/>
            </w:pPr>
            <w:r>
              <w:rPr>
                <w:sz w:val="16"/>
              </w:rPr>
              <w:t>Dasgupta emergency department</w:t>
            </w:r>
          </w:p>
        </w:tc>
        <w:tc>
          <w:tcPr>
            <w:tcW w:type="dxa" w:w="2518"/>
          </w:tcPr>
          <w:p>
            <w:pPr>
              <w:pStyle w:val="MDPI42tablebody"/>
              <w:jc w:val="left"/>
            </w:pPr>
            <w:r>
              <w:rPr>
                <w:sz w:val="16"/>
              </w:rPr>
              <w:t>Dasgupta et al. 2022 [50]</w:t>
            </w:r>
          </w:p>
        </w:tc>
        <w:tc>
          <w:tcPr>
            <w:tcW w:type="dxa" w:w="2615"/>
          </w:tcPr>
          <w:p>
            <w:pPr>
              <w:pStyle w:val="MDPI42tablebody"/>
              <w:jc w:val="left"/>
            </w:pPr>
            <w:r>
              <w:rPr>
                <w:sz w:val="16"/>
              </w:rPr>
              <w:t>Dasgupta et al. 2022 [50]: HCRNN</w:t>
            </w:r>
          </w:p>
        </w:tc>
        <w:tc>
          <w:tcPr>
            <w:tcW w:type="dxa" w:w="968"/>
          </w:tcPr>
          <w:p>
            <w:pPr>
              <w:pStyle w:val="MDPI42tablebody"/>
              <w:jc w:val="left"/>
            </w:pPr>
            <w:r>
              <w:rPr>
                <w:sz w:val="16"/>
              </w:rPr>
              <w:t>3 months</w:t>
            </w:r>
          </w:p>
        </w:tc>
        <w:tc>
          <w:tcPr>
            <w:tcW w:type="dxa" w:w="1453"/>
          </w:tcPr>
          <w:p>
            <w:pPr>
              <w:pStyle w:val="MDPI42tablebody"/>
              <w:jc w:val="left"/>
            </w:pPr>
            <w:r>
              <w:rPr>
                <w:sz w:val="16"/>
              </w:rPr>
              <w:t>Leave-one-out CV</w:t>
            </w:r>
          </w:p>
        </w:tc>
        <w:tc>
          <w:tcPr>
            <w:tcW w:type="dxa" w:w="775"/>
          </w:tcPr>
          <w:p>
            <w:pPr>
              <w:pStyle w:val="MDPI42tablebody"/>
              <w:jc w:val="left"/>
            </w:pPr>
            <w:r>
              <w:rPr>
                <w:sz w:val="16"/>
              </w:rPr>
              <w:t>14</w:t>
            </w:r>
          </w:p>
        </w:tc>
        <w:tc>
          <w:tcPr>
            <w:tcW w:type="dxa" w:w="581"/>
          </w:tcPr>
          <w:p>
            <w:pPr>
              <w:pStyle w:val="MDPI42tablebody"/>
              <w:jc w:val="left"/>
            </w:pPr>
            <w:r>
              <w:rPr>
                <w:sz w:val="16"/>
              </w:rPr>
              <w:t>0.99</w:t>
            </w:r>
          </w:p>
        </w:tc>
        <w:tc>
          <w:tcPr>
            <w:tcW w:type="dxa" w:w="3583"/>
          </w:tcPr>
          <w:p>
            <w:pPr>
              <w:pStyle w:val="MDPI42tablebody"/>
              <w:jc w:val="left"/>
            </w:pPr>
            <w:r>
              <w:rPr>
                <w:sz w:val="16"/>
              </w:rPr>
              <w:t>Level 2; only gait-containing model</w:t>
            </w:r>
          </w:p>
        </w:tc>
        <w:tc>
          <w:tcPr>
            <w:tcW w:type="dxa" w:w="1065"/>
          </w:tcPr>
          <w:p>
            <w:pPr>
              <w:pStyle w:val="MDPI42tablebody"/>
              <w:jc w:val="left"/>
            </w:pPr>
            <w:r>
              <w:rPr>
                <w:sz w:val="16"/>
              </w:rPr>
              <w:t>0.990 / 0.990</w:t>
            </w:r>
          </w:p>
        </w:tc>
      </w:tr>
      <w:tr>
        <w:tc>
          <w:tcPr>
            <w:tcW w:type="dxa" w:w="1840"/>
          </w:tcPr>
          <w:p>
            <w:pPr>
              <w:pStyle w:val="MDPI42tablebody"/>
              <w:jc w:val="left"/>
            </w:pPr>
            <w:r>
              <w:rPr>
                <w:sz w:val="16"/>
              </w:rPr>
              <w:t>Caronni neurorehabilitation</w:t>
            </w:r>
          </w:p>
        </w:tc>
        <w:tc>
          <w:tcPr>
            <w:tcW w:type="dxa" w:w="2518"/>
          </w:tcPr>
          <w:p>
            <w:pPr>
              <w:pStyle w:val="MDPI42tablebody"/>
              <w:jc w:val="left"/>
            </w:pPr>
            <w:r>
              <w:rPr>
                <w:sz w:val="16"/>
              </w:rPr>
              <w:t>Caronni et al. 2023 [51]</w:t>
            </w:r>
          </w:p>
        </w:tc>
        <w:tc>
          <w:tcPr>
            <w:tcW w:type="dxa" w:w="2615"/>
          </w:tcPr>
          <w:p>
            <w:pPr>
              <w:pStyle w:val="MDPI42tablebody"/>
              <w:jc w:val="left"/>
            </w:pPr>
            <w:r>
              <w:rPr>
                <w:sz w:val="16"/>
              </w:rPr>
              <w:t>Caronni et al. 2023 [51]: LASSO model (fall history + TUG turning)</w:t>
            </w:r>
          </w:p>
        </w:tc>
        <w:tc>
          <w:tcPr>
            <w:tcW w:type="dxa" w:w="968"/>
          </w:tcPr>
          <w:p>
            <w:pPr>
              <w:pStyle w:val="MDPI42tablebody"/>
              <w:jc w:val="left"/>
            </w:pPr>
            <w:r>
              <w:rPr>
                <w:sz w:val="16"/>
              </w:rPr>
              <w:t>9 months</w:t>
            </w:r>
          </w:p>
        </w:tc>
        <w:tc>
          <w:tcPr>
            <w:tcW w:type="dxa" w:w="1453"/>
          </w:tcPr>
          <w:p>
            <w:pPr>
              <w:pStyle w:val="MDPI42tablebody"/>
              <w:jc w:val="left"/>
            </w:pPr>
            <w:r>
              <w:rPr>
                <w:sz w:val="16"/>
              </w:rPr>
              <w:t>Apparent</w:t>
            </w:r>
          </w:p>
        </w:tc>
        <w:tc>
          <w:tcPr>
            <w:tcW w:type="dxa" w:w="775"/>
          </w:tcPr>
          <w:p>
            <w:pPr>
              <w:pStyle w:val="MDPI42tablebody"/>
              <w:jc w:val="left"/>
            </w:pPr>
            <w:r>
              <w:rPr>
                <w:sz w:val="16"/>
              </w:rPr>
              <w:t>82</w:t>
            </w:r>
          </w:p>
        </w:tc>
        <w:tc>
          <w:tcPr>
            <w:tcW w:type="dxa" w:w="581"/>
          </w:tcPr>
          <w:p>
            <w:pPr>
              <w:pStyle w:val="MDPI42tablebody"/>
              <w:jc w:val="left"/>
            </w:pPr>
            <w:r>
              <w:rPr>
                <w:sz w:val="16"/>
              </w:rPr>
              <w:t>0.69</w:t>
            </w:r>
          </w:p>
        </w:tc>
        <w:tc>
          <w:tcPr>
            <w:tcW w:type="dxa" w:w="3583"/>
          </w:tcPr>
          <w:p>
            <w:pPr>
              <w:pStyle w:val="MDPI42tablebody"/>
              <w:jc w:val="left"/>
            </w:pPr>
            <w:r>
              <w:rPr>
                <w:sz w:val="16"/>
              </w:rPr>
              <w:t>Level 3; gait-containing model</w:t>
            </w:r>
          </w:p>
        </w:tc>
        <w:tc>
          <w:tcPr>
            <w:tcW w:type="dxa" w:w="1065"/>
          </w:tcPr>
          <w:p>
            <w:pPr>
              <w:pStyle w:val="MDPI42tablebody"/>
              <w:jc w:val="left"/>
            </w:pPr>
            <w:r>
              <w:rPr>
                <w:sz w:val="16"/>
              </w:rPr>
              <w:t>0.690 / 0.690</w:t>
            </w:r>
          </w:p>
        </w:tc>
      </w:tr>
      <w:tr>
        <w:tc>
          <w:tcPr>
            <w:tcW w:type="dxa" w:w="1840"/>
          </w:tcPr>
          <w:p>
            <w:pPr>
              <w:pStyle w:val="MDPI42tablebody"/>
              <w:jc w:val="left"/>
            </w:pPr>
            <w:r>
              <w:rPr>
                <w:sz w:val="16"/>
              </w:rPr>
              <w:t>Horak older men (ISAW)</w:t>
            </w:r>
          </w:p>
        </w:tc>
        <w:tc>
          <w:tcPr>
            <w:tcW w:type="dxa" w:w="2518"/>
          </w:tcPr>
          <w:p>
            <w:pPr>
              <w:pStyle w:val="MDPI42tablebody"/>
              <w:jc w:val="left"/>
            </w:pPr>
            <w:r>
              <w:rPr>
                <w:sz w:val="16"/>
              </w:rPr>
              <w:t>Horak et al. 2023 [52]</w:t>
            </w:r>
          </w:p>
        </w:tc>
        <w:tc>
          <w:tcPr>
            <w:tcW w:type="dxa" w:w="2615"/>
          </w:tcPr>
          <w:p>
            <w:pPr>
              <w:pStyle w:val="MDPI42tablebody"/>
              <w:jc w:val="left"/>
            </w:pPr>
            <w:r>
              <w:rPr>
                <w:sz w:val="16"/>
              </w:rPr>
              <w:t>Horak et al. 2023 [52]: ISAW + age and fall history</w:t>
            </w:r>
          </w:p>
        </w:tc>
        <w:tc>
          <w:tcPr>
            <w:tcW w:type="dxa" w:w="968"/>
          </w:tcPr>
          <w:p>
            <w:pPr>
              <w:pStyle w:val="MDPI42tablebody"/>
              <w:jc w:val="left"/>
            </w:pPr>
            <w:r>
              <w:rPr>
                <w:sz w:val="16"/>
              </w:rPr>
              <w:t>12 months</w:t>
            </w:r>
          </w:p>
        </w:tc>
        <w:tc>
          <w:tcPr>
            <w:tcW w:type="dxa" w:w="1453"/>
          </w:tcPr>
          <w:p>
            <w:pPr>
              <w:pStyle w:val="MDPI42tablebody"/>
              <w:jc w:val="left"/>
            </w:pPr>
            <w:r>
              <w:rPr>
                <w:sz w:val="16"/>
              </w:rPr>
              <w:t>Apparent</w:t>
            </w:r>
          </w:p>
        </w:tc>
        <w:tc>
          <w:tcPr>
            <w:tcW w:type="dxa" w:w="775"/>
          </w:tcPr>
          <w:p>
            <w:pPr>
              <w:pStyle w:val="MDPI42tablebody"/>
              <w:jc w:val="left"/>
            </w:pPr>
            <w:r>
              <w:rPr>
                <w:sz w:val="16"/>
              </w:rPr>
              <w:t>91</w:t>
            </w:r>
          </w:p>
        </w:tc>
        <w:tc>
          <w:tcPr>
            <w:tcW w:type="dxa" w:w="581"/>
          </w:tcPr>
          <w:p>
            <w:pPr>
              <w:pStyle w:val="MDPI42tablebody"/>
              <w:jc w:val="left"/>
            </w:pPr>
            <w:r>
              <w:rPr>
                <w:sz w:val="16"/>
              </w:rPr>
              <w:t>0.751</w:t>
            </w:r>
          </w:p>
        </w:tc>
        <w:tc>
          <w:tcPr>
            <w:tcW w:type="dxa" w:w="3583"/>
          </w:tcPr>
          <w:p>
            <w:pPr>
              <w:pStyle w:val="MDPI42tablebody"/>
              <w:jc w:val="left"/>
            </w:pPr>
            <w:r>
              <w:rPr>
                <w:sz w:val="16"/>
              </w:rPr>
              <w:t>Level 3; principal gait-containing model (ISAW alone 0.715)</w:t>
            </w:r>
          </w:p>
        </w:tc>
        <w:tc>
          <w:tcPr>
            <w:tcW w:type="dxa" w:w="1065"/>
          </w:tcPr>
          <w:p>
            <w:pPr>
              <w:pStyle w:val="MDPI42tablebody"/>
              <w:jc w:val="left"/>
            </w:pPr>
            <w:r>
              <w:rPr>
                <w:sz w:val="16"/>
              </w:rPr>
              <w:t>0.715 / 0.751</w:t>
            </w:r>
          </w:p>
        </w:tc>
      </w:tr>
      <w:tr>
        <w:tc>
          <w:tcPr>
            <w:tcW w:type="dxa" w:w="1840"/>
          </w:tcPr>
          <w:p>
            <w:pPr>
              <w:pStyle w:val="MDPI42tablebody"/>
              <w:jc w:val="left"/>
            </w:pPr>
            <w:r>
              <w:rPr>
                <w:sz w:val="16"/>
              </w:rPr>
              <w:t>Ullrich Parkinson disease</w:t>
            </w:r>
          </w:p>
        </w:tc>
        <w:tc>
          <w:tcPr>
            <w:tcW w:type="dxa" w:w="2518"/>
          </w:tcPr>
          <w:p>
            <w:pPr>
              <w:pStyle w:val="MDPI42tablebody"/>
              <w:jc w:val="left"/>
            </w:pPr>
            <w:r>
              <w:rPr>
                <w:sz w:val="16"/>
              </w:rPr>
              <w:t>Ullrich et al. 2023 [53]</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Balanced accuracy only</w:t>
            </w:r>
          </w:p>
        </w:tc>
        <w:tc>
          <w:tcPr>
            <w:tcW w:type="dxa" w:w="1065"/>
          </w:tcPr>
          <w:p>
            <w:pPr>
              <w:pStyle w:val="MDPI42tablebody"/>
              <w:jc w:val="left"/>
            </w:pPr>
            <w:r>
              <w:rPr>
                <w:sz w:val="16"/>
              </w:rPr>
              <w:t>—</w:t>
            </w:r>
          </w:p>
        </w:tc>
      </w:tr>
      <w:tr>
        <w:tc>
          <w:tcPr>
            <w:tcW w:type="dxa" w:w="1840"/>
          </w:tcPr>
          <w:p>
            <w:pPr>
              <w:pStyle w:val="MDPI42tablebody"/>
              <w:jc w:val="left"/>
            </w:pPr>
            <w:r>
              <w:rPr>
                <w:sz w:val="16"/>
              </w:rPr>
              <w:t>StandingTall</w:t>
            </w:r>
          </w:p>
        </w:tc>
        <w:tc>
          <w:tcPr>
            <w:tcW w:type="dxa" w:w="2518"/>
          </w:tcPr>
          <w:p>
            <w:pPr>
              <w:pStyle w:val="MDPI42tablebody"/>
              <w:jc w:val="left"/>
            </w:pPr>
            <w:r>
              <w:rPr>
                <w:sz w:val="16"/>
              </w:rPr>
              <w:t>Al Abiad et al. 2023 [54]</w:t>
            </w:r>
          </w:p>
        </w:tc>
        <w:tc>
          <w:tcPr>
            <w:tcW w:type="dxa" w:w="2615"/>
          </w:tcPr>
          <w:p>
            <w:pPr>
              <w:pStyle w:val="MDPI42tablebody"/>
              <w:jc w:val="left"/>
            </w:pPr>
            <w:r>
              <w:rPr>
                <w:sz w:val="16"/>
              </w:rPr>
              <w:t>None (not included in AUC summaries)</w:t>
            </w:r>
          </w:p>
        </w:tc>
        <w:tc>
          <w:tcPr>
            <w:tcW w:type="dxa" w:w="968"/>
          </w:tcPr>
          <w:p>
            <w:pPr>
              <w:pStyle w:val="MDPI42tablebody"/>
              <w:jc w:val="left"/>
            </w:pPr>
            <w:r>
              <w:rPr>
                <w:sz w:val="16"/>
              </w:rPr>
              <w:t>—</w:t>
            </w:r>
          </w:p>
        </w:tc>
        <w:tc>
          <w:tcPr>
            <w:tcW w:type="dxa" w:w="1453"/>
          </w:tcPr>
          <w:p>
            <w:pPr>
              <w:pStyle w:val="MDPI42tablebody"/>
              <w:jc w:val="left"/>
            </w:pPr>
            <w:r>
              <w:rPr>
                <w:sz w:val="16"/>
              </w:rPr>
              <w:t>—</w:t>
            </w:r>
          </w:p>
        </w:tc>
        <w:tc>
          <w:tcPr>
            <w:tcW w:type="dxa" w:w="775"/>
          </w:tcPr>
          <w:p>
            <w:pPr>
              <w:pStyle w:val="MDPI42tablebody"/>
              <w:jc w:val="left"/>
            </w:pPr>
            <w:r>
              <w:rPr>
                <w:sz w:val="16"/>
              </w:rPr>
              <w:t>—</w:t>
            </w:r>
          </w:p>
        </w:tc>
        <w:tc>
          <w:tcPr>
            <w:tcW w:type="dxa" w:w="581"/>
          </w:tcPr>
          <w:p>
            <w:pPr>
              <w:pStyle w:val="MDPI42tablebody"/>
              <w:jc w:val="left"/>
            </w:pPr>
            <w:r>
              <w:rPr>
                <w:sz w:val="16"/>
              </w:rPr>
              <w:t>—</w:t>
            </w:r>
          </w:p>
        </w:tc>
        <w:tc>
          <w:tcPr>
            <w:tcW w:type="dxa" w:w="3583"/>
          </w:tcPr>
          <w:p>
            <w:pPr>
              <w:pStyle w:val="MDPI42tablebody"/>
              <w:jc w:val="left"/>
            </w:pPr>
            <w:r>
              <w:rPr>
                <w:sz w:val="16"/>
              </w:rPr>
              <w:t>AUC reported (0.67), but number of fallers among analysed participants not reported</w:t>
            </w:r>
          </w:p>
        </w:tc>
        <w:tc>
          <w:tcPr>
            <w:tcW w:type="dxa" w:w="1065"/>
          </w:tcPr>
          <w:p>
            <w:pPr>
              <w:pStyle w:val="MDPI42tablebody"/>
              <w:jc w:val="left"/>
            </w:pPr>
            <w:r>
              <w:rPr>
                <w:sz w:val="16"/>
              </w:rPr>
              <w:t>—</w:t>
            </w:r>
          </w:p>
        </w:tc>
      </w:tr>
      <w:tr>
        <w:tc>
          <w:tcPr>
            <w:tcW w:type="dxa" w:w="1840"/>
          </w:tcPr>
          <w:p>
            <w:pPr>
              <w:pStyle w:val="MDPI42tablebody"/>
              <w:jc w:val="left"/>
            </w:pPr>
            <w:r>
              <w:rPr>
                <w:sz w:val="16"/>
              </w:rPr>
              <w:t>Shah Parkinson disease</w:t>
            </w:r>
          </w:p>
        </w:tc>
        <w:tc>
          <w:tcPr>
            <w:tcW w:type="dxa" w:w="2518"/>
          </w:tcPr>
          <w:p>
            <w:pPr>
              <w:pStyle w:val="MDPI42tablebody"/>
              <w:jc w:val="left"/>
            </w:pPr>
            <w:r>
              <w:rPr>
                <w:sz w:val="16"/>
              </w:rPr>
              <w:t>Shah et al. 2023 [56]</w:t>
            </w:r>
          </w:p>
        </w:tc>
        <w:tc>
          <w:tcPr>
            <w:tcW w:type="dxa" w:w="2615"/>
          </w:tcPr>
          <w:p>
            <w:pPr>
              <w:pStyle w:val="MDPI42tablebody"/>
              <w:jc w:val="left"/>
            </w:pPr>
            <w:r>
              <w:rPr>
                <w:sz w:val="16"/>
              </w:rPr>
              <w:t>Shah et al. 2023 [56]: Four-measure daily-life gait model</w:t>
            </w:r>
          </w:p>
        </w:tc>
        <w:tc>
          <w:tcPr>
            <w:tcW w:type="dxa" w:w="968"/>
          </w:tcPr>
          <w:p>
            <w:pPr>
              <w:pStyle w:val="MDPI42tablebody"/>
              <w:jc w:val="left"/>
            </w:pPr>
            <w:r>
              <w:rPr>
                <w:sz w:val="16"/>
              </w:rPr>
              <w:t>12 months</w:t>
            </w:r>
          </w:p>
        </w:tc>
        <w:tc>
          <w:tcPr>
            <w:tcW w:type="dxa" w:w="1453"/>
          </w:tcPr>
          <w:p>
            <w:pPr>
              <w:pStyle w:val="MDPI42tablebody"/>
              <w:jc w:val="left"/>
            </w:pPr>
            <w:r>
              <w:rPr>
                <w:sz w:val="16"/>
              </w:rPr>
              <w:t>Apparent</w:t>
            </w:r>
          </w:p>
        </w:tc>
        <w:tc>
          <w:tcPr>
            <w:tcW w:type="dxa" w:w="775"/>
          </w:tcPr>
          <w:p>
            <w:pPr>
              <w:pStyle w:val="MDPI42tablebody"/>
              <w:jc w:val="left"/>
            </w:pPr>
            <w:r>
              <w:rPr>
                <w:sz w:val="16"/>
              </w:rPr>
              <w:t>25</w:t>
            </w:r>
          </w:p>
        </w:tc>
        <w:tc>
          <w:tcPr>
            <w:tcW w:type="dxa" w:w="581"/>
          </w:tcPr>
          <w:p>
            <w:pPr>
              <w:pStyle w:val="MDPI42tablebody"/>
              <w:jc w:val="left"/>
            </w:pPr>
            <w:r>
              <w:rPr>
                <w:sz w:val="16"/>
              </w:rPr>
              <w:t>0.94</w:t>
            </w:r>
          </w:p>
        </w:tc>
        <w:tc>
          <w:tcPr>
            <w:tcW w:type="dxa" w:w="3583"/>
          </w:tcPr>
          <w:p>
            <w:pPr>
              <w:pStyle w:val="MDPI42tablebody"/>
              <w:jc w:val="left"/>
            </w:pPr>
            <w:r>
              <w:rPr>
                <w:sz w:val="16"/>
              </w:rPr>
              <w:t>Level 3; principal gait-containing model</w:t>
            </w:r>
          </w:p>
        </w:tc>
        <w:tc>
          <w:tcPr>
            <w:tcW w:type="dxa" w:w="1065"/>
          </w:tcPr>
          <w:p>
            <w:pPr>
              <w:pStyle w:val="MDPI42tablebody"/>
              <w:jc w:val="left"/>
            </w:pPr>
            <w:r>
              <w:rPr>
                <w:sz w:val="16"/>
              </w:rPr>
              <w:t>0.940 / 0.940</w:t>
            </w:r>
          </w:p>
        </w:tc>
      </w:tr>
      <w:tr>
        <w:tc>
          <w:tcPr>
            <w:tcW w:type="dxa" w:w="1840"/>
          </w:tcPr>
          <w:p>
            <w:pPr>
              <w:pStyle w:val="MDPI42tablebody"/>
              <w:jc w:val="left"/>
            </w:pPr>
            <w:r>
              <w:rPr>
                <w:sz w:val="16"/>
              </w:rPr>
              <w:t>Sotirakis Parkinson disease</w:t>
            </w:r>
          </w:p>
        </w:tc>
        <w:tc>
          <w:tcPr>
            <w:tcW w:type="dxa" w:w="2518"/>
          </w:tcPr>
          <w:p>
            <w:pPr>
              <w:pStyle w:val="MDPI42tablebody"/>
              <w:jc w:val="left"/>
            </w:pPr>
            <w:r>
              <w:rPr>
                <w:sz w:val="16"/>
              </w:rPr>
              <w:t>Sotirakis et al. 2024 [57]</w:t>
            </w:r>
          </w:p>
        </w:tc>
        <w:tc>
          <w:tcPr>
            <w:tcW w:type="dxa" w:w="2615"/>
          </w:tcPr>
          <w:p>
            <w:pPr>
              <w:pStyle w:val="MDPI42tablebody"/>
              <w:jc w:val="left"/>
            </w:pPr>
            <w:r>
              <w:rPr>
                <w:sz w:val="16"/>
              </w:rPr>
              <w:t>Sotirakis et al. 2024 [57]: Random forest</w:t>
            </w:r>
          </w:p>
        </w:tc>
        <w:tc>
          <w:tcPr>
            <w:tcW w:type="dxa" w:w="968"/>
          </w:tcPr>
          <w:p>
            <w:pPr>
              <w:pStyle w:val="MDPI42tablebody"/>
              <w:jc w:val="left"/>
            </w:pPr>
            <w:r>
              <w:rPr>
                <w:sz w:val="16"/>
              </w:rPr>
              <w:t>60 months</w:t>
            </w:r>
          </w:p>
        </w:tc>
        <w:tc>
          <w:tcPr>
            <w:tcW w:type="dxa" w:w="1453"/>
          </w:tcPr>
          <w:p>
            <w:pPr>
              <w:pStyle w:val="MDPI42tablebody"/>
              <w:jc w:val="left"/>
            </w:pPr>
            <w:r>
              <w:rPr>
                <w:sz w:val="16"/>
              </w:rPr>
              <w:t>5-fold CV</w:t>
            </w:r>
          </w:p>
        </w:tc>
        <w:tc>
          <w:tcPr>
            <w:tcW w:type="dxa" w:w="775"/>
          </w:tcPr>
          <w:p>
            <w:pPr>
              <w:pStyle w:val="MDPI42tablebody"/>
              <w:jc w:val="left"/>
            </w:pPr>
            <w:r>
              <w:rPr>
                <w:sz w:val="16"/>
              </w:rPr>
              <w:t>23</w:t>
            </w:r>
          </w:p>
        </w:tc>
        <w:tc>
          <w:tcPr>
            <w:tcW w:type="dxa" w:w="581"/>
          </w:tcPr>
          <w:p>
            <w:pPr>
              <w:pStyle w:val="MDPI42tablebody"/>
              <w:jc w:val="left"/>
            </w:pPr>
            <w:r>
              <w:rPr>
                <w:sz w:val="16"/>
              </w:rPr>
              <w:t>0.85</w:t>
            </w:r>
          </w:p>
        </w:tc>
        <w:tc>
          <w:tcPr>
            <w:tcW w:type="dxa" w:w="3583"/>
          </w:tcPr>
          <w:p>
            <w:pPr>
              <w:pStyle w:val="MDPI42tablebody"/>
              <w:jc w:val="left"/>
            </w:pPr>
            <w:r>
              <w:rPr>
                <w:sz w:val="16"/>
              </w:rPr>
              <w:t>Level 2; the earlier 24-month AUC was reported only as &gt;0.90, without an exact value, and was not used numerically.</w:t>
            </w:r>
          </w:p>
        </w:tc>
        <w:tc>
          <w:tcPr>
            <w:tcW w:type="dxa" w:w="1065"/>
          </w:tcPr>
          <w:p>
            <w:pPr>
              <w:pStyle w:val="MDPI42tablebody"/>
              <w:jc w:val="left"/>
            </w:pPr>
            <w:r>
              <w:rPr>
                <w:sz w:val="16"/>
              </w:rPr>
              <w:t>0.850 / &gt;0.90 reported; not used numerically</w:t>
            </w:r>
          </w:p>
        </w:tc>
      </w:tr>
      <w:tr>
        <w:tc>
          <w:tcPr>
            <w:tcW w:type="dxa" w:w="1840"/>
          </w:tcPr>
          <w:p>
            <w:pPr>
              <w:pStyle w:val="MDPI42tablebody"/>
              <w:jc w:val="left"/>
            </w:pPr>
            <w:r>
              <w:rPr>
                <w:sz w:val="16"/>
              </w:rPr>
              <w:t>Instrumented footwear (n = 95)</w:t>
            </w:r>
          </w:p>
        </w:tc>
        <w:tc>
          <w:tcPr>
            <w:tcW w:type="dxa" w:w="2518"/>
          </w:tcPr>
          <w:p>
            <w:pPr>
              <w:pStyle w:val="MDPI42tablebody"/>
              <w:jc w:val="left"/>
            </w:pPr>
            <w:r>
              <w:rPr>
                <w:sz w:val="16"/>
              </w:rPr>
              <w:t>Zhang et al. 2024 [58]; Guan et al. 2025 [62]</w:t>
            </w:r>
          </w:p>
        </w:tc>
        <w:tc>
          <w:tcPr>
            <w:tcW w:type="dxa" w:w="2615"/>
          </w:tcPr>
          <w:p>
            <w:pPr>
              <w:pStyle w:val="MDPI42tablebody"/>
              <w:jc w:val="left"/>
            </w:pPr>
            <w:r>
              <w:rPr>
                <w:sz w:val="16"/>
              </w:rPr>
              <w:t>Guan et al. 2025 [62]: Support-vector classifier with refined gait estimation</w:t>
            </w:r>
          </w:p>
        </w:tc>
        <w:tc>
          <w:tcPr>
            <w:tcW w:type="dxa" w:w="968"/>
          </w:tcPr>
          <w:p>
            <w:pPr>
              <w:pStyle w:val="MDPI42tablebody"/>
              <w:jc w:val="left"/>
            </w:pPr>
            <w:r>
              <w:rPr>
                <w:sz w:val="16"/>
              </w:rPr>
              <w:t>6 months</w:t>
            </w:r>
          </w:p>
        </w:tc>
        <w:tc>
          <w:tcPr>
            <w:tcW w:type="dxa" w:w="1453"/>
          </w:tcPr>
          <w:p>
            <w:pPr>
              <w:pStyle w:val="MDPI42tablebody"/>
              <w:jc w:val="left"/>
            </w:pPr>
            <w:r>
              <w:rPr>
                <w:sz w:val="16"/>
              </w:rPr>
              <w:t>Leave-one-out CV</w:t>
            </w:r>
          </w:p>
        </w:tc>
        <w:tc>
          <w:tcPr>
            <w:tcW w:type="dxa" w:w="775"/>
          </w:tcPr>
          <w:p>
            <w:pPr>
              <w:pStyle w:val="MDPI42tablebody"/>
              <w:jc w:val="left"/>
            </w:pPr>
            <w:r>
              <w:rPr>
                <w:sz w:val="16"/>
              </w:rPr>
              <w:t>15</w:t>
            </w:r>
          </w:p>
        </w:tc>
        <w:tc>
          <w:tcPr>
            <w:tcW w:type="dxa" w:w="581"/>
          </w:tcPr>
          <w:p>
            <w:pPr>
              <w:pStyle w:val="MDPI42tablebody"/>
              <w:jc w:val="left"/>
            </w:pPr>
            <w:r>
              <w:rPr>
                <w:sz w:val="16"/>
              </w:rPr>
              <w:t>0.89</w:t>
            </w:r>
          </w:p>
        </w:tc>
        <w:tc>
          <w:tcPr>
            <w:tcW w:type="dxa" w:w="3583"/>
          </w:tcPr>
          <w:p>
            <w:pPr>
              <w:pStyle w:val="MDPI42tablebody"/>
              <w:jc w:val="left"/>
            </w:pPr>
            <w:r>
              <w:rPr>
                <w:sz w:val="16"/>
              </w:rPr>
              <w:t>Level 2; later report using the revised gait-estimation pipeline (10-fold AUC 0.70 [58] in sensitivity analysis)</w:t>
            </w:r>
          </w:p>
        </w:tc>
        <w:tc>
          <w:tcPr>
            <w:tcW w:type="dxa" w:w="1065"/>
          </w:tcPr>
          <w:p>
            <w:pPr>
              <w:pStyle w:val="MDPI42tablebody"/>
              <w:jc w:val="left"/>
            </w:pPr>
            <w:r>
              <w:rPr>
                <w:sz w:val="16"/>
              </w:rPr>
              <w:t>0.700 / 0.890</w:t>
            </w:r>
          </w:p>
        </w:tc>
      </w:tr>
      <w:tr>
        <w:tc>
          <w:tcPr>
            <w:tcW w:type="dxa" w:w="1840"/>
          </w:tcPr>
          <w:p>
            <w:pPr>
              <w:pStyle w:val="MDPI42tablebody"/>
              <w:jc w:val="left"/>
            </w:pPr>
            <w:r>
              <w:rPr>
                <w:sz w:val="16"/>
              </w:rPr>
              <w:t>Maiora nursing homes</w:t>
            </w:r>
          </w:p>
        </w:tc>
        <w:tc>
          <w:tcPr>
            <w:tcW w:type="dxa" w:w="2518"/>
          </w:tcPr>
          <w:p>
            <w:pPr>
              <w:pStyle w:val="MDPI42tablebody"/>
              <w:jc w:val="left"/>
            </w:pPr>
            <w:r>
              <w:rPr>
                <w:sz w:val="16"/>
              </w:rPr>
              <w:t>Maiora et al. 2024 [59]</w:t>
            </w:r>
          </w:p>
        </w:tc>
        <w:tc>
          <w:tcPr>
            <w:tcW w:type="dxa" w:w="2615"/>
          </w:tcPr>
          <w:p>
            <w:pPr>
              <w:pStyle w:val="MDPI42tablebody"/>
              <w:jc w:val="left"/>
            </w:pPr>
            <w:r>
              <w:rPr>
                <w:sz w:val="16"/>
              </w:rPr>
              <w:t>Maiora et al. 2024 [59]: BLSTM (SGDM)</w:t>
            </w:r>
          </w:p>
        </w:tc>
        <w:tc>
          <w:tcPr>
            <w:tcW w:type="dxa" w:w="968"/>
          </w:tcPr>
          <w:p>
            <w:pPr>
              <w:pStyle w:val="MDPI42tablebody"/>
              <w:jc w:val="left"/>
            </w:pPr>
            <w:r>
              <w:rPr>
                <w:sz w:val="16"/>
              </w:rPr>
              <w:t>6 months</w:t>
            </w:r>
          </w:p>
        </w:tc>
        <w:tc>
          <w:tcPr>
            <w:tcW w:type="dxa" w:w="1453"/>
          </w:tcPr>
          <w:p>
            <w:pPr>
              <w:pStyle w:val="MDPI42tablebody"/>
              <w:jc w:val="left"/>
            </w:pPr>
            <w:r>
              <w:rPr>
                <w:sz w:val="16"/>
              </w:rPr>
              <w:t>100 repeated hold-outs</w:t>
            </w:r>
          </w:p>
        </w:tc>
        <w:tc>
          <w:tcPr>
            <w:tcW w:type="dxa" w:w="775"/>
          </w:tcPr>
          <w:p>
            <w:pPr>
              <w:pStyle w:val="MDPI42tablebody"/>
              <w:jc w:val="left"/>
            </w:pPr>
            <w:r>
              <w:rPr>
                <w:sz w:val="16"/>
              </w:rPr>
              <w:t>21</w:t>
            </w:r>
          </w:p>
        </w:tc>
        <w:tc>
          <w:tcPr>
            <w:tcW w:type="dxa" w:w="581"/>
          </w:tcPr>
          <w:p>
            <w:pPr>
              <w:pStyle w:val="MDPI42tablebody"/>
              <w:jc w:val="left"/>
            </w:pPr>
            <w:r>
              <w:rPr>
                <w:sz w:val="16"/>
              </w:rPr>
              <w:t>0.73</w:t>
            </w:r>
          </w:p>
        </w:tc>
        <w:tc>
          <w:tcPr>
            <w:tcW w:type="dxa" w:w="3583"/>
          </w:tcPr>
          <w:p>
            <w:pPr>
              <w:pStyle w:val="MDPI42tablebody"/>
              <w:jc w:val="left"/>
            </w:pPr>
            <w:r>
              <w:rPr>
                <w:sz w:val="16"/>
              </w:rPr>
              <w:t>Level 2; sensitivity 0.50 preferred to the AUC-0.78 model with sensitivity 0.33 (predefined balance rule)</w:t>
            </w:r>
          </w:p>
        </w:tc>
        <w:tc>
          <w:tcPr>
            <w:tcW w:type="dxa" w:w="1065"/>
          </w:tcPr>
          <w:p>
            <w:pPr>
              <w:pStyle w:val="MDPI42tablebody"/>
              <w:jc w:val="left"/>
            </w:pPr>
            <w:r>
              <w:rPr>
                <w:sz w:val="16"/>
              </w:rPr>
              <w:t>0.730 / 0.780</w:t>
            </w:r>
          </w:p>
        </w:tc>
      </w:tr>
      <w:tr>
        <w:tc>
          <w:tcPr>
            <w:tcW w:type="dxa" w:w="1840"/>
          </w:tcPr>
          <w:p>
            <w:pPr>
              <w:pStyle w:val="MDPI42tablebody"/>
              <w:jc w:val="left"/>
            </w:pPr>
            <w:r>
              <w:rPr>
                <w:sz w:val="16"/>
              </w:rPr>
              <w:t>Zhang external validation cohort</w:t>
            </w:r>
          </w:p>
        </w:tc>
        <w:tc>
          <w:tcPr>
            <w:tcW w:type="dxa" w:w="2518"/>
          </w:tcPr>
          <w:p>
            <w:pPr>
              <w:pStyle w:val="MDPI42tablebody"/>
              <w:jc w:val="left"/>
            </w:pPr>
            <w:r>
              <w:rPr>
                <w:sz w:val="16"/>
              </w:rPr>
              <w:t>Zhang et al. 2024 [60]</w:t>
            </w:r>
          </w:p>
        </w:tc>
        <w:tc>
          <w:tcPr>
            <w:tcW w:type="dxa" w:w="2615"/>
          </w:tcPr>
          <w:p>
            <w:pPr>
              <w:pStyle w:val="MDPI42tablebody"/>
              <w:jc w:val="left"/>
            </w:pPr>
            <w:r>
              <w:rPr>
                <w:sz w:val="16"/>
              </w:rPr>
              <w:t>Zhang et al. 2024 [60]: Original combined gait–questionnaire model</w:t>
            </w:r>
          </w:p>
        </w:tc>
        <w:tc>
          <w:tcPr>
            <w:tcW w:type="dxa" w:w="968"/>
          </w:tcPr>
          <w:p>
            <w:pPr>
              <w:pStyle w:val="MDPI42tablebody"/>
              <w:jc w:val="left"/>
            </w:pPr>
            <w:r>
              <w:rPr>
                <w:sz w:val="16"/>
              </w:rPr>
              <w:t>6 months</w:t>
            </w:r>
          </w:p>
        </w:tc>
        <w:tc>
          <w:tcPr>
            <w:tcW w:type="dxa" w:w="1453"/>
          </w:tcPr>
          <w:p>
            <w:pPr>
              <w:pStyle w:val="MDPI42tablebody"/>
              <w:jc w:val="left"/>
            </w:pPr>
            <w:r>
              <w:rPr>
                <w:sz w:val="16"/>
              </w:rPr>
              <w:t>Independent cohort, original coefficients</w:t>
            </w:r>
          </w:p>
        </w:tc>
        <w:tc>
          <w:tcPr>
            <w:tcW w:type="dxa" w:w="775"/>
          </w:tcPr>
          <w:p>
            <w:pPr>
              <w:pStyle w:val="MDPI42tablebody"/>
              <w:jc w:val="left"/>
            </w:pPr>
            <w:r>
              <w:rPr>
                <w:sz w:val="16"/>
              </w:rPr>
              <w:t>105</w:t>
            </w:r>
          </w:p>
        </w:tc>
        <w:tc>
          <w:tcPr>
            <w:tcW w:type="dxa" w:w="581"/>
          </w:tcPr>
          <w:p>
            <w:pPr>
              <w:pStyle w:val="MDPI42tablebody"/>
              <w:jc w:val="left"/>
            </w:pPr>
            <w:r>
              <w:rPr>
                <w:sz w:val="16"/>
              </w:rPr>
              <w:t>0.53</w:t>
            </w:r>
          </w:p>
        </w:tc>
        <w:tc>
          <w:tcPr>
            <w:tcW w:type="dxa" w:w="3583"/>
          </w:tcPr>
          <w:p>
            <w:pPr>
              <w:pStyle w:val="MDPI42tablebody"/>
              <w:jc w:val="left"/>
            </w:pPr>
            <w:r>
              <w:rPr>
                <w:sz w:val="16"/>
              </w:rPr>
              <w:t>Level 1; any-fall outcome; gait-containing model before updating</w:t>
            </w:r>
          </w:p>
        </w:tc>
        <w:tc>
          <w:tcPr>
            <w:tcW w:type="dxa" w:w="1065"/>
          </w:tcPr>
          <w:p>
            <w:pPr>
              <w:pStyle w:val="MDPI42tablebody"/>
              <w:jc w:val="left"/>
            </w:pPr>
            <w:r>
              <w:rPr>
                <w:sz w:val="16"/>
              </w:rPr>
              <w:t>0.490 / 0.590</w:t>
            </w:r>
          </w:p>
        </w:tc>
      </w:tr>
      <w:tr>
        <w:tc>
          <w:tcPr>
            <w:tcW w:type="dxa" w:w="1840"/>
          </w:tcPr>
          <w:p>
            <w:pPr>
              <w:pStyle w:val="MDPI42tablebody"/>
              <w:jc w:val="left"/>
            </w:pPr>
            <w:r>
              <w:rPr>
                <w:sz w:val="16"/>
              </w:rPr>
              <w:t>Booguu Aspire</w:t>
            </w:r>
          </w:p>
        </w:tc>
        <w:tc>
          <w:tcPr>
            <w:tcW w:type="dxa" w:w="2518"/>
          </w:tcPr>
          <w:p>
            <w:pPr>
              <w:pStyle w:val="MDPI42tablebody"/>
              <w:jc w:val="left"/>
            </w:pPr>
            <w:r>
              <w:rPr>
                <w:sz w:val="16"/>
              </w:rPr>
              <w:t>Lai et al. 2025 [61]</w:t>
            </w:r>
          </w:p>
        </w:tc>
        <w:tc>
          <w:tcPr>
            <w:tcW w:type="dxa" w:w="2615"/>
          </w:tcPr>
          <w:p>
            <w:pPr>
              <w:pStyle w:val="MDPI42tablebody"/>
              <w:jc w:val="left"/>
            </w:pPr>
            <w:r>
              <w:rPr>
                <w:sz w:val="16"/>
              </w:rPr>
              <w:t>Lai et al. 2025 [61]: Commercial risk score</w:t>
            </w:r>
          </w:p>
        </w:tc>
        <w:tc>
          <w:tcPr>
            <w:tcW w:type="dxa" w:w="968"/>
          </w:tcPr>
          <w:p>
            <w:pPr>
              <w:pStyle w:val="MDPI42tablebody"/>
              <w:jc w:val="left"/>
            </w:pPr>
            <w:r>
              <w:rPr>
                <w:sz w:val="16"/>
              </w:rPr>
              <w:t>12 months</w:t>
            </w:r>
          </w:p>
        </w:tc>
        <w:tc>
          <w:tcPr>
            <w:tcW w:type="dxa" w:w="1453"/>
          </w:tcPr>
          <w:p>
            <w:pPr>
              <w:pStyle w:val="MDPI42tablebody"/>
              <w:jc w:val="left"/>
            </w:pPr>
            <w:r>
              <w:rPr>
                <w:sz w:val="16"/>
              </w:rPr>
              <w:t>Prospective fixed score</w:t>
            </w:r>
          </w:p>
        </w:tc>
        <w:tc>
          <w:tcPr>
            <w:tcW w:type="dxa" w:w="775"/>
          </w:tcPr>
          <w:p>
            <w:pPr>
              <w:pStyle w:val="MDPI42tablebody"/>
              <w:jc w:val="left"/>
            </w:pPr>
            <w:r>
              <w:rPr>
                <w:sz w:val="16"/>
              </w:rPr>
              <w:t>5</w:t>
            </w:r>
          </w:p>
        </w:tc>
        <w:tc>
          <w:tcPr>
            <w:tcW w:type="dxa" w:w="581"/>
          </w:tcPr>
          <w:p>
            <w:pPr>
              <w:pStyle w:val="MDPI42tablebody"/>
              <w:jc w:val="left"/>
            </w:pPr>
            <w:r>
              <w:rPr>
                <w:sz w:val="16"/>
              </w:rPr>
              <w:t>0.688</w:t>
            </w:r>
          </w:p>
        </w:tc>
        <w:tc>
          <w:tcPr>
            <w:tcW w:type="dxa" w:w="3583"/>
          </w:tcPr>
          <w:p>
            <w:pPr>
              <w:pStyle w:val="MDPI42tablebody"/>
              <w:jc w:val="left"/>
            </w:pPr>
            <w:r>
              <w:rPr>
                <w:sz w:val="16"/>
              </w:rPr>
              <w:t>Level 1 equivalent (fixed score); only estimate</w:t>
            </w:r>
          </w:p>
        </w:tc>
        <w:tc>
          <w:tcPr>
            <w:tcW w:type="dxa" w:w="1065"/>
          </w:tcPr>
          <w:p>
            <w:pPr>
              <w:pStyle w:val="MDPI42tablebody"/>
              <w:jc w:val="left"/>
            </w:pPr>
            <w:r>
              <w:rPr>
                <w:sz w:val="16"/>
              </w:rPr>
              <w:t>0.688 / 0.688</w:t>
            </w:r>
          </w:p>
        </w:tc>
      </w:tr>
      <w:tr>
        <w:tc>
          <w:tcPr>
            <w:tcW w:type="dxa" w:w="1840"/>
          </w:tcPr>
          <w:p>
            <w:pPr>
              <w:pStyle w:val="MDPI42tablebody"/>
              <w:jc w:val="left"/>
            </w:pPr>
            <w:r>
              <w:rPr>
                <w:sz w:val="16"/>
              </w:rPr>
              <w:t>Femur-fracture iTUG</w:t>
            </w:r>
          </w:p>
        </w:tc>
        <w:tc>
          <w:tcPr>
            <w:tcW w:type="dxa" w:w="2518"/>
          </w:tcPr>
          <w:p>
            <w:pPr>
              <w:pStyle w:val="MDPI42tablebody"/>
              <w:jc w:val="left"/>
            </w:pPr>
            <w:r>
              <w:rPr>
                <w:sz w:val="16"/>
              </w:rPr>
              <w:t>Giardini et al. 2025 [17]</w:t>
            </w:r>
          </w:p>
        </w:tc>
        <w:tc>
          <w:tcPr>
            <w:tcW w:type="dxa" w:w="2615"/>
          </w:tcPr>
          <w:p>
            <w:pPr>
              <w:pStyle w:val="MDPI42tablebody"/>
              <w:jc w:val="left"/>
            </w:pPr>
            <w:r>
              <w:rPr>
                <w:sz w:val="16"/>
              </w:rPr>
              <w:t>Giardini et al. 2025 [17]: Multivariable logistic model</w:t>
            </w:r>
          </w:p>
        </w:tc>
        <w:tc>
          <w:tcPr>
            <w:tcW w:type="dxa" w:w="968"/>
          </w:tcPr>
          <w:p>
            <w:pPr>
              <w:pStyle w:val="MDPI42tablebody"/>
              <w:jc w:val="left"/>
            </w:pPr>
            <w:r>
              <w:rPr>
                <w:sz w:val="16"/>
              </w:rPr>
              <w:t>1 month</w:t>
            </w:r>
          </w:p>
        </w:tc>
        <w:tc>
          <w:tcPr>
            <w:tcW w:type="dxa" w:w="1453"/>
          </w:tcPr>
          <w:p>
            <w:pPr>
              <w:pStyle w:val="MDPI42tablebody"/>
              <w:jc w:val="left"/>
            </w:pPr>
            <w:r>
              <w:rPr>
                <w:sz w:val="16"/>
              </w:rPr>
              <w:t>Apparent</w:t>
            </w:r>
          </w:p>
        </w:tc>
        <w:tc>
          <w:tcPr>
            <w:tcW w:type="dxa" w:w="775"/>
          </w:tcPr>
          <w:p>
            <w:pPr>
              <w:pStyle w:val="MDPI42tablebody"/>
              <w:jc w:val="left"/>
            </w:pPr>
            <w:r>
              <w:rPr>
                <w:sz w:val="16"/>
              </w:rPr>
              <w:t>NR</w:t>
            </w:r>
          </w:p>
        </w:tc>
        <w:tc>
          <w:tcPr>
            <w:tcW w:type="dxa" w:w="581"/>
          </w:tcPr>
          <w:p>
            <w:pPr>
              <w:pStyle w:val="MDPI42tablebody"/>
              <w:jc w:val="left"/>
            </w:pPr>
            <w:r>
              <w:rPr>
                <w:sz w:val="16"/>
              </w:rPr>
              <w:t>0.91</w:t>
            </w:r>
          </w:p>
        </w:tc>
        <w:tc>
          <w:tcPr>
            <w:tcW w:type="dxa" w:w="3583"/>
          </w:tcPr>
          <w:p>
            <w:pPr>
              <w:pStyle w:val="MDPI42tablebody"/>
              <w:jc w:val="left"/>
            </w:pPr>
            <w:r>
              <w:rPr>
                <w:sz w:val="16"/>
              </w:rPr>
              <w:t>Level 3; only exact AUC estimate. Exact analytic denominator and faller count NR; retained in the overall AUC summary but excluded from Figure 2 and event-count strata.</w:t>
            </w:r>
          </w:p>
        </w:tc>
        <w:tc>
          <w:tcPr>
            <w:tcW w:type="dxa" w:w="1065"/>
          </w:tcPr>
          <w:p>
            <w:pPr>
              <w:pStyle w:val="MDPI42tablebody"/>
              <w:jc w:val="left"/>
            </w:pPr>
            <w:r>
              <w:rPr>
                <w:sz w:val="16"/>
              </w:rPr>
              <w:t>0.910 / 0.910</w:t>
            </w:r>
          </w:p>
        </w:tc>
      </w:tr>
      <w:tr>
        <w:tc>
          <w:tcPr>
            <w:tcW w:type="dxa" w:w="1840"/>
          </w:tcPr>
          <w:p>
            <w:pPr>
              <w:pStyle w:val="MDPI42tablebody"/>
              <w:jc w:val="left"/>
            </w:pPr>
            <w:r>
              <w:rPr>
                <w:sz w:val="16"/>
              </w:rPr>
              <w:t>Emergency department miTUG</w:t>
            </w:r>
          </w:p>
        </w:tc>
        <w:tc>
          <w:tcPr>
            <w:tcW w:type="dxa" w:w="2518"/>
          </w:tcPr>
          <w:p>
            <w:pPr>
              <w:pStyle w:val="MDPI42tablebody"/>
              <w:jc w:val="left"/>
            </w:pPr>
            <w:r>
              <w:rPr>
                <w:sz w:val="16"/>
              </w:rPr>
              <w:t>Suffoletto et al. 2026 [15]</w:t>
            </w:r>
          </w:p>
        </w:tc>
        <w:tc>
          <w:tcPr>
            <w:tcW w:type="dxa" w:w="2615"/>
          </w:tcPr>
          <w:p>
            <w:pPr>
              <w:pStyle w:val="MDPI42tablebody"/>
              <w:jc w:val="left"/>
            </w:pPr>
            <w:r>
              <w:rPr>
                <w:sz w:val="16"/>
              </w:rPr>
              <w:t>Suffoletto et al. 2026 [15]: Clinical model + four IMU features</w:t>
            </w:r>
          </w:p>
        </w:tc>
        <w:tc>
          <w:tcPr>
            <w:tcW w:type="dxa" w:w="968"/>
          </w:tcPr>
          <w:p>
            <w:pPr>
              <w:pStyle w:val="MDPI42tablebody"/>
              <w:jc w:val="left"/>
            </w:pPr>
            <w:r>
              <w:rPr>
                <w:sz w:val="16"/>
              </w:rPr>
              <w:t>180 days</w:t>
            </w:r>
          </w:p>
        </w:tc>
        <w:tc>
          <w:tcPr>
            <w:tcW w:type="dxa" w:w="1453"/>
          </w:tcPr>
          <w:p>
            <w:pPr>
              <w:pStyle w:val="MDPI42tablebody"/>
              <w:jc w:val="left"/>
            </w:pPr>
            <w:r>
              <w:rPr>
                <w:sz w:val="16"/>
              </w:rPr>
              <w:t>Apparent</w:t>
            </w:r>
          </w:p>
        </w:tc>
        <w:tc>
          <w:tcPr>
            <w:tcW w:type="dxa" w:w="775"/>
          </w:tcPr>
          <w:p>
            <w:pPr>
              <w:pStyle w:val="MDPI42tablebody"/>
              <w:jc w:val="left"/>
            </w:pPr>
            <w:r>
              <w:rPr>
                <w:sz w:val="16"/>
              </w:rPr>
              <w:t>94</w:t>
            </w:r>
          </w:p>
        </w:tc>
        <w:tc>
          <w:tcPr>
            <w:tcW w:type="dxa" w:w="581"/>
          </w:tcPr>
          <w:p>
            <w:pPr>
              <w:pStyle w:val="MDPI42tablebody"/>
              <w:jc w:val="left"/>
            </w:pPr>
            <w:r>
              <w:rPr>
                <w:sz w:val="16"/>
              </w:rPr>
              <w:t>0.72</w:t>
            </w:r>
          </w:p>
        </w:tc>
        <w:tc>
          <w:tcPr>
            <w:tcW w:type="dxa" w:w="3583"/>
          </w:tcPr>
          <w:p>
            <w:pPr>
              <w:pStyle w:val="MDPI42tablebody"/>
              <w:jc w:val="left"/>
            </w:pPr>
            <w:r>
              <w:rPr>
                <w:sz w:val="16"/>
              </w:rPr>
              <w:t>Level 3; gait-containing model (clinical-only 0.67 is a comparator)</w:t>
            </w:r>
          </w:p>
        </w:tc>
        <w:tc>
          <w:tcPr>
            <w:tcW w:type="dxa" w:w="1065"/>
          </w:tcPr>
          <w:p>
            <w:pPr>
              <w:pStyle w:val="MDPI42tablebody"/>
              <w:jc w:val="left"/>
            </w:pPr>
            <w:r>
              <w:rPr>
                <w:sz w:val="16"/>
              </w:rPr>
              <w:t>0.720 / 0.720</w:t>
            </w:r>
          </w:p>
        </w:tc>
      </w:tr>
    </w:tbl>
    <w:p>
      <w:pPr>
        <w:pStyle w:val="MDPI32textnoindent"/>
        <w:spacing w:before="60" w:after="160"/>
        <w:ind w:left="0" w:firstLine="0"/>
      </w:pPr>
      <w:r>
        <w:t>Hierarchy: (1) independently evaluated gait-containing model for any fall; (2) participant-level internally validated gait-containing model; (3) principal apparent gait-containing model. Within a level: earliest horizon with an exact AUC and matched faller count; if tied, the model with higher sensitivity was preferred when the alternative had sensitivity &lt;0.40; otherwise the principal model reported by the authors. Lowest/highest alternatives are the lowest and highest directionally coherent, gait-containing AUCs reported for the family (participant-level estimates only; clinical-only comparators excluded). For Marques 2018, the reported swing-time AUC of 0.246 had the opposite predictor direction; the principal/lowest directionally coherent AUC was 0.72 and the highest was 0.97. Sotirakis 2024 reported a 24-month AUC only as &gt;0.90; this bound was not converted to an exact value or used numerically. After complete-text re-extraction of Marques 2018, 25 families contributed a representative AUC (median 0.760, IQR 0.720–0.838; range 0.505–0.990). The lowest- and highest-selection sensitivity medians were 0.720 and 0.790, respectively. Excluding the four representative estimates available from abstracts only left 21 families (median 0.751, IQR 0.700–0.810; range 0.505–0.990). Giardini 2025 contributed an exact AUC of 0.91 to the overall summary, but its exact faller count was NR, so it was excluded from Figure 2 and event-count strata. Among the 24 families with exact faller counts, the event-count summaries were: ≤15 fallers, n=6, median 0.854 (IQR 0.780–0.885); 16–39 fallers, n=10, median 0.767 (IQR 0.723–0.805); and ≥40 fallers, n=8, median 0.720 (IQR 0.650–0.750).</w:t>
      </w:r>
    </w:p>
    <w:p>
      <w:pPr>
        <w:pStyle w:val="MDPI32textnoindent"/>
        <w:keepNext/>
        <w:spacing w:before="200" w:after="80"/>
        <w:ind w:left="0" w:firstLine="0"/>
      </w:pPr>
      <w:r>
        <w:rPr>
          <w:b/>
          <w:sz w:val="20"/>
        </w:rPr>
        <w:t>Table S7, Panel A. Archived report-level PROBAST+AI-informed risk-of-bias domain judgments and rationales</w:t>
      </w:r>
    </w:p>
    <w:tbl>
      <w:tblPr>
        <w:tblStyle w:val="MDPI41threelinetable"/>
        <w:tblW w:type="dxa" w:w="15398"/>
        <w:tblLook w:firstColumn="1" w:firstRow="1" w:lastColumn="0" w:lastRow="0" w:noHBand="0" w:noVBand="1" w:val="04A0"/>
        <w:tblLayout w:type="fixed"/>
      </w:tblPr>
      <w:tblGrid>
        <w:gridCol w:w="1567"/>
        <w:gridCol w:w="1149"/>
        <w:gridCol w:w="449"/>
        <w:gridCol w:w="449"/>
        <w:gridCol w:w="449"/>
        <w:gridCol w:w="449"/>
        <w:gridCol w:w="522"/>
        <w:gridCol w:w="449"/>
        <w:gridCol w:w="449"/>
        <w:gridCol w:w="449"/>
        <w:gridCol w:w="449"/>
        <w:gridCol w:w="522"/>
        <w:gridCol w:w="3761"/>
        <w:gridCol w:w="1882"/>
      </w:tblGrid>
      <w:tr>
        <w:trPr>
          <w:tblHeader/>
        </w:trPr>
        <w:tc>
          <w:tcPr>
            <w:tcW w:type="dxa" w:w="1567"/>
          </w:tcPr>
          <w:p>
            <w:pPr>
              <w:pStyle w:val="MDPI42tablebody"/>
              <w:jc w:val="left"/>
            </w:pPr>
            <w:r>
              <w:rPr>
                <w:b/>
                <w:sz w:val="16"/>
              </w:rPr>
              <w:t>Report [ref.]</w:t>
            </w:r>
          </w:p>
        </w:tc>
        <w:tc>
          <w:tcPr>
            <w:tcW w:type="dxa" w:w="1149"/>
          </w:tcPr>
          <w:p>
            <w:pPr>
              <w:pStyle w:val="MDPI42tablebody"/>
              <w:jc w:val="left"/>
            </w:pPr>
            <w:r>
              <w:rPr>
                <w:b/>
                <w:sz w:val="16"/>
              </w:rPr>
              <w:t>Validation stage</w:t>
            </w:r>
          </w:p>
        </w:tc>
        <w:tc>
          <w:tcPr>
            <w:tcW w:type="dxa" w:w="449"/>
          </w:tcPr>
          <w:p>
            <w:pPr>
              <w:pStyle w:val="MDPI42tablebody"/>
              <w:jc w:val="left"/>
            </w:pPr>
            <w:r>
              <w:rPr>
                <w:b/>
                <w:sz w:val="16"/>
              </w:rPr>
              <w:t>A1</w:t>
            </w:r>
          </w:p>
        </w:tc>
        <w:tc>
          <w:tcPr>
            <w:tcW w:type="dxa" w:w="449"/>
          </w:tcPr>
          <w:p>
            <w:pPr>
              <w:pStyle w:val="MDPI42tablebody"/>
              <w:jc w:val="left"/>
            </w:pPr>
            <w:r>
              <w:rPr>
                <w:b/>
                <w:sz w:val="16"/>
              </w:rPr>
              <w:t>A2</w:t>
            </w:r>
          </w:p>
        </w:tc>
        <w:tc>
          <w:tcPr>
            <w:tcW w:type="dxa" w:w="449"/>
          </w:tcPr>
          <w:p>
            <w:pPr>
              <w:pStyle w:val="MDPI42tablebody"/>
              <w:jc w:val="left"/>
            </w:pPr>
            <w:r>
              <w:rPr>
                <w:b/>
                <w:sz w:val="16"/>
              </w:rPr>
              <w:t>A3</w:t>
            </w:r>
          </w:p>
        </w:tc>
        <w:tc>
          <w:tcPr>
            <w:tcW w:type="dxa" w:w="449"/>
          </w:tcPr>
          <w:p>
            <w:pPr>
              <w:pStyle w:val="MDPI42tablebody"/>
              <w:jc w:val="left"/>
            </w:pPr>
            <w:r>
              <w:rPr>
                <w:b/>
                <w:sz w:val="16"/>
              </w:rPr>
              <w:t>A4</w:t>
            </w:r>
          </w:p>
        </w:tc>
        <w:tc>
          <w:tcPr>
            <w:tcW w:type="dxa" w:w="522"/>
          </w:tcPr>
          <w:p>
            <w:pPr>
              <w:pStyle w:val="MDPI42tablebody"/>
              <w:jc w:val="left"/>
            </w:pPr>
            <w:r>
              <w:rPr>
                <w:b/>
                <w:sz w:val="16"/>
              </w:rPr>
              <w:t>A</w:t>
            </w:r>
          </w:p>
        </w:tc>
        <w:tc>
          <w:tcPr>
            <w:tcW w:type="dxa" w:w="449"/>
          </w:tcPr>
          <w:p>
            <w:pPr>
              <w:pStyle w:val="MDPI42tablebody"/>
              <w:jc w:val="left"/>
            </w:pPr>
            <w:r>
              <w:rPr>
                <w:b/>
                <w:sz w:val="16"/>
              </w:rPr>
              <w:t>B1</w:t>
            </w:r>
          </w:p>
        </w:tc>
        <w:tc>
          <w:tcPr>
            <w:tcW w:type="dxa" w:w="449"/>
          </w:tcPr>
          <w:p>
            <w:pPr>
              <w:pStyle w:val="MDPI42tablebody"/>
              <w:jc w:val="left"/>
            </w:pPr>
            <w:r>
              <w:rPr>
                <w:b/>
                <w:sz w:val="16"/>
              </w:rPr>
              <w:t>B2</w:t>
            </w:r>
          </w:p>
        </w:tc>
        <w:tc>
          <w:tcPr>
            <w:tcW w:type="dxa" w:w="449"/>
          </w:tcPr>
          <w:p>
            <w:pPr>
              <w:pStyle w:val="MDPI42tablebody"/>
              <w:jc w:val="left"/>
            </w:pPr>
            <w:r>
              <w:rPr>
                <w:b/>
                <w:sz w:val="16"/>
              </w:rPr>
              <w:t>B3</w:t>
            </w:r>
          </w:p>
        </w:tc>
        <w:tc>
          <w:tcPr>
            <w:tcW w:type="dxa" w:w="449"/>
          </w:tcPr>
          <w:p>
            <w:pPr>
              <w:pStyle w:val="MDPI42tablebody"/>
              <w:jc w:val="left"/>
            </w:pPr>
            <w:r>
              <w:rPr>
                <w:b/>
                <w:sz w:val="16"/>
              </w:rPr>
              <w:t>B4</w:t>
            </w:r>
          </w:p>
        </w:tc>
        <w:tc>
          <w:tcPr>
            <w:tcW w:type="dxa" w:w="522"/>
          </w:tcPr>
          <w:p>
            <w:pPr>
              <w:pStyle w:val="MDPI42tablebody"/>
              <w:jc w:val="left"/>
            </w:pPr>
            <w:r>
              <w:rPr>
                <w:b/>
                <w:sz w:val="16"/>
              </w:rPr>
              <w:t>B</w:t>
            </w:r>
          </w:p>
        </w:tc>
        <w:tc>
          <w:tcPr>
            <w:tcW w:type="dxa" w:w="3761"/>
          </w:tcPr>
          <w:p>
            <w:pPr>
              <w:pStyle w:val="MDPI42tablebody"/>
              <w:jc w:val="left"/>
            </w:pPr>
            <w:r>
              <w:rPr>
                <w:sz w:val="16"/>
              </w:rPr>
              <w:t>Archived report-level rationale</w:t>
            </w:r>
          </w:p>
        </w:tc>
        <w:tc>
          <w:tcPr>
            <w:tcW w:type="dxa" w:w="1882"/>
          </w:tcPr>
          <w:p>
            <w:pPr>
              <w:pStyle w:val="MDPI42tablebody"/>
              <w:jc w:val="left"/>
            </w:pPr>
            <w:r>
              <w:rPr>
                <w:b/>
                <w:sz w:val="16"/>
              </w:rPr>
              <w:t>Source (DOI)</w:t>
            </w:r>
          </w:p>
        </w:tc>
      </w:tr>
      <w:tr>
        <w:trPr>
          <w:cantSplit/>
        </w:trPr>
        <w:tc>
          <w:tcPr>
            <w:tcW w:type="dxa" w:w="1567"/>
          </w:tcPr>
          <w:p>
            <w:pPr>
              <w:pStyle w:val="MDPI42tablebody"/>
              <w:jc w:val="left"/>
            </w:pPr>
            <w:r>
              <w:rPr>
                <w:sz w:val="16"/>
              </w:rPr>
              <w:t>Marschollek et al. 2011 [18]</w:t>
            </w:r>
          </w:p>
        </w:tc>
        <w:tc>
          <w:tcPr>
            <w:tcW w:type="dxa" w:w="1149"/>
          </w:tcPr>
          <w:p>
            <w:pPr>
              <w:pStyle w:val="MDPI42tablebody"/>
              <w:jc w:val="left"/>
            </w:pPr>
            <w:r>
              <w:rPr>
                <w:sz w:val="16"/>
              </w:rPr>
              <w:t>Internal validation</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missing-data handling, and validation procedures not described in the indexed/publisher abstract (no information).</w:t>
            </w:r>
          </w:p>
        </w:tc>
        <w:tc>
          <w:tcPr>
            <w:tcW w:type="dxa" w:w="1882"/>
          </w:tcPr>
          <w:p>
            <w:pPr>
              <w:pStyle w:val="MDPI42tablebody"/>
              <w:jc w:val="left"/>
            </w:pPr>
            <w:r>
              <w:rPr>
                <w:sz w:val="16"/>
              </w:rPr>
              <w:t>https://doi.org/10.3414/ME10-01-0040</w:t>
            </w:r>
          </w:p>
        </w:tc>
      </w:tr>
      <w:tr>
        <w:trPr>
          <w:cantSplit/>
        </w:trPr>
        <w:tc>
          <w:tcPr>
            <w:tcW w:type="dxa" w:w="1567"/>
          </w:tcPr>
          <w:p>
            <w:pPr>
              <w:pStyle w:val="MDPI42tablebody"/>
              <w:jc w:val="left"/>
            </w:pPr>
            <w:r>
              <w:rPr>
                <w:sz w:val="16"/>
              </w:rPr>
              <w:t>Marschollek et al. 2011 [19]</w:t>
            </w:r>
          </w:p>
        </w:tc>
        <w:tc>
          <w:tcPr>
            <w:tcW w:type="dxa" w:w="1149"/>
          </w:tcPr>
          <w:p>
            <w:pPr>
              <w:pStyle w:val="MDPI42tablebody"/>
              <w:jc w:val="left"/>
            </w:pPr>
            <w:r>
              <w:rPr>
                <w:sz w:val="16"/>
              </w:rPr>
              <w:t>Internal validation</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Brier score only; no calibration intercept, slope, or plot; wrapper feature selection not nested within cross-validation; 46 of 119 with complete records (61% attrition).</w:t>
            </w:r>
          </w:p>
        </w:tc>
        <w:tc>
          <w:tcPr>
            <w:tcW w:type="dxa" w:w="1882"/>
          </w:tcPr>
          <w:p>
            <w:pPr>
              <w:pStyle w:val="MDPI42tablebody"/>
              <w:jc w:val="left"/>
            </w:pPr>
            <w:r>
              <w:rPr>
                <w:sz w:val="16"/>
              </w:rPr>
              <w:t>https://doi.org/10.1186/1472-6947-11-48</w:t>
            </w:r>
          </w:p>
        </w:tc>
      </w:tr>
      <w:tr>
        <w:trPr>
          <w:cantSplit/>
        </w:trPr>
        <w:tc>
          <w:tcPr>
            <w:tcW w:type="dxa" w:w="1567"/>
          </w:tcPr>
          <w:p>
            <w:pPr>
              <w:pStyle w:val="MDPI42tablebody"/>
              <w:jc w:val="left"/>
            </w:pPr>
            <w:r>
              <w:rPr>
                <w:sz w:val="16"/>
              </w:rPr>
              <w:t>Greene et al. 2012 [20]</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U</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U</w:t>
            </w:r>
          </w:p>
        </w:tc>
        <w:tc>
          <w:tcPr>
            <w:tcW w:type="dxa" w:w="522"/>
          </w:tcPr>
          <w:p>
            <w:pPr>
              <w:pStyle w:val="MDPI42tablebody"/>
              <w:jc w:val="left"/>
            </w:pPr>
            <w:r>
              <w:rPr>
                <w:sz w:val="16"/>
              </w:rPr>
              <w:t>H</w:t>
            </w:r>
          </w:p>
        </w:tc>
        <w:tc>
          <w:tcPr>
            <w:tcW w:type="dxa" w:w="3761"/>
          </w:tcPr>
          <w:p>
            <w:pPr>
              <w:pStyle w:val="MDPI42tablebody"/>
              <w:jc w:val="left"/>
            </w:pPr>
            <w:r>
              <w:rPr>
                <w:sz w:val="16"/>
              </w:rPr>
              <w:t>Archived unclear domain judgment; calibration, missing-data handling, and validation procedures not described in the indexed/publisher abstract (no information). Overall high because of the outcome domain (single telephone recall at 2 years).</w:t>
            </w:r>
          </w:p>
        </w:tc>
        <w:tc>
          <w:tcPr>
            <w:tcW w:type="dxa" w:w="1882"/>
          </w:tcPr>
          <w:p>
            <w:pPr>
              <w:pStyle w:val="MDPI42tablebody"/>
              <w:jc w:val="left"/>
            </w:pPr>
            <w:r>
              <w:rPr>
                <w:sz w:val="16"/>
              </w:rPr>
              <w:t>https://doi.org/10.1159/000337259</w:t>
            </w:r>
          </w:p>
        </w:tc>
      </w:tr>
      <w:tr>
        <w:trPr>
          <w:cantSplit/>
        </w:trPr>
        <w:tc>
          <w:tcPr>
            <w:tcW w:type="dxa" w:w="1567"/>
          </w:tcPr>
          <w:p>
            <w:pPr>
              <w:pStyle w:val="MDPI42tablebody"/>
              <w:jc w:val="left"/>
            </w:pPr>
            <w:r>
              <w:rPr>
                <w:sz w:val="16"/>
              </w:rPr>
              <w:t>Weiss et al. 2013 [21]</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AUC not reported; 57 of 71 complete cases.</w:t>
            </w:r>
          </w:p>
        </w:tc>
        <w:tc>
          <w:tcPr>
            <w:tcW w:type="dxa" w:w="1882"/>
          </w:tcPr>
          <w:p>
            <w:pPr>
              <w:pStyle w:val="MDPI42tablebody"/>
              <w:jc w:val="left"/>
            </w:pPr>
            <w:r>
              <w:rPr>
                <w:sz w:val="16"/>
              </w:rPr>
              <w:t>https://doi.org/10.1177/1545968313491004</w:t>
            </w:r>
          </w:p>
        </w:tc>
      </w:tr>
      <w:tr>
        <w:trPr>
          <w:cantSplit/>
        </w:trPr>
        <w:tc>
          <w:tcPr>
            <w:tcW w:type="dxa" w:w="1567"/>
          </w:tcPr>
          <w:p>
            <w:pPr>
              <w:pStyle w:val="MDPI42tablebody"/>
              <w:jc w:val="left"/>
            </w:pPr>
            <w:r>
              <w:rPr>
                <w:sz w:val="16"/>
              </w:rPr>
              <w:t>Schwesig et al. 2013 [22]</w:t>
            </w:r>
          </w:p>
        </w:tc>
        <w:tc>
          <w:tcPr>
            <w:tcW w:type="dxa" w:w="1149"/>
          </w:tcPr>
          <w:p>
            <w:pPr>
              <w:pStyle w:val="MDPI42tablebody"/>
              <w:jc w:val="left"/>
            </w:pPr>
            <w:r>
              <w:rPr>
                <w:sz w:val="16"/>
              </w:rPr>
              <w:t>Prospective fixed-rule evaluation with same-sample updating</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missing-data handling, and validation procedures not described in the indexed/publisher abstract (no information).</w:t>
            </w:r>
          </w:p>
        </w:tc>
        <w:tc>
          <w:tcPr>
            <w:tcW w:type="dxa" w:w="1882"/>
          </w:tcPr>
          <w:p>
            <w:pPr>
              <w:pStyle w:val="MDPI42tablebody"/>
              <w:jc w:val="left"/>
            </w:pPr>
            <w:r>
              <w:rPr>
                <w:sz w:val="16"/>
              </w:rPr>
              <w:t>https://doi.org/10.1177/0269215512452880</w:t>
            </w:r>
          </w:p>
        </w:tc>
      </w:tr>
      <w:tr>
        <w:trPr>
          <w:cantSplit/>
        </w:trPr>
        <w:tc>
          <w:tcPr>
            <w:tcW w:type="dxa" w:w="1567"/>
          </w:tcPr>
          <w:p>
            <w:pPr>
              <w:pStyle w:val="MDPI42tablebody"/>
              <w:jc w:val="left"/>
            </w:pPr>
            <w:r>
              <w:rPr>
                <w:sz w:val="16"/>
              </w:rPr>
              <w:t>Doi et al. 2013 [23]</w:t>
            </w:r>
          </w:p>
        </w:tc>
        <w:tc>
          <w:tcPr>
            <w:tcW w:type="dxa" w:w="1149"/>
          </w:tcPr>
          <w:p>
            <w:pPr>
              <w:pStyle w:val="MDPI42tablebody"/>
              <w:jc w:val="left"/>
            </w:pPr>
            <w:r>
              <w:rPr>
                <w:sz w:val="16"/>
              </w:rPr>
              <w:t>Apparent</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performance estimated in the development data without optimism correction.</w:t>
            </w:r>
          </w:p>
        </w:tc>
        <w:tc>
          <w:tcPr>
            <w:tcW w:type="dxa" w:w="1882"/>
          </w:tcPr>
          <w:p>
            <w:pPr>
              <w:pStyle w:val="MDPI42tablebody"/>
              <w:jc w:val="left"/>
            </w:pPr>
            <w:r>
              <w:rPr>
                <w:sz w:val="16"/>
              </w:rPr>
              <w:t>https://doi.org/10.1186/1743-0003-10-7</w:t>
            </w:r>
          </w:p>
        </w:tc>
      </w:tr>
      <w:tr>
        <w:trPr>
          <w:cantSplit/>
        </w:trPr>
        <w:tc>
          <w:tcPr>
            <w:tcW w:type="dxa" w:w="1567"/>
          </w:tcPr>
          <w:p>
            <w:pPr>
              <w:pStyle w:val="MDPI42tablebody"/>
              <w:jc w:val="left"/>
            </w:pPr>
            <w:r>
              <w:rPr>
                <w:sz w:val="16"/>
              </w:rPr>
              <w:t>Mignardot et al. 2014 [24]</w:t>
            </w:r>
          </w:p>
        </w:tc>
        <w:tc>
          <w:tcPr>
            <w:tcW w:type="dxa" w:w="1149"/>
          </w:tcPr>
          <w:p>
            <w:pPr>
              <w:pStyle w:val="MDPI42tablebody"/>
              <w:jc w:val="left"/>
            </w:pPr>
            <w:r>
              <w:rPr>
                <w:sz w:val="16"/>
              </w:rPr>
              <w:t>Apparent</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PCA-derived markers developed and evaluated in the same cohort.</w:t>
            </w:r>
          </w:p>
        </w:tc>
        <w:tc>
          <w:tcPr>
            <w:tcW w:type="dxa" w:w="1882"/>
          </w:tcPr>
          <w:p>
            <w:pPr>
              <w:pStyle w:val="MDPI42tablebody"/>
              <w:jc w:val="left"/>
            </w:pPr>
            <w:r>
              <w:rPr>
                <w:sz w:val="16"/>
              </w:rPr>
              <w:t>https://doi.org/10.3389/fnagi.2014.00022</w:t>
            </w:r>
          </w:p>
        </w:tc>
      </w:tr>
      <w:tr>
        <w:trPr>
          <w:cantSplit/>
        </w:trPr>
        <w:tc>
          <w:tcPr>
            <w:tcW w:type="dxa" w:w="1567"/>
          </w:tcPr>
          <w:p>
            <w:pPr>
              <w:pStyle w:val="MDPI42tablebody"/>
              <w:jc w:val="left"/>
            </w:pPr>
            <w:r>
              <w:rPr>
                <w:sz w:val="16"/>
              </w:rPr>
              <w:t>Schwenk et al. 2014 [25]</w:t>
            </w:r>
          </w:p>
        </w:tc>
        <w:tc>
          <w:tcPr>
            <w:tcW w:type="dxa" w:w="1149"/>
          </w:tcPr>
          <w:p>
            <w:pPr>
              <w:pStyle w:val="MDPI42tablebody"/>
              <w:jc w:val="left"/>
            </w:pPr>
            <w:r>
              <w:rPr>
                <w:sz w:val="16"/>
              </w:rPr>
              <w:t>Apparent</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predictor selection and evaluation in the same cohort; 77 of 115 enrolled analysed.</w:t>
            </w:r>
          </w:p>
        </w:tc>
        <w:tc>
          <w:tcPr>
            <w:tcW w:type="dxa" w:w="1882"/>
          </w:tcPr>
          <w:p>
            <w:pPr>
              <w:pStyle w:val="MDPI42tablebody"/>
              <w:jc w:val="left"/>
            </w:pPr>
            <w:r>
              <w:rPr>
                <w:sz w:val="16"/>
              </w:rPr>
              <w:t>https://doi.org/10.1159/000363136</w:t>
            </w:r>
          </w:p>
        </w:tc>
      </w:tr>
      <w:tr>
        <w:trPr>
          <w:cantSplit/>
        </w:trPr>
        <w:tc>
          <w:tcPr>
            <w:tcW w:type="dxa" w:w="1567"/>
          </w:tcPr>
          <w:p>
            <w:pPr>
              <w:pStyle w:val="MDPI42tablebody"/>
              <w:jc w:val="left"/>
            </w:pPr>
            <w:r>
              <w:rPr>
                <w:sz w:val="16"/>
              </w:rPr>
              <w:t>van Schooten et al. 2015 [26]</w:t>
            </w:r>
          </w:p>
        </w:tc>
        <w:tc>
          <w:tcPr>
            <w:tcW w:type="dxa" w:w="1149"/>
          </w:tcPr>
          <w:p>
            <w:pPr>
              <w:pStyle w:val="MDPI42tablebody"/>
              <w:jc w:val="left"/>
            </w:pPr>
            <w:r>
              <w:rPr>
                <w:sz w:val="16"/>
              </w:rPr>
              <w:t>Apparent</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Hosmer–Lemeshow test only; data-driven selection and interactions; apparent performance; complete-case denominator smaller than 169 enrolled.</w:t>
            </w:r>
          </w:p>
        </w:tc>
        <w:tc>
          <w:tcPr>
            <w:tcW w:type="dxa" w:w="1882"/>
          </w:tcPr>
          <w:p>
            <w:pPr>
              <w:pStyle w:val="MDPI42tablebody"/>
              <w:jc w:val="left"/>
            </w:pPr>
            <w:r>
              <w:rPr>
                <w:sz w:val="16"/>
              </w:rPr>
              <w:t>https://doi.org/10.1093/gerona/glu225</w:t>
            </w:r>
          </w:p>
        </w:tc>
      </w:tr>
      <w:tr>
        <w:trPr>
          <w:cantSplit/>
        </w:trPr>
        <w:tc>
          <w:tcPr>
            <w:tcW w:type="dxa" w:w="1567"/>
          </w:tcPr>
          <w:p>
            <w:pPr>
              <w:pStyle w:val="MDPI42tablebody"/>
              <w:jc w:val="left"/>
            </w:pPr>
            <w:r>
              <w:rPr>
                <w:sz w:val="16"/>
              </w:rPr>
              <w:t>van Schooten et al. 2016 [27]</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predictor reduction performed on the full cohort before leave-one-out validation; 294 of 319 with complete development data.</w:t>
            </w:r>
          </w:p>
        </w:tc>
        <w:tc>
          <w:tcPr>
            <w:tcW w:type="dxa" w:w="1882"/>
          </w:tcPr>
          <w:p>
            <w:pPr>
              <w:pStyle w:val="MDPI42tablebody"/>
              <w:jc w:val="left"/>
            </w:pPr>
            <w:r>
              <w:rPr>
                <w:sz w:val="16"/>
              </w:rPr>
              <w:t>https://doi.org/10.1371/journal.pone.0158623</w:t>
            </w:r>
          </w:p>
        </w:tc>
      </w:tr>
      <w:tr>
        <w:trPr>
          <w:cantSplit/>
        </w:trPr>
        <w:tc>
          <w:tcPr>
            <w:tcW w:type="dxa" w:w="1567"/>
          </w:tcPr>
          <w:p>
            <w:pPr>
              <w:pStyle w:val="MDPI42tablebody"/>
              <w:jc w:val="left"/>
            </w:pPr>
            <w:r>
              <w:rPr>
                <w:sz w:val="16"/>
              </w:rPr>
              <w:t>Howcroft et al. 2017 [28]</w:t>
            </w:r>
          </w:p>
        </w:tc>
        <w:tc>
          <w:tcPr>
            <w:tcW w:type="dxa" w:w="1149"/>
          </w:tcPr>
          <w:p>
            <w:pPr>
              <w:pStyle w:val="MDPI42tablebody"/>
              <w:jc w:val="left"/>
            </w:pPr>
            <w:r>
              <w:rPr>
                <w:sz w:val="16"/>
              </w:rPr>
              <w:t>Internal validation</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missing-data handling, and validation procedures not described in the indexed/publisher abstract (no information).</w:t>
            </w:r>
          </w:p>
        </w:tc>
        <w:tc>
          <w:tcPr>
            <w:tcW w:type="dxa" w:w="1882"/>
          </w:tcPr>
          <w:p>
            <w:pPr>
              <w:pStyle w:val="MDPI42tablebody"/>
              <w:jc w:val="left"/>
            </w:pPr>
            <w:r>
              <w:rPr>
                <w:sz w:val="16"/>
              </w:rPr>
              <w:t>https://doi.org/10.1109/TNSRE.2017.2687100</w:t>
            </w:r>
          </w:p>
        </w:tc>
      </w:tr>
      <w:tr>
        <w:trPr>
          <w:cantSplit/>
        </w:trPr>
        <w:tc>
          <w:tcPr>
            <w:tcW w:type="dxa" w:w="1567"/>
          </w:tcPr>
          <w:p>
            <w:pPr>
              <w:pStyle w:val="MDPI42tablebody"/>
              <w:jc w:val="left"/>
            </w:pPr>
            <w:r>
              <w:rPr>
                <w:sz w:val="16"/>
              </w:rPr>
              <w:t>Drover et al. 2017 [29]</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feature subset selected across resampling iterations; 71 of 76 enrolled analysed.</w:t>
            </w:r>
          </w:p>
        </w:tc>
        <w:tc>
          <w:tcPr>
            <w:tcW w:type="dxa" w:w="1882"/>
          </w:tcPr>
          <w:p>
            <w:pPr>
              <w:pStyle w:val="MDPI42tablebody"/>
              <w:jc w:val="left"/>
            </w:pPr>
            <w:r>
              <w:rPr>
                <w:sz w:val="16"/>
              </w:rPr>
              <w:t>https://doi.org/10.3390/s17061321</w:t>
            </w:r>
          </w:p>
        </w:tc>
      </w:tr>
      <w:tr>
        <w:trPr>
          <w:cantSplit/>
        </w:trPr>
        <w:tc>
          <w:tcPr>
            <w:tcW w:type="dxa" w:w="1567"/>
          </w:tcPr>
          <w:p>
            <w:pPr>
              <w:pStyle w:val="MDPI42tablebody"/>
              <w:jc w:val="left"/>
            </w:pPr>
            <w:r>
              <w:rPr>
                <w:sz w:val="16"/>
              </w:rPr>
              <w:t>Greene et al. 2018 [30]</w:t>
            </w:r>
          </w:p>
        </w:tc>
        <w:tc>
          <w:tcPr>
            <w:tcW w:type="dxa" w:w="1149"/>
          </w:tcPr>
          <w:p>
            <w:pPr>
              <w:pStyle w:val="MDPI42tablebody"/>
              <w:jc w:val="left"/>
            </w:pPr>
            <w:r>
              <w:rPr>
                <w:sz w:val="16"/>
              </w:rPr>
              <w:t>Prospective fixed-model evaluation</w:t>
            </w:r>
          </w:p>
        </w:tc>
        <w:tc>
          <w:tcPr>
            <w:tcW w:type="dxa" w:w="449"/>
          </w:tcPr>
          <w:p>
            <w:pPr>
              <w:pStyle w:val="MDPI42tablebody"/>
              <w:jc w:val="left"/>
            </w:pPr>
            <w:r>
              <w:rPr>
                <w:sz w:val="16"/>
              </w:rPr>
              <w:t>NA</w:t>
            </w:r>
          </w:p>
        </w:tc>
        <w:tc>
          <w:tcPr>
            <w:tcW w:type="dxa" w:w="449"/>
          </w:tcPr>
          <w:p>
            <w:pPr>
              <w:pStyle w:val="MDPI42tablebody"/>
              <w:jc w:val="left"/>
            </w:pPr>
            <w:r>
              <w:rPr>
                <w:sz w:val="16"/>
              </w:rPr>
              <w:t>NA</w:t>
            </w:r>
          </w:p>
        </w:tc>
        <w:tc>
          <w:tcPr>
            <w:tcW w:type="dxa" w:w="449"/>
          </w:tcPr>
          <w:p>
            <w:pPr>
              <w:pStyle w:val="MDPI42tablebody"/>
              <w:jc w:val="left"/>
            </w:pPr>
            <w:r>
              <w:rPr>
                <w:sz w:val="16"/>
              </w:rPr>
              <w:t>NA</w:t>
            </w:r>
          </w:p>
        </w:tc>
        <w:tc>
          <w:tcPr>
            <w:tcW w:type="dxa" w:w="449"/>
          </w:tcPr>
          <w:p>
            <w:pPr>
              <w:pStyle w:val="MDPI42tablebody"/>
              <w:jc w:val="left"/>
            </w:pPr>
            <w:r>
              <w:rPr>
                <w:sz w:val="16"/>
              </w:rPr>
              <w:t>NA</w:t>
            </w:r>
          </w:p>
        </w:tc>
        <w:tc>
          <w:tcPr>
            <w:tcW w:type="dxa" w:w="522"/>
          </w:tcPr>
          <w:p>
            <w:pPr>
              <w:pStyle w:val="MDPI42tablebody"/>
              <w:jc w:val="left"/>
            </w:pPr>
            <w:r>
              <w:rPr>
                <w:sz w:val="16"/>
              </w:rPr>
              <w:t>NA</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12 of 15 with 180-day follow-up.</w:t>
            </w:r>
          </w:p>
        </w:tc>
        <w:tc>
          <w:tcPr>
            <w:tcW w:type="dxa" w:w="1882"/>
          </w:tcPr>
          <w:p>
            <w:pPr>
              <w:pStyle w:val="MDPI42tablebody"/>
              <w:jc w:val="left"/>
            </w:pPr>
            <w:r>
              <w:rPr>
                <w:sz w:val="16"/>
              </w:rPr>
              <w:t>https://doi.org/10.1177/2055668317750811</w:t>
            </w:r>
          </w:p>
        </w:tc>
      </w:tr>
      <w:tr>
        <w:trPr>
          <w:cantSplit/>
        </w:trPr>
        <w:tc>
          <w:tcPr>
            <w:tcW w:type="dxa" w:w="1567"/>
          </w:tcPr>
          <w:p>
            <w:pPr>
              <w:pStyle w:val="MDPI42tablebody"/>
              <w:jc w:val="left"/>
            </w:pPr>
            <w:r>
              <w:rPr>
                <w:sz w:val="16"/>
              </w:rPr>
              <w:t>Ihlen et al. 2018 [31]</w:t>
            </w:r>
          </w:p>
        </w:tc>
        <w:tc>
          <w:tcPr>
            <w:tcW w:type="dxa" w:w="1149"/>
          </w:tcPr>
          <w:p>
            <w:pPr>
              <w:pStyle w:val="MDPI42tablebody"/>
              <w:jc w:val="left"/>
            </w:pPr>
            <w:r>
              <w:rPr>
                <w:sz w:val="16"/>
              </w:rPr>
              <w:t>Internal validation</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whole-dataset backward selection before non-nested 10-fold cross-validation; matched case–control subsample of the cohort.</w:t>
            </w:r>
          </w:p>
        </w:tc>
        <w:tc>
          <w:tcPr>
            <w:tcW w:type="dxa" w:w="1882"/>
          </w:tcPr>
          <w:p>
            <w:pPr>
              <w:pStyle w:val="MDPI42tablebody"/>
              <w:jc w:val="left"/>
            </w:pPr>
            <w:r>
              <w:rPr>
                <w:sz w:val="16"/>
              </w:rPr>
              <w:t>https://doi.org/10.3389/fnagi.2018.00044</w:t>
            </w:r>
          </w:p>
        </w:tc>
      </w:tr>
      <w:tr>
        <w:trPr>
          <w:cantSplit/>
        </w:trPr>
        <w:tc>
          <w:tcPr>
            <w:tcW w:type="dxa" w:w="1567"/>
          </w:tcPr>
          <w:p>
            <w:pPr>
              <w:pStyle w:val="MDPI42tablebody"/>
              <w:jc w:val="left"/>
            </w:pPr>
            <w:r>
              <w:rPr>
                <w:sz w:val="16"/>
              </w:rPr>
              <w:t>Nait Aicha et al. 2018 [32]</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architecture and hyperparameter exploration in the same cohort.</w:t>
            </w:r>
          </w:p>
        </w:tc>
        <w:tc>
          <w:tcPr>
            <w:tcW w:type="dxa" w:w="1882"/>
          </w:tcPr>
          <w:p>
            <w:pPr>
              <w:pStyle w:val="MDPI42tablebody"/>
              <w:jc w:val="left"/>
            </w:pPr>
            <w:r>
              <w:rPr>
                <w:sz w:val="16"/>
              </w:rPr>
              <w:t>https://doi.org/10.3390/s18051654</w:t>
            </w:r>
          </w:p>
        </w:tc>
      </w:tr>
      <w:tr>
        <w:trPr>
          <w:cantSplit/>
        </w:trPr>
        <w:tc>
          <w:tcPr>
            <w:tcW w:type="dxa" w:w="1567"/>
          </w:tcPr>
          <w:p>
            <w:pPr>
              <w:pStyle w:val="MDPI42tablebody"/>
              <w:jc w:val="left"/>
            </w:pPr>
            <w:r>
              <w:rPr>
                <w:sz w:val="16"/>
              </w:rPr>
              <w:t>Howcroft et al. 2018 [33]</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model selected on one split before repeated hold-out evaluation.</w:t>
            </w:r>
          </w:p>
        </w:tc>
        <w:tc>
          <w:tcPr>
            <w:tcW w:type="dxa" w:w="1882"/>
          </w:tcPr>
          <w:p>
            <w:pPr>
              <w:pStyle w:val="MDPI42tablebody"/>
              <w:jc w:val="left"/>
            </w:pPr>
            <w:r>
              <w:rPr>
                <w:sz w:val="16"/>
              </w:rPr>
              <w:t>https://doi.org/10.1016/j.bspc.2018.03.005</w:t>
            </w:r>
          </w:p>
        </w:tc>
      </w:tr>
      <w:tr>
        <w:trPr>
          <w:cantSplit/>
        </w:trPr>
        <w:tc>
          <w:tcPr>
            <w:tcW w:type="dxa" w:w="1567"/>
          </w:tcPr>
          <w:p>
            <w:pPr>
              <w:pStyle w:val="MDPI42tablebody"/>
              <w:jc w:val="left"/>
            </w:pPr>
            <w:r>
              <w:rPr>
                <w:sz w:val="16"/>
              </w:rPr>
              <w:t>Bizovska et al. 2018 [34]</w:t>
            </w:r>
          </w:p>
        </w:tc>
        <w:tc>
          <w:tcPr>
            <w:tcW w:type="dxa" w:w="1149"/>
          </w:tcPr>
          <w:p>
            <w:pPr>
              <w:pStyle w:val="MDPI42tablebody"/>
              <w:jc w:val="left"/>
            </w:pPr>
            <w:r>
              <w:rPr>
                <w:sz w:val="16"/>
              </w:rPr>
              <w:t>Apparent</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variable combinations selected and evaluated in the same cohort; 35 single fallers excluded from the ROC analysis.</w:t>
            </w:r>
          </w:p>
        </w:tc>
        <w:tc>
          <w:tcPr>
            <w:tcW w:type="dxa" w:w="1882"/>
          </w:tcPr>
          <w:p>
            <w:pPr>
              <w:pStyle w:val="MDPI42tablebody"/>
              <w:jc w:val="left"/>
            </w:pPr>
            <w:r>
              <w:rPr>
                <w:sz w:val="16"/>
              </w:rPr>
              <w:t>https://doi.org/10.1371/journal.pone.0197091</w:t>
            </w:r>
          </w:p>
        </w:tc>
      </w:tr>
      <w:tr>
        <w:trPr>
          <w:cantSplit/>
        </w:trPr>
        <w:tc>
          <w:tcPr>
            <w:tcW w:type="dxa" w:w="1567"/>
          </w:tcPr>
          <w:p>
            <w:pPr>
              <w:pStyle w:val="MDPI42tablebody"/>
              <w:jc w:val="left"/>
            </w:pPr>
            <w:r>
              <w:rPr>
                <w:sz w:val="16"/>
              </w:rPr>
              <w:t>Marques et al. 2018 [35]</w:t>
            </w:r>
          </w:p>
        </w:tc>
        <w:tc>
          <w:tcPr>
            <w:tcW w:type="dxa" w:w="1149"/>
          </w:tcPr>
          <w:p>
            <w:pPr>
              <w:pStyle w:val="MDPI42tablebody"/>
              <w:jc w:val="left"/>
            </w:pPr>
            <w:r>
              <w:rPr>
                <w:sz w:val="16"/>
              </w:rPr>
              <w:t>Apparent</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report-level domain judgment: selected active community sample; standardized fall definition and outcome-assessor masking not reported; outcome-driven stepwise selection and data-derived thresholds; apparent performance only; no reported calibration, uncertainty, optimism correction, independent validation, or clinical-utility assessment. This rationale is not a completed official item-level PROBAST+AI form.</w:t>
            </w:r>
          </w:p>
        </w:tc>
        <w:tc>
          <w:tcPr>
            <w:tcW w:type="dxa" w:w="1882"/>
          </w:tcPr>
          <w:p>
            <w:pPr>
              <w:pStyle w:val="MDPI42tablebody"/>
              <w:jc w:val="left"/>
            </w:pPr>
            <w:r>
              <w:rPr>
                <w:sz w:val="16"/>
              </w:rPr>
              <w:t>https://doi.org/10.1016/j.clinbiomech.2018.08.006</w:t>
            </w:r>
          </w:p>
        </w:tc>
      </w:tr>
      <w:tr>
        <w:trPr>
          <w:cantSplit/>
        </w:trPr>
        <w:tc>
          <w:tcPr>
            <w:tcW w:type="dxa" w:w="1567"/>
          </w:tcPr>
          <w:p>
            <w:pPr>
              <w:pStyle w:val="MDPI42tablebody"/>
              <w:jc w:val="left"/>
            </w:pPr>
            <w:r>
              <w:rPr>
                <w:sz w:val="16"/>
              </w:rPr>
              <w:t>Lo et al. 2019 [36]</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feature reduction performed in the same cohort.</w:t>
            </w:r>
          </w:p>
        </w:tc>
        <w:tc>
          <w:tcPr>
            <w:tcW w:type="dxa" w:w="1882"/>
          </w:tcPr>
          <w:p>
            <w:pPr>
              <w:pStyle w:val="MDPI42tablebody"/>
              <w:jc w:val="left"/>
            </w:pPr>
            <w:r>
              <w:rPr>
                <w:sz w:val="16"/>
              </w:rPr>
              <w:t>https://doi.org/10.1002/acn3.50853</w:t>
            </w:r>
          </w:p>
        </w:tc>
      </w:tr>
      <w:tr>
        <w:trPr>
          <w:cantSplit/>
        </w:trPr>
        <w:tc>
          <w:tcPr>
            <w:tcW w:type="dxa" w:w="1567"/>
          </w:tcPr>
          <w:p>
            <w:pPr>
              <w:pStyle w:val="MDPI42tablebody"/>
              <w:jc w:val="left"/>
            </w:pPr>
            <w:r>
              <w:rPr>
                <w:sz w:val="16"/>
              </w:rPr>
              <w:t>Marques et al. 2019 [37]</w:t>
            </w:r>
          </w:p>
        </w:tc>
        <w:tc>
          <w:tcPr>
            <w:tcW w:type="dxa" w:w="1149"/>
          </w:tcPr>
          <w:p>
            <w:pPr>
              <w:pStyle w:val="MDPI42tablebody"/>
              <w:jc w:val="left"/>
            </w:pPr>
            <w:r>
              <w:rPr>
                <w:sz w:val="16"/>
              </w:rPr>
              <w:t>Apparent</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missing-data handling, and validation procedures not described in the indexed/publisher abstract (no information).</w:t>
            </w:r>
          </w:p>
        </w:tc>
        <w:tc>
          <w:tcPr>
            <w:tcW w:type="dxa" w:w="1882"/>
          </w:tcPr>
          <w:p>
            <w:pPr>
              <w:pStyle w:val="MDPI42tablebody"/>
              <w:jc w:val="left"/>
            </w:pPr>
            <w:r>
              <w:rPr>
                <w:sz w:val="16"/>
              </w:rPr>
              <w:t>https://doi.org/10.1016/j.clinbiomech.2019.04.011</w:t>
            </w:r>
          </w:p>
        </w:tc>
      </w:tr>
      <w:tr>
        <w:trPr>
          <w:cantSplit/>
        </w:trPr>
        <w:tc>
          <w:tcPr>
            <w:tcW w:type="dxa" w:w="1567"/>
          </w:tcPr>
          <w:p>
            <w:pPr>
              <w:pStyle w:val="MDPI42tablebody"/>
              <w:jc w:val="left"/>
            </w:pPr>
            <w:r>
              <w:rPr>
                <w:sz w:val="16"/>
              </w:rPr>
              <w:t>Gillain et al. 2019 [38]</w:t>
            </w:r>
          </w:p>
        </w:tc>
        <w:tc>
          <w:tcPr>
            <w:tcW w:type="dxa" w:w="1149"/>
          </w:tcPr>
          <w:p>
            <w:pPr>
              <w:pStyle w:val="MDPI42tablebody"/>
              <w:jc w:val="left"/>
            </w:pPr>
            <w:r>
              <w:rPr>
                <w:sz w:val="16"/>
              </w:rPr>
              <w:t>Apparent</w:t>
            </w:r>
          </w:p>
        </w:tc>
        <w:tc>
          <w:tcPr>
            <w:tcW w:type="dxa" w:w="449"/>
          </w:tcPr>
          <w:p>
            <w:pPr>
              <w:pStyle w:val="MDPI42tablebody"/>
              <w:jc w:val="left"/>
            </w:pPr>
            <w:r>
              <w:rPr>
                <w:sz w:val="16"/>
              </w:rPr>
              <w:t>U</w:t>
            </w:r>
          </w:p>
        </w:tc>
        <w:tc>
          <w:tcPr>
            <w:tcW w:type="dxa" w:w="449"/>
          </w:tcPr>
          <w:p>
            <w:pPr>
              <w:pStyle w:val="MDPI42tablebody"/>
              <w:jc w:val="left"/>
            </w:pPr>
            <w:r>
              <w:rPr>
                <w:sz w:val="16"/>
              </w:rPr>
              <w:t>L</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U</w:t>
            </w:r>
          </w:p>
        </w:tc>
        <w:tc>
          <w:tcPr>
            <w:tcW w:type="dxa" w:w="449"/>
          </w:tcPr>
          <w:p>
            <w:pPr>
              <w:pStyle w:val="MDPI42tablebody"/>
              <w:jc w:val="left"/>
            </w:pPr>
            <w:r>
              <w:rPr>
                <w:sz w:val="16"/>
              </w:rPr>
              <w:t>L</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missing-data handling, and validation procedures not described in the indexed/publisher abstract (no information).</w:t>
            </w:r>
          </w:p>
        </w:tc>
        <w:tc>
          <w:tcPr>
            <w:tcW w:type="dxa" w:w="1882"/>
          </w:tcPr>
          <w:p>
            <w:pPr>
              <w:pStyle w:val="MDPI42tablebody"/>
              <w:jc w:val="left"/>
            </w:pPr>
            <w:r>
              <w:rPr>
                <w:sz w:val="16"/>
              </w:rPr>
              <w:t>https://doi.org/10.1016/j.exger.2019.110730</w:t>
            </w:r>
          </w:p>
        </w:tc>
      </w:tr>
      <w:tr>
        <w:trPr>
          <w:cantSplit/>
        </w:trPr>
        <w:tc>
          <w:tcPr>
            <w:tcW w:type="dxa" w:w="1567"/>
          </w:tcPr>
          <w:p>
            <w:pPr>
              <w:pStyle w:val="MDPI42tablebody"/>
              <w:jc w:val="left"/>
            </w:pPr>
            <w:r>
              <w:rPr>
                <w:sz w:val="16"/>
              </w:rPr>
              <w:t>Buisseret et al. 2020 [39]</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the same 16-person set used repeatedly for model selection and testing; 73 complete participants analysed.</w:t>
            </w:r>
          </w:p>
        </w:tc>
        <w:tc>
          <w:tcPr>
            <w:tcW w:type="dxa" w:w="1882"/>
          </w:tcPr>
          <w:p>
            <w:pPr>
              <w:pStyle w:val="MDPI42tablebody"/>
              <w:jc w:val="left"/>
            </w:pPr>
            <w:r>
              <w:rPr>
                <w:sz w:val="16"/>
              </w:rPr>
              <w:t>https://doi.org/10.3390/s20113207</w:t>
            </w:r>
          </w:p>
        </w:tc>
      </w:tr>
      <w:tr>
        <w:trPr>
          <w:cantSplit/>
        </w:trPr>
        <w:tc>
          <w:tcPr>
            <w:tcW w:type="dxa" w:w="1567"/>
          </w:tcPr>
          <w:p>
            <w:pPr>
              <w:pStyle w:val="MDPI42tablebody"/>
              <w:jc w:val="left"/>
            </w:pPr>
            <w:r>
              <w:rPr>
                <w:sz w:val="16"/>
              </w:rPr>
              <w:t>Silva et al. 2020 [40]</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Predictors domain also high: a prospective-fall field appeared in the source feature inventory, and its exclusion from modelling could not be verified.</w:t>
            </w:r>
          </w:p>
        </w:tc>
        <w:tc>
          <w:tcPr>
            <w:tcW w:type="dxa" w:w="1882"/>
          </w:tcPr>
          <w:p>
            <w:pPr>
              <w:pStyle w:val="MDPI42tablebody"/>
              <w:jc w:val="left"/>
            </w:pPr>
            <w:r>
              <w:rPr>
                <w:sz w:val="16"/>
              </w:rPr>
              <w:t>https://doi.org/10.1109/JBHI.2019.2951230</w:t>
            </w:r>
          </w:p>
        </w:tc>
      </w:tr>
      <w:tr>
        <w:trPr>
          <w:cantSplit/>
        </w:trPr>
        <w:tc>
          <w:tcPr>
            <w:tcW w:type="dxa" w:w="1567"/>
          </w:tcPr>
          <w:p>
            <w:pPr>
              <w:pStyle w:val="MDPI42tablebody"/>
              <w:jc w:val="left"/>
            </w:pPr>
            <w:r>
              <w:rPr>
                <w:sz w:val="16"/>
              </w:rPr>
              <w:t>Sturchio et al. 2021 [41]</w:t>
            </w:r>
          </w:p>
        </w:tc>
        <w:tc>
          <w:tcPr>
            <w:tcW w:type="dxa" w:w="1149"/>
          </w:tcPr>
          <w:p>
            <w:pPr>
              <w:pStyle w:val="MDPI42tablebody"/>
              <w:jc w:val="left"/>
            </w:pPr>
            <w:r>
              <w:rPr>
                <w:sz w:val="16"/>
              </w:rPr>
              <w:t>Apparent</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clusters and thresholds derived and evaluated in the same 26 participants.</w:t>
            </w:r>
          </w:p>
        </w:tc>
        <w:tc>
          <w:tcPr>
            <w:tcW w:type="dxa" w:w="1882"/>
          </w:tcPr>
          <w:p>
            <w:pPr>
              <w:pStyle w:val="MDPI42tablebody"/>
              <w:jc w:val="left"/>
            </w:pPr>
            <w:r>
              <w:rPr>
                <w:sz w:val="16"/>
              </w:rPr>
              <w:t>https://doi.org/10.1007/s00415-020-10240-8</w:t>
            </w:r>
          </w:p>
        </w:tc>
      </w:tr>
      <w:tr>
        <w:trPr>
          <w:cantSplit/>
        </w:trPr>
        <w:tc>
          <w:tcPr>
            <w:tcW w:type="dxa" w:w="1567"/>
          </w:tcPr>
          <w:p>
            <w:pPr>
              <w:pStyle w:val="MDPI42tablebody"/>
              <w:jc w:val="left"/>
            </w:pPr>
            <w:r>
              <w:rPr>
                <w:sz w:val="16"/>
              </w:rPr>
              <w:t>Bet et al. 2021 [42]</w:t>
            </w:r>
          </w:p>
        </w:tc>
        <w:tc>
          <w:tcPr>
            <w:tcW w:type="dxa" w:w="1149"/>
          </w:tcPr>
          <w:p>
            <w:pPr>
              <w:pStyle w:val="MDPI42tablebody"/>
              <w:jc w:val="left"/>
            </w:pPr>
            <w:r>
              <w:rPr>
                <w:sz w:val="16"/>
              </w:rPr>
              <w:t>Apparent</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no probabilistic output or calibration; features and thresholds selected and evaluated in the same cohort.</w:t>
            </w:r>
          </w:p>
        </w:tc>
        <w:tc>
          <w:tcPr>
            <w:tcW w:type="dxa" w:w="1882"/>
          </w:tcPr>
          <w:p>
            <w:pPr>
              <w:pStyle w:val="MDPI42tablebody"/>
              <w:jc w:val="left"/>
            </w:pPr>
            <w:r>
              <w:rPr>
                <w:sz w:val="16"/>
              </w:rPr>
              <w:t>https://doi.org/10.1016/j.exger.2020.111139</w:t>
            </w:r>
          </w:p>
        </w:tc>
      </w:tr>
      <w:tr>
        <w:trPr>
          <w:cantSplit/>
        </w:trPr>
        <w:tc>
          <w:tcPr>
            <w:tcW w:type="dxa" w:w="1567"/>
          </w:tcPr>
          <w:p>
            <w:pPr>
              <w:pStyle w:val="MDPI42tablebody"/>
              <w:jc w:val="left"/>
            </w:pPr>
            <w:r>
              <w:rPr>
                <w:sz w:val="16"/>
              </w:rPr>
              <w:t>Mehdizadeh et al. 2021 [43]</w:t>
            </w:r>
          </w:p>
        </w:tc>
        <w:tc>
          <w:tcPr>
            <w:tcW w:type="dxa" w:w="1149"/>
          </w:tcPr>
          <w:p>
            <w:pPr>
              <w:pStyle w:val="MDPI42tablebody"/>
              <w:jc w:val="left"/>
            </w:pPr>
            <w:r>
              <w:rPr>
                <w:sz w:val="16"/>
              </w:rPr>
              <w:t>Internal validation</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missing-data handling, and validation procedures not described in the indexed/publisher abstract (no information).</w:t>
            </w:r>
          </w:p>
        </w:tc>
        <w:tc>
          <w:tcPr>
            <w:tcW w:type="dxa" w:w="1882"/>
          </w:tcPr>
          <w:p>
            <w:pPr>
              <w:pStyle w:val="MDPI42tablebody"/>
              <w:jc w:val="left"/>
            </w:pPr>
            <w:r>
              <w:rPr>
                <w:sz w:val="16"/>
              </w:rPr>
              <w:t>https://doi.org/10.1016/j.jamda.2020.07.030</w:t>
            </w:r>
          </w:p>
        </w:tc>
      </w:tr>
      <w:tr>
        <w:trPr>
          <w:cantSplit/>
        </w:trPr>
        <w:tc>
          <w:tcPr>
            <w:tcW w:type="dxa" w:w="1567"/>
          </w:tcPr>
          <w:p>
            <w:pPr>
              <w:pStyle w:val="MDPI42tablebody"/>
              <w:jc w:val="left"/>
            </w:pPr>
            <w:r>
              <w:rPr>
                <w:sz w:val="16"/>
              </w:rPr>
              <w:t>Lockhart et al. 2021 [44]</w:t>
            </w:r>
          </w:p>
        </w:tc>
        <w:tc>
          <w:tcPr>
            <w:tcW w:type="dxa" w:w="1149"/>
          </w:tcPr>
          <w:p>
            <w:pPr>
              <w:pStyle w:val="MDPI42tablebody"/>
              <w:jc w:val="left"/>
            </w:pPr>
            <w:r>
              <w:rPr>
                <w:sz w:val="16"/>
              </w:rPr>
              <w:t>Prospective fixed-model evaluation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w:t>
            </w:r>
          </w:p>
        </w:tc>
        <w:tc>
          <w:tcPr>
            <w:tcW w:type="dxa" w:w="1882"/>
          </w:tcPr>
          <w:p>
            <w:pPr>
              <w:pStyle w:val="MDPI42tablebody"/>
              <w:jc w:val="left"/>
            </w:pPr>
            <w:r>
              <w:rPr>
                <w:sz w:val="16"/>
              </w:rPr>
              <w:t>https://doi.org/10.1038/s41598-021-00458-5</w:t>
            </w:r>
          </w:p>
        </w:tc>
      </w:tr>
      <w:tr>
        <w:trPr>
          <w:cantSplit/>
        </w:trPr>
        <w:tc>
          <w:tcPr>
            <w:tcW w:type="dxa" w:w="1567"/>
          </w:tcPr>
          <w:p>
            <w:pPr>
              <w:pStyle w:val="MDPI42tablebody"/>
              <w:jc w:val="left"/>
            </w:pPr>
            <w:r>
              <w:rPr>
                <w:sz w:val="16"/>
              </w:rPr>
              <w:t>Roshdibenam et al. 2021 [45]</w:t>
            </w:r>
          </w:p>
        </w:tc>
        <w:tc>
          <w:tcPr>
            <w:tcW w:type="dxa" w:w="1149"/>
          </w:tcPr>
          <w:p>
            <w:pPr>
              <w:pStyle w:val="MDPI42tablebody"/>
              <w:jc w:val="left"/>
            </w:pPr>
            <w:r>
              <w:rPr>
                <w:sz w:val="16"/>
              </w:rPr>
              <w:t>Internal validation</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complex augmentation and segmentation choices within one cohort; 87 of 98 responded at follow-up.</w:t>
            </w:r>
          </w:p>
        </w:tc>
        <w:tc>
          <w:tcPr>
            <w:tcW w:type="dxa" w:w="1882"/>
          </w:tcPr>
          <w:p>
            <w:pPr>
              <w:pStyle w:val="MDPI42tablebody"/>
              <w:jc w:val="left"/>
            </w:pPr>
            <w:r>
              <w:rPr>
                <w:sz w:val="16"/>
              </w:rPr>
              <w:t>https://doi.org/10.3390/s21103481</w:t>
            </w:r>
          </w:p>
        </w:tc>
      </w:tr>
      <w:tr>
        <w:trPr>
          <w:cantSplit/>
        </w:trPr>
        <w:tc>
          <w:tcPr>
            <w:tcW w:type="dxa" w:w="1567"/>
          </w:tcPr>
          <w:p>
            <w:pPr>
              <w:pStyle w:val="MDPI42tablebody"/>
              <w:jc w:val="left"/>
            </w:pPr>
            <w:r>
              <w:rPr>
                <w:sz w:val="16"/>
              </w:rPr>
              <w:t>Greene et al. 2022 [46]</w:t>
            </w:r>
          </w:p>
        </w:tc>
        <w:tc>
          <w:tcPr>
            <w:tcW w:type="dxa" w:w="1149"/>
          </w:tcPr>
          <w:p>
            <w:pPr>
              <w:pStyle w:val="MDPI42tablebody"/>
              <w:jc w:val="left"/>
            </w:pPr>
            <w:r>
              <w:rPr>
                <w:sz w:val="16"/>
              </w:rPr>
              <w:t>Target-sample updating</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count mapping fitted and evaluated in the same 15 participants; count outcome dominated by one participant with 127 falls.</w:t>
            </w:r>
          </w:p>
        </w:tc>
        <w:tc>
          <w:tcPr>
            <w:tcW w:type="dxa" w:w="1882"/>
          </w:tcPr>
          <w:p>
            <w:pPr>
              <w:pStyle w:val="MDPI42tablebody"/>
              <w:jc w:val="left"/>
            </w:pPr>
            <w:r>
              <w:rPr>
                <w:sz w:val="16"/>
              </w:rPr>
              <w:t>https://doi.org/10.3390/s22010054</w:t>
            </w:r>
          </w:p>
        </w:tc>
      </w:tr>
      <w:tr>
        <w:trPr>
          <w:cantSplit/>
        </w:trPr>
        <w:tc>
          <w:tcPr>
            <w:tcW w:type="dxa" w:w="1567"/>
          </w:tcPr>
          <w:p>
            <w:pPr>
              <w:pStyle w:val="MDPI42tablebody"/>
              <w:jc w:val="left"/>
            </w:pPr>
            <w:r>
              <w:rPr>
                <w:sz w:val="16"/>
              </w:rPr>
              <w:t>Kelly et al. 2022 [47]</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w:t>
            </w:r>
          </w:p>
        </w:tc>
        <w:tc>
          <w:tcPr>
            <w:tcW w:type="dxa" w:w="1882"/>
          </w:tcPr>
          <w:p>
            <w:pPr>
              <w:pStyle w:val="MDPI42tablebody"/>
              <w:jc w:val="left"/>
            </w:pPr>
            <w:r>
              <w:rPr>
                <w:sz w:val="16"/>
              </w:rPr>
              <w:t>https://doi.org/10.1016/j.jbi.2022.104116</w:t>
            </w:r>
          </w:p>
        </w:tc>
      </w:tr>
      <w:tr>
        <w:trPr>
          <w:cantSplit/>
        </w:trPr>
        <w:tc>
          <w:tcPr>
            <w:tcW w:type="dxa" w:w="1567"/>
          </w:tcPr>
          <w:p>
            <w:pPr>
              <w:pStyle w:val="MDPI42tablebody"/>
              <w:jc w:val="left"/>
            </w:pPr>
            <w:r>
              <w:rPr>
                <w:sz w:val="16"/>
              </w:rPr>
              <w:t>Dierick et al. 2022 [48]</w:t>
            </w:r>
          </w:p>
        </w:tc>
        <w:tc>
          <w:tcPr>
            <w:tcW w:type="dxa" w:w="1149"/>
          </w:tcPr>
          <w:p>
            <w:pPr>
              <w:pStyle w:val="MDPI42tablebody"/>
              <w:jc w:val="left"/>
            </w:pPr>
            <w:r>
              <w:rPr>
                <w:sz w:val="16"/>
              </w:rPr>
              <w:t>Apparent</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predictors selected and evaluated in the same sample; 73 of 92 enrolled with complete data.</w:t>
            </w:r>
          </w:p>
        </w:tc>
        <w:tc>
          <w:tcPr>
            <w:tcW w:type="dxa" w:w="1882"/>
          </w:tcPr>
          <w:p>
            <w:pPr>
              <w:pStyle w:val="MDPI42tablebody"/>
              <w:jc w:val="left"/>
            </w:pPr>
            <w:r>
              <w:rPr>
                <w:sz w:val="16"/>
              </w:rPr>
              <w:t>https://doi.org/10.3390/s22062339</w:t>
            </w:r>
          </w:p>
        </w:tc>
      </w:tr>
      <w:tr>
        <w:trPr>
          <w:cantSplit/>
        </w:trPr>
        <w:tc>
          <w:tcPr>
            <w:tcW w:type="dxa" w:w="1567"/>
          </w:tcPr>
          <w:p>
            <w:pPr>
              <w:pStyle w:val="MDPI42tablebody"/>
              <w:jc w:val="left"/>
            </w:pPr>
            <w:r>
              <w:rPr>
                <w:sz w:val="16"/>
              </w:rPr>
              <w:t>Ma et al. 2022 [49]</w:t>
            </w:r>
          </w:p>
        </w:tc>
        <w:tc>
          <w:tcPr>
            <w:tcW w:type="dxa" w:w="1149"/>
          </w:tcPr>
          <w:p>
            <w:pPr>
              <w:pStyle w:val="MDPI42tablebody"/>
              <w:jc w:val="left"/>
            </w:pPr>
            <w:r>
              <w:rPr>
                <w:sz w:val="16"/>
              </w:rPr>
              <w:t>Apparent</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missing-data handling, and validation procedures not described in the indexed/publisher abstract (no information).</w:t>
            </w:r>
          </w:p>
        </w:tc>
        <w:tc>
          <w:tcPr>
            <w:tcW w:type="dxa" w:w="1882"/>
          </w:tcPr>
          <w:p>
            <w:pPr>
              <w:pStyle w:val="MDPI42tablebody"/>
              <w:jc w:val="left"/>
            </w:pPr>
            <w:r>
              <w:rPr>
                <w:sz w:val="16"/>
              </w:rPr>
              <w:t>https://doi.org/10.1080/00207454.2020.1849189</w:t>
            </w:r>
          </w:p>
        </w:tc>
      </w:tr>
      <w:tr>
        <w:trPr>
          <w:cantSplit/>
        </w:trPr>
        <w:tc>
          <w:tcPr>
            <w:tcW w:type="dxa" w:w="1567"/>
          </w:tcPr>
          <w:p>
            <w:pPr>
              <w:pStyle w:val="MDPI42tablebody"/>
              <w:jc w:val="left"/>
            </w:pPr>
            <w:r>
              <w:rPr>
                <w:sz w:val="16"/>
              </w:rPr>
              <w:t>Dasgupta et al. 2022 [50]</w:t>
            </w:r>
          </w:p>
        </w:tc>
        <w:tc>
          <w:tcPr>
            <w:tcW w:type="dxa" w:w="1149"/>
          </w:tcPr>
          <w:p>
            <w:pPr>
              <w:pStyle w:val="MDPI42tablebody"/>
              <w:jc w:val="left"/>
            </w:pPr>
            <w:r>
              <w:rPr>
                <w:sz w:val="16"/>
              </w:rPr>
              <w:t>Internal validation</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generated-feature screening before leave-one-out validation; incomplete follow-up.</w:t>
            </w:r>
          </w:p>
        </w:tc>
        <w:tc>
          <w:tcPr>
            <w:tcW w:type="dxa" w:w="1882"/>
          </w:tcPr>
          <w:p>
            <w:pPr>
              <w:pStyle w:val="MDPI42tablebody"/>
              <w:jc w:val="left"/>
            </w:pPr>
            <w:r>
              <w:rPr>
                <w:sz w:val="16"/>
              </w:rPr>
              <w:t>https://doi.org/10.1016/j.ajem.2021.12.071</w:t>
            </w:r>
          </w:p>
        </w:tc>
      </w:tr>
      <w:tr>
        <w:trPr>
          <w:cantSplit/>
        </w:trPr>
        <w:tc>
          <w:tcPr>
            <w:tcW w:type="dxa" w:w="1567"/>
          </w:tcPr>
          <w:p>
            <w:pPr>
              <w:pStyle w:val="MDPI42tablebody"/>
              <w:jc w:val="left"/>
            </w:pPr>
            <w:r>
              <w:rPr>
                <w:sz w:val="16"/>
              </w:rPr>
              <w:t>Caronni et al. 2023 [51]</w:t>
            </w:r>
          </w:p>
        </w:tc>
        <w:tc>
          <w:tcPr>
            <w:tcW w:type="dxa" w:w="1149"/>
          </w:tcPr>
          <w:p>
            <w:pPr>
              <w:pStyle w:val="MDPI42tablebody"/>
              <w:jc w:val="left"/>
            </w:pPr>
            <w:r>
              <w:rPr>
                <w:sz w:val="16"/>
              </w:rPr>
              <w:t>Apparent</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predictor selection and performance in the same data; 214 of 353 assessed were analysed; pre- and post-rehabilitation measures complicate the index time.</w:t>
            </w:r>
          </w:p>
        </w:tc>
        <w:tc>
          <w:tcPr>
            <w:tcW w:type="dxa" w:w="1882"/>
          </w:tcPr>
          <w:p>
            <w:pPr>
              <w:pStyle w:val="MDPI42tablebody"/>
              <w:jc w:val="left"/>
            </w:pPr>
            <w:r>
              <w:rPr>
                <w:sz w:val="16"/>
              </w:rPr>
              <w:t>https://doi.org/10.3389/fneur.2023.1228302</w:t>
            </w:r>
          </w:p>
        </w:tc>
      </w:tr>
      <w:tr>
        <w:trPr>
          <w:cantSplit/>
        </w:trPr>
        <w:tc>
          <w:tcPr>
            <w:tcW w:type="dxa" w:w="1567"/>
          </w:tcPr>
          <w:p>
            <w:pPr>
              <w:pStyle w:val="MDPI42tablebody"/>
              <w:jc w:val="left"/>
            </w:pPr>
            <w:r>
              <w:rPr>
                <w:sz w:val="16"/>
              </w:rPr>
              <w:t>Horak et al. 2023 [52]</w:t>
            </w:r>
          </w:p>
        </w:tc>
        <w:tc>
          <w:tcPr>
            <w:tcW w:type="dxa" w:w="1149"/>
          </w:tcPr>
          <w:p>
            <w:pPr>
              <w:pStyle w:val="MDPI42tablebody"/>
              <w:jc w:val="left"/>
            </w:pPr>
            <w:r>
              <w:rPr>
                <w:sz w:val="16"/>
              </w:rPr>
              <w:t>Apparent</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model averaging over many candidate combinations; apparent performance; 214 of 236 enrolled in the final analysis.</w:t>
            </w:r>
          </w:p>
        </w:tc>
        <w:tc>
          <w:tcPr>
            <w:tcW w:type="dxa" w:w="1882"/>
          </w:tcPr>
          <w:p>
            <w:pPr>
              <w:pStyle w:val="MDPI42tablebody"/>
              <w:jc w:val="left"/>
            </w:pPr>
            <w:r>
              <w:rPr>
                <w:sz w:val="16"/>
              </w:rPr>
              <w:t>https://doi.org/10.1007/s11357-022-00675-4</w:t>
            </w:r>
          </w:p>
        </w:tc>
      </w:tr>
      <w:tr>
        <w:trPr>
          <w:cantSplit/>
        </w:trPr>
        <w:tc>
          <w:tcPr>
            <w:tcW w:type="dxa" w:w="1567"/>
          </w:tcPr>
          <w:p>
            <w:pPr>
              <w:pStyle w:val="MDPI42tablebody"/>
              <w:jc w:val="left"/>
            </w:pPr>
            <w:r>
              <w:rPr>
                <w:sz w:val="16"/>
              </w:rPr>
              <w:t>Ullrich et al. 2023 [53]</w:t>
            </w:r>
          </w:p>
        </w:tc>
        <w:tc>
          <w:tcPr>
            <w:tcW w:type="dxa" w:w="1149"/>
          </w:tcPr>
          <w:p>
            <w:pPr>
              <w:pStyle w:val="MDPI42tablebody"/>
              <w:jc w:val="left"/>
            </w:pPr>
            <w:r>
              <w:rPr>
                <w:sz w:val="16"/>
              </w:rPr>
              <w:t>Internal validation</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numerous aggregation and model choices within one small cohort; 35 of 40 recruited analysed.</w:t>
            </w:r>
          </w:p>
        </w:tc>
        <w:tc>
          <w:tcPr>
            <w:tcW w:type="dxa" w:w="1882"/>
          </w:tcPr>
          <w:p>
            <w:pPr>
              <w:pStyle w:val="MDPI42tablebody"/>
              <w:jc w:val="left"/>
            </w:pPr>
            <w:r>
              <w:rPr>
                <w:sz w:val="16"/>
              </w:rPr>
              <w:t>https://doi.org/10.1109/JBHI.2022.3215921</w:t>
            </w:r>
          </w:p>
        </w:tc>
      </w:tr>
      <w:tr>
        <w:trPr>
          <w:cantSplit/>
        </w:trPr>
        <w:tc>
          <w:tcPr>
            <w:tcW w:type="dxa" w:w="1567"/>
          </w:tcPr>
          <w:p>
            <w:pPr>
              <w:pStyle w:val="MDPI42tablebody"/>
              <w:jc w:val="left"/>
            </w:pPr>
            <w:r>
              <w:rPr>
                <w:sz w:val="16"/>
              </w:rPr>
              <w:t>Al Abiad et al. 2023 [54]</w:t>
            </w:r>
          </w:p>
        </w:tc>
        <w:tc>
          <w:tcPr>
            <w:tcW w:type="dxa" w:w="1149"/>
          </w:tcPr>
          <w:p>
            <w:pPr>
              <w:pStyle w:val="MDPI42tablebody"/>
              <w:jc w:val="left"/>
            </w:pPr>
            <w:r>
              <w:rPr>
                <w:sz w:val="16"/>
              </w:rPr>
              <w:t>Internal validation</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backward elimination on the full dataset before repeated splitting; 283 of 301 analysed.</w:t>
            </w:r>
          </w:p>
        </w:tc>
        <w:tc>
          <w:tcPr>
            <w:tcW w:type="dxa" w:w="1882"/>
          </w:tcPr>
          <w:p>
            <w:pPr>
              <w:pStyle w:val="MDPI42tablebody"/>
              <w:jc w:val="left"/>
            </w:pPr>
            <w:r>
              <w:rPr>
                <w:sz w:val="16"/>
              </w:rPr>
              <w:t>https://doi.org/10.2196/49587</w:t>
            </w:r>
          </w:p>
        </w:tc>
      </w:tr>
      <w:tr>
        <w:trPr>
          <w:cantSplit/>
        </w:trPr>
        <w:tc>
          <w:tcPr>
            <w:tcW w:type="dxa" w:w="1567"/>
          </w:tcPr>
          <w:p>
            <w:pPr>
              <w:pStyle w:val="MDPI42tablebody"/>
              <w:jc w:val="left"/>
            </w:pPr>
            <w:r>
              <w:rPr>
                <w:sz w:val="16"/>
              </w:rPr>
              <w:t>Adeli et al. 2023 [55]</w:t>
            </w:r>
          </w:p>
        </w:tc>
        <w:tc>
          <w:tcPr>
            <w:tcW w:type="dxa" w:w="1149"/>
          </w:tcPr>
          <w:p>
            <w:pPr>
              <w:pStyle w:val="MDPI42tablebody"/>
              <w:jc w:val="left"/>
            </w:pPr>
            <w:r>
              <w:rPr>
                <w:sz w:val="16"/>
              </w:rPr>
              <w:t>Internal validation</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feature-set and hyperparameter ablations in the same cohort.</w:t>
            </w:r>
          </w:p>
        </w:tc>
        <w:tc>
          <w:tcPr>
            <w:tcW w:type="dxa" w:w="1882"/>
          </w:tcPr>
          <w:p>
            <w:pPr>
              <w:pStyle w:val="MDPI42tablebody"/>
              <w:jc w:val="left"/>
            </w:pPr>
            <w:r>
              <w:rPr>
                <w:sz w:val="16"/>
              </w:rPr>
              <w:t>https://doi.org/10.1109/JBHI.2023.3267039</w:t>
            </w:r>
          </w:p>
        </w:tc>
      </w:tr>
      <w:tr>
        <w:trPr>
          <w:cantSplit/>
        </w:trPr>
        <w:tc>
          <w:tcPr>
            <w:tcW w:type="dxa" w:w="1567"/>
          </w:tcPr>
          <w:p>
            <w:pPr>
              <w:pStyle w:val="MDPI42tablebody"/>
              <w:jc w:val="left"/>
            </w:pPr>
            <w:r>
              <w:rPr>
                <w:sz w:val="16"/>
              </w:rPr>
              <w:t>Shah et al. 2023 [56]</w:t>
            </w:r>
          </w:p>
        </w:tc>
        <w:tc>
          <w:tcPr>
            <w:tcW w:type="dxa" w:w="1149"/>
          </w:tcPr>
          <w:p>
            <w:pPr>
              <w:pStyle w:val="MDPI42tablebody"/>
              <w:jc w:val="left"/>
            </w:pPr>
            <w:r>
              <w:rPr>
                <w:sz w:val="16"/>
              </w:rPr>
              <w:t>Apparent</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best-subsets selection from 80 candidate measures; apparent performance.</w:t>
            </w:r>
          </w:p>
        </w:tc>
        <w:tc>
          <w:tcPr>
            <w:tcW w:type="dxa" w:w="1882"/>
          </w:tcPr>
          <w:p>
            <w:pPr>
              <w:pStyle w:val="MDPI42tablebody"/>
              <w:jc w:val="left"/>
            </w:pPr>
            <w:r>
              <w:rPr>
                <w:sz w:val="16"/>
              </w:rPr>
              <w:t>https://doi.org/10.3389/fneur.2023.1096401</w:t>
            </w:r>
          </w:p>
        </w:tc>
      </w:tr>
      <w:tr>
        <w:trPr>
          <w:cantSplit/>
        </w:trPr>
        <w:tc>
          <w:tcPr>
            <w:tcW w:type="dxa" w:w="1567"/>
          </w:tcPr>
          <w:p>
            <w:pPr>
              <w:pStyle w:val="MDPI42tablebody"/>
              <w:jc w:val="left"/>
            </w:pPr>
            <w:r>
              <w:rPr>
                <w:sz w:val="16"/>
              </w:rPr>
              <w:t>Sotirakis et al. 2024 [57]</w:t>
            </w:r>
          </w:p>
        </w:tc>
        <w:tc>
          <w:tcPr>
            <w:tcW w:type="dxa" w:w="1149"/>
          </w:tcPr>
          <w:p>
            <w:pPr>
              <w:pStyle w:val="MDPI42tablebody"/>
              <w:jc w:val="left"/>
            </w:pPr>
            <w:r>
              <w:rPr>
                <w:sz w:val="16"/>
              </w:rPr>
              <w:t>Internal validation</w:t>
            </w:r>
          </w:p>
        </w:tc>
        <w:tc>
          <w:tcPr>
            <w:tcW w:type="dxa" w:w="449"/>
          </w:tcPr>
          <w:p>
            <w:pPr>
              <w:pStyle w:val="MDPI42tablebody"/>
              <w:jc w:val="left"/>
            </w:pPr>
            <w:r>
              <w:rPr>
                <w:sz w:val="16"/>
              </w:rPr>
              <w:t>U</w:t>
            </w:r>
          </w:p>
        </w:tc>
        <w:tc>
          <w:tcPr>
            <w:tcW w:type="dxa" w:w="449"/>
          </w:tcPr>
          <w:p>
            <w:pPr>
              <w:pStyle w:val="MDPI42tablebody"/>
              <w:jc w:val="left"/>
            </w:pPr>
            <w:r>
              <w:rPr>
                <w:sz w:val="16"/>
              </w:rPr>
              <w:t>L</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U</w:t>
            </w:r>
          </w:p>
        </w:tc>
        <w:tc>
          <w:tcPr>
            <w:tcW w:type="dxa" w:w="449"/>
          </w:tcPr>
          <w:p>
            <w:pPr>
              <w:pStyle w:val="MDPI42tablebody"/>
              <w:jc w:val="left"/>
            </w:pPr>
            <w:r>
              <w:rPr>
                <w:sz w:val="16"/>
              </w:rPr>
              <w:t>L</w:t>
            </w:r>
          </w:p>
        </w:tc>
        <w:tc>
          <w:tcPr>
            <w:tcW w:type="dxa" w:w="449"/>
          </w:tcPr>
          <w:p>
            <w:pPr>
              <w:pStyle w:val="MDPI42tablebody"/>
              <w:jc w:val="left"/>
            </w:pPr>
            <w:r>
              <w:rPr>
                <w:sz w:val="16"/>
              </w:rPr>
              <w:t>U</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whole-dataset, horizon-specific feature selection before cross-validation.</w:t>
            </w:r>
          </w:p>
        </w:tc>
        <w:tc>
          <w:tcPr>
            <w:tcW w:type="dxa" w:w="1882"/>
          </w:tcPr>
          <w:p>
            <w:pPr>
              <w:pStyle w:val="MDPI42tablebody"/>
              <w:jc w:val="left"/>
            </w:pPr>
            <w:r>
              <w:rPr>
                <w:sz w:val="16"/>
              </w:rPr>
              <w:t>https://doi.org/10.1038/s41746-024-01311-5</w:t>
            </w:r>
          </w:p>
        </w:tc>
      </w:tr>
      <w:tr>
        <w:trPr>
          <w:cantSplit/>
        </w:trPr>
        <w:tc>
          <w:tcPr>
            <w:tcW w:type="dxa" w:w="1567"/>
          </w:tcPr>
          <w:p>
            <w:pPr>
              <w:pStyle w:val="MDPI42tablebody"/>
              <w:jc w:val="left"/>
            </w:pPr>
            <w:r>
              <w:rPr>
                <w:sz w:val="16"/>
              </w:rPr>
              <w:t>Zhang et al. 2024 [58]</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brute-force feature search on the full dataset before cross-validation.</w:t>
            </w:r>
          </w:p>
        </w:tc>
        <w:tc>
          <w:tcPr>
            <w:tcW w:type="dxa" w:w="1882"/>
          </w:tcPr>
          <w:p>
            <w:pPr>
              <w:pStyle w:val="MDPI42tablebody"/>
              <w:jc w:val="left"/>
            </w:pPr>
            <w:r>
              <w:rPr>
                <w:sz w:val="16"/>
              </w:rPr>
              <w:t>https://doi.org/10.1109/TNSRE.2024.3510300</w:t>
            </w:r>
          </w:p>
        </w:tc>
      </w:tr>
      <w:tr>
        <w:trPr>
          <w:cantSplit/>
        </w:trPr>
        <w:tc>
          <w:tcPr>
            <w:tcW w:type="dxa" w:w="1567"/>
          </w:tcPr>
          <w:p>
            <w:pPr>
              <w:pStyle w:val="MDPI42tablebody"/>
              <w:jc w:val="left"/>
            </w:pPr>
            <w:r>
              <w:rPr>
                <w:sz w:val="16"/>
              </w:rPr>
              <w:t>Maiora et al. 2024 [59]</w:t>
            </w:r>
          </w:p>
        </w:tc>
        <w:tc>
          <w:tcPr>
            <w:tcW w:type="dxa" w:w="1149"/>
          </w:tcPr>
          <w:p>
            <w:pPr>
              <w:pStyle w:val="MDPI42tablebody"/>
              <w:jc w:val="left"/>
            </w:pPr>
            <w:r>
              <w:rPr>
                <w:sz w:val="16"/>
              </w:rPr>
              <w:t>Internal validation</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w:t>
            </w:r>
          </w:p>
        </w:tc>
        <w:tc>
          <w:tcPr>
            <w:tcW w:type="dxa" w:w="1882"/>
          </w:tcPr>
          <w:p>
            <w:pPr>
              <w:pStyle w:val="MDPI42tablebody"/>
              <w:jc w:val="left"/>
            </w:pPr>
            <w:r>
              <w:rPr>
                <w:sz w:val="16"/>
              </w:rPr>
              <w:t>https://doi.org/10.3390/bioengineering11101000</w:t>
            </w:r>
          </w:p>
        </w:tc>
      </w:tr>
      <w:tr>
        <w:trPr>
          <w:cantSplit/>
        </w:trPr>
        <w:tc>
          <w:tcPr>
            <w:tcW w:type="dxa" w:w="1567"/>
          </w:tcPr>
          <w:p>
            <w:pPr>
              <w:pStyle w:val="MDPI42tablebody"/>
              <w:jc w:val="left"/>
            </w:pPr>
            <w:r>
              <w:rPr>
                <w:sz w:val="16"/>
              </w:rPr>
              <w:t>Zhang et al. 2024 [60]</w:t>
            </w:r>
          </w:p>
        </w:tc>
        <w:tc>
          <w:tcPr>
            <w:tcW w:type="dxa" w:w="1149"/>
          </w:tcPr>
          <w:p>
            <w:pPr>
              <w:pStyle w:val="MDPI42tablebody"/>
              <w:jc w:val="left"/>
            </w:pPr>
            <w:r>
              <w:rPr>
                <w:sz w:val="16"/>
              </w:rPr>
              <w:t>Independent-cohort evaluation of published models</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522"/>
          </w:tcPr>
          <w:p>
            <w:pPr>
              <w:pStyle w:val="MDPI42tablebody"/>
              <w:jc w:val="left"/>
            </w:pPr>
            <w:r>
              <w:rPr>
                <w:sz w:val="16"/>
              </w:rPr>
              <w:t>H</w:t>
            </w:r>
          </w:p>
        </w:tc>
        <w:tc>
          <w:tcPr>
            <w:tcW w:type="dxa" w:w="3761"/>
          </w:tcPr>
          <w:p>
            <w:pPr>
              <w:pStyle w:val="MDPI42tablebody"/>
              <w:jc w:val="left"/>
            </w:pPr>
            <w:r>
              <w:rPr>
                <w:sz w:val="16"/>
              </w:rPr>
              <w:t>Archived low domain judgment: original coefficients applied without refitting; calibration intercept and slope and discrimination assessed. Overall high because predictor reconstruction differed from the development specification (predictors domain).</w:t>
            </w:r>
          </w:p>
        </w:tc>
        <w:tc>
          <w:tcPr>
            <w:tcW w:type="dxa" w:w="1882"/>
          </w:tcPr>
          <w:p>
            <w:pPr>
              <w:pStyle w:val="MDPI42tablebody"/>
              <w:jc w:val="left"/>
            </w:pPr>
            <w:r>
              <w:rPr>
                <w:sz w:val="16"/>
              </w:rPr>
              <w:t>https://doi.org/10.1016/j.jamda.2024.105107</w:t>
            </w:r>
          </w:p>
        </w:tc>
      </w:tr>
      <w:tr>
        <w:trPr>
          <w:cantSplit/>
        </w:trPr>
        <w:tc>
          <w:tcPr>
            <w:tcW w:type="dxa" w:w="1567"/>
          </w:tcPr>
          <w:p>
            <w:pPr>
              <w:pStyle w:val="MDPI42tablebody"/>
              <w:jc w:val="left"/>
            </w:pPr>
            <w:r>
              <w:rPr>
                <w:sz w:val="16"/>
              </w:rPr>
              <w:t>Lai et al. 2025 [61]</w:t>
            </w:r>
          </w:p>
        </w:tc>
        <w:tc>
          <w:tcPr>
            <w:tcW w:type="dxa" w:w="1149"/>
          </w:tcPr>
          <w:p>
            <w:pPr>
              <w:pStyle w:val="MDPI42tablebody"/>
              <w:jc w:val="left"/>
            </w:pPr>
            <w:r>
              <w:rPr>
                <w:sz w:val="16"/>
              </w:rPr>
              <w:t>Prospective fixed-model evaluation</w:t>
            </w:r>
          </w:p>
        </w:tc>
        <w:tc>
          <w:tcPr>
            <w:tcW w:type="dxa" w:w="449"/>
          </w:tcPr>
          <w:p>
            <w:pPr>
              <w:pStyle w:val="MDPI42tablebody"/>
              <w:jc w:val="left"/>
            </w:pPr>
            <w:r>
              <w:rPr>
                <w:sz w:val="16"/>
              </w:rPr>
              <w:t>NA</w:t>
            </w:r>
          </w:p>
        </w:tc>
        <w:tc>
          <w:tcPr>
            <w:tcW w:type="dxa" w:w="449"/>
          </w:tcPr>
          <w:p>
            <w:pPr>
              <w:pStyle w:val="MDPI42tablebody"/>
              <w:jc w:val="left"/>
            </w:pPr>
            <w:r>
              <w:rPr>
                <w:sz w:val="16"/>
              </w:rPr>
              <w:t>NA</w:t>
            </w:r>
          </w:p>
        </w:tc>
        <w:tc>
          <w:tcPr>
            <w:tcW w:type="dxa" w:w="449"/>
          </w:tcPr>
          <w:p>
            <w:pPr>
              <w:pStyle w:val="MDPI42tablebody"/>
              <w:jc w:val="left"/>
            </w:pPr>
            <w:r>
              <w:rPr>
                <w:sz w:val="16"/>
              </w:rPr>
              <w:t>NA</w:t>
            </w:r>
          </w:p>
        </w:tc>
        <w:tc>
          <w:tcPr>
            <w:tcW w:type="dxa" w:w="449"/>
          </w:tcPr>
          <w:p>
            <w:pPr>
              <w:pStyle w:val="MDPI42tablebody"/>
              <w:jc w:val="left"/>
            </w:pPr>
            <w:r>
              <w:rPr>
                <w:sz w:val="16"/>
              </w:rPr>
              <w:t>NA</w:t>
            </w:r>
          </w:p>
        </w:tc>
        <w:tc>
          <w:tcPr>
            <w:tcW w:type="dxa" w:w="522"/>
          </w:tcPr>
          <w:p>
            <w:pPr>
              <w:pStyle w:val="MDPI42tablebody"/>
              <w:jc w:val="left"/>
            </w:pPr>
            <w:r>
              <w:rPr>
                <w:sz w:val="16"/>
              </w:rPr>
              <w:t>NA</w:t>
            </w:r>
          </w:p>
        </w:tc>
        <w:tc>
          <w:tcPr>
            <w:tcW w:type="dxa" w:w="449"/>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w:t>
            </w:r>
          </w:p>
        </w:tc>
        <w:tc>
          <w:tcPr>
            <w:tcW w:type="dxa" w:w="1882"/>
          </w:tcPr>
          <w:p>
            <w:pPr>
              <w:pStyle w:val="MDPI42tablebody"/>
              <w:jc w:val="left"/>
            </w:pPr>
            <w:r>
              <w:rPr>
                <w:sz w:val="16"/>
              </w:rPr>
              <w:t>https://doi.org/10.3390/s25082516</w:t>
            </w:r>
          </w:p>
        </w:tc>
      </w:tr>
      <w:tr>
        <w:trPr>
          <w:cantSplit/>
        </w:trPr>
        <w:tc>
          <w:tcPr>
            <w:tcW w:type="dxa" w:w="1567"/>
          </w:tcPr>
          <w:p>
            <w:pPr>
              <w:pStyle w:val="MDPI42tablebody"/>
              <w:jc w:val="left"/>
            </w:pPr>
            <w:r>
              <w:rPr>
                <w:sz w:val="16"/>
              </w:rPr>
              <w:t>Giardini et al. 2025 [17]</w:t>
            </w:r>
          </w:p>
        </w:tc>
        <w:tc>
          <w:tcPr>
            <w:tcW w:type="dxa" w:w="1149"/>
          </w:tcPr>
          <w:p>
            <w:pPr>
              <w:pStyle w:val="MDPI42tablebody"/>
              <w:jc w:val="left"/>
            </w:pPr>
            <w:r>
              <w:rPr>
                <w:sz w:val="16"/>
              </w:rPr>
              <w:t>Apparent</w:t>
            </w:r>
          </w:p>
        </w:tc>
        <w:tc>
          <w:tcPr>
            <w:tcW w:type="dxa" w:w="449"/>
          </w:tcPr>
          <w:p>
            <w:pPr>
              <w:pStyle w:val="MDPI42tablebody"/>
              <w:jc w:val="left"/>
            </w:pPr>
            <w:r>
              <w:rPr>
                <w:sz w:val="16"/>
              </w:rPr>
              <w:t>U</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U</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report-level domain judgment: reported fall incidence 5.5%; exact analytic denominator and faller count NR; calibration, missing-data handling, and validation procedures not described in the indexed/publisher abstract. This rationale is not a completed official item-level PROBAST+AI form.</w:t>
            </w:r>
          </w:p>
        </w:tc>
        <w:tc>
          <w:tcPr>
            <w:tcW w:type="dxa" w:w="1882"/>
          </w:tcPr>
          <w:p>
            <w:pPr>
              <w:pStyle w:val="MDPI42tablebody"/>
              <w:jc w:val="left"/>
            </w:pPr>
            <w:r>
              <w:rPr>
                <w:sz w:val="16"/>
              </w:rPr>
              <w:t>https://doi.org/10.1016/j.gaitpost.2025.08.074</w:t>
            </w:r>
          </w:p>
        </w:tc>
      </w:tr>
      <w:tr>
        <w:trPr>
          <w:cantSplit/>
        </w:trPr>
        <w:tc>
          <w:tcPr>
            <w:tcW w:type="dxa" w:w="1567"/>
          </w:tcPr>
          <w:p>
            <w:pPr>
              <w:pStyle w:val="MDPI42tablebody"/>
              <w:jc w:val="left"/>
            </w:pPr>
            <w:r>
              <w:rPr>
                <w:sz w:val="16"/>
              </w:rPr>
              <w:t>Guan et al. 2025 [62]</w:t>
            </w:r>
          </w:p>
        </w:tc>
        <w:tc>
          <w:tcPr>
            <w:tcW w:type="dxa" w:w="1149"/>
          </w:tcPr>
          <w:p>
            <w:pPr>
              <w:pStyle w:val="MDPI42tablebody"/>
              <w:jc w:val="left"/>
            </w:pPr>
            <w:r>
              <w:rPr>
                <w:sz w:val="16"/>
              </w:rPr>
              <w:t>Internal validation</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L</w:t>
            </w:r>
          </w:p>
        </w:tc>
        <w:tc>
          <w:tcPr>
            <w:tcW w:type="dxa" w:w="449"/>
          </w:tcPr>
          <w:p>
            <w:pPr>
              <w:pStyle w:val="MDPI42tablebody"/>
              <w:jc w:val="left"/>
            </w:pPr>
            <w:r>
              <w:rPr>
                <w:sz w:val="16"/>
              </w:rPr>
              <w:t>H</w:t>
            </w:r>
          </w:p>
        </w:tc>
        <w:tc>
          <w:tcPr>
            <w:tcW w:type="dxa" w:w="522"/>
          </w:tcPr>
          <w:p>
            <w:pPr>
              <w:pStyle w:val="MDPI42tablebody"/>
              <w:jc w:val="left"/>
            </w:pPr>
            <w:r>
              <w:rPr>
                <w:sz w:val="16"/>
              </w:rPr>
              <w:t>H</w:t>
            </w:r>
          </w:p>
        </w:tc>
        <w:tc>
          <w:tcPr>
            <w:tcW w:type="dxa" w:w="3761"/>
          </w:tcPr>
          <w:p>
            <w:pPr>
              <w:pStyle w:val="MDPI42tablebody"/>
              <w:jc w:val="left"/>
            </w:pPr>
            <w:r>
              <w:rPr>
                <w:sz w:val="16"/>
              </w:rPr>
              <w:t>Archived high domain judgment; calibration not assessed; gait-algorithm, feature, and classifier searches not nested within leave-one-out validation.</w:t>
            </w:r>
          </w:p>
        </w:tc>
        <w:tc>
          <w:tcPr>
            <w:tcW w:type="dxa" w:w="1882"/>
          </w:tcPr>
          <w:p>
            <w:pPr>
              <w:pStyle w:val="MDPI42tablebody"/>
              <w:jc w:val="left"/>
            </w:pPr>
            <w:r>
              <w:rPr>
                <w:sz w:val="16"/>
              </w:rPr>
              <w:t>https://doi.org/10.1109/TNSRE.2025.3623129</w:t>
            </w:r>
          </w:p>
        </w:tc>
      </w:tr>
      <w:tr>
        <w:trPr>
          <w:cantSplit/>
        </w:trPr>
        <w:tc>
          <w:tcPr>
            <w:tcW w:type="dxa" w:w="1567"/>
          </w:tcPr>
          <w:p>
            <w:pPr>
              <w:pStyle w:val="MDPI42tablebody"/>
              <w:jc w:val="left"/>
            </w:pPr>
            <w:r>
              <w:rPr>
                <w:sz w:val="16"/>
              </w:rPr>
              <w:t>Suffoletto et al. 2026 [15]</w:t>
            </w:r>
          </w:p>
        </w:tc>
        <w:tc>
          <w:tcPr>
            <w:tcW w:type="dxa" w:w="1149"/>
          </w:tcPr>
          <w:p>
            <w:pPr>
              <w:pStyle w:val="MDPI42tablebody"/>
              <w:jc w:val="left"/>
            </w:pPr>
            <w:r>
              <w:rPr>
                <w:sz w:val="16"/>
              </w:rPr>
              <w:t>Apparent</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L</w:t>
            </w:r>
          </w:p>
        </w:tc>
        <w:tc>
          <w:tcPr>
            <w:tcW w:type="dxa" w:w="449"/>
          </w:tcPr>
          <w:p>
            <w:pPr>
              <w:pStyle w:val="MDPI42tablebody"/>
              <w:jc w:val="left"/>
            </w:pPr>
            <w:r>
              <w:rPr>
                <w:sz w:val="16"/>
              </w:rPr>
              <w:t>U</w:t>
            </w:r>
          </w:p>
        </w:tc>
        <w:tc>
          <w:tcPr>
            <w:tcW w:type="dxa" w:w="522"/>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U</w:t>
            </w:r>
          </w:p>
        </w:tc>
        <w:tc>
          <w:tcPr>
            <w:tcW w:type="dxa" w:w="449"/>
          </w:tcPr>
          <w:p>
            <w:pPr>
              <w:pStyle w:val="MDPI42tablebody"/>
              <w:jc w:val="left"/>
            </w:pPr>
            <w:r>
              <w:rPr>
                <w:sz w:val="16"/>
              </w:rPr>
              <w:t>L</w:t>
            </w:r>
          </w:p>
        </w:tc>
        <w:tc>
          <w:tcPr>
            <w:tcW w:type="dxa" w:w="449"/>
          </w:tcPr>
          <w:p>
            <w:pPr>
              <w:pStyle w:val="MDPI42tablebody"/>
              <w:jc w:val="left"/>
            </w:pPr>
            <w:r>
              <w:rPr>
                <w:sz w:val="16"/>
              </w:rPr>
              <w:t>U</w:t>
            </w:r>
          </w:p>
        </w:tc>
        <w:tc>
          <w:tcPr>
            <w:tcW w:type="dxa" w:w="522"/>
          </w:tcPr>
          <w:p>
            <w:pPr>
              <w:pStyle w:val="MDPI42tablebody"/>
              <w:jc w:val="left"/>
            </w:pPr>
            <w:r>
              <w:rPr>
                <w:sz w:val="16"/>
              </w:rPr>
              <w:t>U</w:t>
            </w:r>
          </w:p>
        </w:tc>
        <w:tc>
          <w:tcPr>
            <w:tcW w:type="dxa" w:w="3761"/>
          </w:tcPr>
          <w:p>
            <w:pPr>
              <w:pStyle w:val="MDPI42tablebody"/>
              <w:jc w:val="left"/>
            </w:pPr>
            <w:r>
              <w:rPr>
                <w:sz w:val="16"/>
              </w:rPr>
              <w:t>Archived unclear domain judgment; calibration, missing-data handling, and validation procedures not described in the indexed/publisher abstract (no information).</w:t>
            </w:r>
          </w:p>
        </w:tc>
        <w:tc>
          <w:tcPr>
            <w:tcW w:type="dxa" w:w="1882"/>
          </w:tcPr>
          <w:p>
            <w:pPr>
              <w:pStyle w:val="MDPI42tablebody"/>
              <w:jc w:val="left"/>
            </w:pPr>
            <w:r>
              <w:rPr>
                <w:sz w:val="16"/>
              </w:rPr>
              <w:t>https://doi.org/10.1111/acem.70259</w:t>
            </w:r>
          </w:p>
        </w:tc>
      </w:tr>
    </w:tbl>
    <w:p>
      <w:pPr>
        <w:pStyle w:val="MDPI32textnoindent"/>
        <w:spacing w:before="60" w:after="160"/>
        <w:ind w:left="0" w:firstLine="0"/>
      </w:pPr>
      <w:r>
        <w:t>A1–A4 and B1–B4 denote the participants and data sources, predictors, outcome, and analysis domains in the development (Part A) and evaluation (Part B) archives; A and B denote archived overall judgments. H: high; L: low; U: unclear; NA: not applicable because no model was developed. Panel A is not the official numbered item-level PROBAST+AI form. The original item-by-item response sheets were not retained; therefore, these report-level domain summaries and rationales must not be presented as a completed official item-level appraisal. A fresh assessment against the official Part A and Part B numbered questions is required before reporting item-level PROBAST+AI results. Single-predictor ROC threshold studies were retained under a declared review adaptation, although the tool's core scope is multivariable prediction models. The earlier exploratory AUC-precision column and all assumed-AUC or derived-width values have been removed because they are not official PROBAST+AI items and some relied on inference. For reports marked † in Table S2, only features verifiable from the indexed/publisher abstract were retained and unavailable information remains NI/NR. Following complete-text re-extraction of Marques 2018, the archived totals are 44 high and 1 unclear for 45 Part A assessments and 46 high and 1 unclear for 47 Part B assessments; archived analysis-domain labels are high in 43 of 45 Part A and 44 of 47 Part B assessments. These totals remain report-level archive summaries, not official item-level results.</w:t>
      </w:r>
    </w:p>
    <w:p>
      <w:pPr>
        <w:pStyle w:val="MDPI32textnoindent"/>
        <w:keepNext/>
        <w:spacing w:before="200" w:after="80"/>
        <w:ind w:left="0" w:firstLine="0"/>
        <w:pageBreakBefore/>
      </w:pPr>
      <w:r>
        <w:rPr>
          <w:b/>
          <w:sz w:val="20"/>
        </w:rPr>
        <w:t>Table S7, Panel B. Archived report-level applicability judgments against each model’s intended-use population and setting</w:t>
      </w:r>
    </w:p>
    <w:tbl>
      <w:tblPr>
        <w:tblStyle w:val="MDPI41threelinetable"/>
        <w:tblW w:type="dxa" w:w="15398"/>
        <w:tblLook w:firstColumn="1" w:firstRow="1" w:lastColumn="0" w:lastRow="0" w:noHBand="0" w:noVBand="1" w:val="04A0"/>
        <w:tblLayout w:type="fixed"/>
      </w:tblPr>
      <w:tblGrid>
        <w:gridCol w:w="1911"/>
        <w:gridCol w:w="2336"/>
        <w:gridCol w:w="637"/>
        <w:gridCol w:w="637"/>
        <w:gridCol w:w="637"/>
        <w:gridCol w:w="743"/>
        <w:gridCol w:w="637"/>
        <w:gridCol w:w="637"/>
        <w:gridCol w:w="637"/>
        <w:gridCol w:w="743"/>
        <w:gridCol w:w="5843"/>
      </w:tblGrid>
      <w:tr>
        <w:trPr>
          <w:tblHeader/>
        </w:trPr>
        <w:tc>
          <w:tcPr>
            <w:tcW w:type="dxa" w:w="1911"/>
          </w:tcPr>
          <w:p>
            <w:pPr>
              <w:pStyle w:val="MDPI42tablebody"/>
              <w:jc w:val="left"/>
            </w:pPr>
            <w:r>
              <w:rPr>
                <w:b/>
                <w:sz w:val="16"/>
              </w:rPr>
              <w:t>Report [ref.]</w:t>
            </w:r>
          </w:p>
        </w:tc>
        <w:tc>
          <w:tcPr>
            <w:tcW w:type="dxa" w:w="2336"/>
          </w:tcPr>
          <w:p>
            <w:r>
              <w:rPr>
                <w:sz w:val="16"/>
              </w:rPr>
              <w:t>Intended-use population / setting group</w:t>
            </w:r>
          </w:p>
        </w:tc>
        <w:tc>
          <w:tcPr>
            <w:tcW w:type="dxa" w:w="637"/>
          </w:tcPr>
          <w:p>
            <w:pPr>
              <w:pStyle w:val="MDPI42tablebody"/>
              <w:jc w:val="left"/>
            </w:pPr>
            <w:r>
              <w:rPr>
                <w:b/>
                <w:sz w:val="16"/>
              </w:rPr>
              <w:t>A: P/D</w:t>
            </w:r>
          </w:p>
        </w:tc>
        <w:tc>
          <w:tcPr>
            <w:tcW w:type="dxa" w:w="637"/>
          </w:tcPr>
          <w:p>
            <w:pPr>
              <w:pStyle w:val="MDPI42tablebody"/>
              <w:jc w:val="left"/>
            </w:pPr>
            <w:r>
              <w:rPr>
                <w:b/>
                <w:sz w:val="16"/>
              </w:rPr>
              <w:t>A: Pred</w:t>
            </w:r>
          </w:p>
        </w:tc>
        <w:tc>
          <w:tcPr>
            <w:tcW w:type="dxa" w:w="637"/>
          </w:tcPr>
          <w:p>
            <w:pPr>
              <w:pStyle w:val="MDPI42tablebody"/>
              <w:jc w:val="left"/>
            </w:pPr>
            <w:r>
              <w:rPr>
                <w:b/>
                <w:sz w:val="16"/>
              </w:rPr>
              <w:t>A: Out</w:t>
            </w:r>
          </w:p>
        </w:tc>
        <w:tc>
          <w:tcPr>
            <w:tcW w:type="dxa" w:w="743"/>
          </w:tcPr>
          <w:p>
            <w:pPr>
              <w:pStyle w:val="MDPI42tablebody"/>
              <w:jc w:val="left"/>
            </w:pPr>
            <w:r>
              <w:rPr>
                <w:b/>
                <w:sz w:val="16"/>
              </w:rPr>
              <w:t>A: Overall</w:t>
            </w:r>
          </w:p>
        </w:tc>
        <w:tc>
          <w:tcPr>
            <w:tcW w:type="dxa" w:w="637"/>
          </w:tcPr>
          <w:p>
            <w:pPr>
              <w:pStyle w:val="MDPI42tablebody"/>
              <w:jc w:val="left"/>
            </w:pPr>
            <w:r>
              <w:rPr>
                <w:b/>
                <w:sz w:val="16"/>
              </w:rPr>
              <w:t>B: P/D</w:t>
            </w:r>
          </w:p>
        </w:tc>
        <w:tc>
          <w:tcPr>
            <w:tcW w:type="dxa" w:w="637"/>
          </w:tcPr>
          <w:p>
            <w:pPr>
              <w:pStyle w:val="MDPI42tablebody"/>
              <w:jc w:val="left"/>
            </w:pPr>
            <w:r>
              <w:rPr>
                <w:b/>
                <w:sz w:val="16"/>
              </w:rPr>
              <w:t>B: Pred</w:t>
            </w:r>
          </w:p>
        </w:tc>
        <w:tc>
          <w:tcPr>
            <w:tcW w:type="dxa" w:w="637"/>
          </w:tcPr>
          <w:p>
            <w:pPr>
              <w:pStyle w:val="MDPI42tablebody"/>
              <w:jc w:val="left"/>
            </w:pPr>
            <w:r>
              <w:rPr>
                <w:b/>
                <w:sz w:val="16"/>
              </w:rPr>
              <w:t>B: Out</w:t>
            </w:r>
          </w:p>
        </w:tc>
        <w:tc>
          <w:tcPr>
            <w:tcW w:type="dxa" w:w="743"/>
          </w:tcPr>
          <w:p>
            <w:pPr>
              <w:pStyle w:val="MDPI42tablebody"/>
              <w:jc w:val="left"/>
            </w:pPr>
            <w:r>
              <w:rPr>
                <w:b/>
                <w:sz w:val="16"/>
              </w:rPr>
              <w:t>B: Overall</w:t>
            </w:r>
          </w:p>
        </w:tc>
        <w:tc>
          <w:tcPr>
            <w:tcW w:type="dxa" w:w="5843"/>
          </w:tcPr>
          <w:p>
            <w:pPr>
              <w:pStyle w:val="MDPI42tablebody"/>
              <w:jc w:val="left"/>
            </w:pPr>
            <w:r>
              <w:rPr>
                <w:b/>
                <w:sz w:val="16"/>
              </w:rPr>
              <w:t>Basis</w:t>
            </w:r>
          </w:p>
        </w:tc>
      </w:tr>
      <w:tr>
        <w:tc>
          <w:tcPr>
            <w:tcW w:type="dxa" w:w="1911"/>
          </w:tcPr>
          <w:p>
            <w:pPr>
              <w:pStyle w:val="MDPI42tablebody"/>
              <w:jc w:val="left"/>
            </w:pPr>
            <w:r>
              <w:rPr>
                <w:sz w:val="16"/>
              </w:rPr>
              <w:t>Marschollek et al. 2011 [18]</w:t>
            </w:r>
          </w:p>
        </w:tc>
        <w:tc>
          <w:tcPr>
            <w:tcW w:type="dxa" w:w="2336"/>
          </w:tcPr>
          <w:p>
            <w:pPr>
              <w:pStyle w:val="MDPI42tablebody"/>
              <w:jc w:val="left"/>
            </w:pPr>
            <w:r>
              <w:rPr>
                <w:sz w:val="16"/>
              </w:rPr>
              <w:t>Hospital or rehabilitation</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Marschollek et al. 2011 [19]</w:t>
            </w:r>
          </w:p>
        </w:tc>
        <w:tc>
          <w:tcPr>
            <w:tcW w:type="dxa" w:w="2336"/>
          </w:tcPr>
          <w:p>
            <w:pPr>
              <w:pStyle w:val="MDPI42tablebody"/>
              <w:jc w:val="left"/>
            </w:pPr>
            <w:r>
              <w:rPr>
                <w:sz w:val="16"/>
              </w:rPr>
              <w:t>Hospital or rehabilitation</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Greene et al. 2012 [20]</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Weiss et al. 2013 [21]</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Schwesig et al. 2013 [22]</w:t>
            </w:r>
          </w:p>
        </w:tc>
        <w:tc>
          <w:tcPr>
            <w:tcW w:type="dxa" w:w="2336"/>
          </w:tcPr>
          <w:p>
            <w:pPr>
              <w:pStyle w:val="MDPI42tablebody"/>
              <w:jc w:val="left"/>
            </w:pPr>
            <w:r>
              <w:rPr>
                <w:sz w:val="16"/>
              </w:rPr>
              <w:t>Long-term care</w:t>
            </w:r>
          </w:p>
        </w:tc>
        <w:tc>
          <w:tcPr>
            <w:tcW w:type="dxa" w:w="637"/>
          </w:tcPr>
          <w:p>
            <w:pPr>
              <w:pStyle w:val="MDPI42tablebody"/>
              <w:jc w:val="left"/>
            </w:pPr>
            <w:r>
              <w:rPr>
                <w:sz w:val="16"/>
              </w:rPr>
              <w:t>L</w:t>
            </w:r>
          </w:p>
        </w:tc>
        <w:tc>
          <w:tcPr>
            <w:tcW w:type="dxa" w:w="637"/>
          </w:tcPr>
          <w:p>
            <w:pPr>
              <w:pStyle w:val="MDPI42tablebody"/>
              <w:jc w:val="left"/>
            </w:pPr>
            <w:r>
              <w:rPr>
                <w:sz w:val="16"/>
              </w:rPr>
              <w:t>U</w:t>
            </w:r>
          </w:p>
        </w:tc>
        <w:tc>
          <w:tcPr>
            <w:tcW w:type="dxa" w:w="637"/>
          </w:tcPr>
          <w:p>
            <w:pPr>
              <w:pStyle w:val="MDPI42tablebody"/>
              <w:jc w:val="left"/>
            </w:pPr>
            <w:r>
              <w:rPr>
                <w:sz w:val="16"/>
              </w:rPr>
              <w:t>L</w:t>
            </w:r>
          </w:p>
        </w:tc>
        <w:tc>
          <w:tcPr>
            <w:tcW w:type="dxa" w:w="743"/>
          </w:tcPr>
          <w:p>
            <w:pPr>
              <w:pStyle w:val="MDPI42tablebody"/>
              <w:jc w:val="left"/>
            </w:pPr>
            <w:r>
              <w:rPr>
                <w:sz w:val="16"/>
              </w:rPr>
              <w:t>U</w:t>
            </w:r>
          </w:p>
        </w:tc>
        <w:tc>
          <w:tcPr>
            <w:tcW w:type="dxa" w:w="637"/>
          </w:tcPr>
          <w:p>
            <w:pPr>
              <w:pStyle w:val="MDPI42tablebody"/>
              <w:jc w:val="left"/>
            </w:pPr>
            <w:r>
              <w:rPr>
                <w:sz w:val="16"/>
              </w:rPr>
              <w:t>L</w:t>
            </w:r>
          </w:p>
        </w:tc>
        <w:tc>
          <w:tcPr>
            <w:tcW w:type="dxa" w:w="637"/>
          </w:tcPr>
          <w:p>
            <w:pPr>
              <w:pStyle w:val="MDPI42tablebody"/>
              <w:jc w:val="left"/>
            </w:pPr>
            <w:r>
              <w:rPr>
                <w:sz w:val="16"/>
              </w:rPr>
              <w:t>U</w:t>
            </w:r>
          </w:p>
        </w:tc>
        <w:tc>
          <w:tcPr>
            <w:tcW w:type="dxa" w:w="637"/>
          </w:tcPr>
          <w:p>
            <w:pPr>
              <w:pStyle w:val="MDPI42tablebody"/>
              <w:jc w:val="left"/>
            </w:pPr>
            <w:r>
              <w:rPr>
                <w:sz w:val="16"/>
              </w:rPr>
              <w:t>L</w:t>
            </w:r>
          </w:p>
        </w:tc>
        <w:tc>
          <w:tcPr>
            <w:tcW w:type="dxa" w:w="743"/>
          </w:tcPr>
          <w:p>
            <w:pPr>
              <w:pStyle w:val="MDPI42tablebody"/>
              <w:jc w:val="left"/>
            </w:pPr>
            <w:r>
              <w:rPr>
                <w:sz w:val="16"/>
              </w:rPr>
              <w:t>U</w:t>
            </w:r>
          </w:p>
        </w:tc>
        <w:tc>
          <w:tcPr>
            <w:tcW w:type="dxa" w:w="5843"/>
          </w:tcPr>
          <w:p>
            <w:pPr>
              <w:pStyle w:val="MDPI42tablebody"/>
              <w:jc w:val="left"/>
            </w:pPr>
            <w:r>
              <w:rPr>
                <w:sz w:val="16"/>
              </w:rPr>
              <w:t>rule and thresholds incompletely reported in accessible material</w:t>
            </w:r>
          </w:p>
        </w:tc>
      </w:tr>
      <w:tr>
        <w:tc>
          <w:tcPr>
            <w:tcW w:type="dxa" w:w="1911"/>
          </w:tcPr>
          <w:p>
            <w:pPr>
              <w:pStyle w:val="MDPI42tablebody"/>
              <w:jc w:val="left"/>
            </w:pPr>
            <w:r>
              <w:rPr>
                <w:sz w:val="16"/>
              </w:rPr>
              <w:t>Doi et al. 2013 [23]</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Mignardot et al. 2014 [24]</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Schwenk et al. 2014 [25]</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van Schooten et al. 2015 [26]</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van Schooten et al. 2016 [27]</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Howcroft et al. 2017 [28]</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Drover et al. 2017 [29]</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Greene et al. 2018 [30]</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NA</w:t>
            </w:r>
          </w:p>
        </w:tc>
        <w:tc>
          <w:tcPr>
            <w:tcW w:type="dxa" w:w="637"/>
          </w:tcPr>
          <w:p>
            <w:pPr>
              <w:pStyle w:val="MDPI42tablebody"/>
              <w:jc w:val="left"/>
            </w:pPr>
            <w:r>
              <w:rPr>
                <w:sz w:val="16"/>
              </w:rPr>
              <w:t>NA</w:t>
            </w:r>
          </w:p>
        </w:tc>
        <w:tc>
          <w:tcPr>
            <w:tcW w:type="dxa" w:w="637"/>
          </w:tcPr>
          <w:p>
            <w:pPr>
              <w:pStyle w:val="MDPI42tablebody"/>
              <w:jc w:val="left"/>
            </w:pPr>
            <w:r>
              <w:rPr>
                <w:sz w:val="16"/>
              </w:rPr>
              <w:t>NA</w:t>
            </w:r>
          </w:p>
        </w:tc>
        <w:tc>
          <w:tcPr>
            <w:tcW w:type="dxa" w:w="743"/>
          </w:tcPr>
          <w:p>
            <w:pPr>
              <w:pStyle w:val="MDPI42tablebody"/>
              <w:jc w:val="left"/>
            </w:pPr>
            <w:r>
              <w:rPr>
                <w:sz w:val="16"/>
              </w:rPr>
              <w:t>NA</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Ihlen et al. 2018 [31]</w:t>
            </w:r>
          </w:p>
        </w:tc>
        <w:tc>
          <w:tcPr>
            <w:tcW w:type="dxa" w:w="2336"/>
          </w:tcPr>
          <w:p>
            <w:pPr>
              <w:pStyle w:val="MDPI42tablebody"/>
              <w:jc w:val="left"/>
            </w:pPr>
            <w:r>
              <w:rPr>
                <w:sz w:val="16"/>
              </w:rPr>
              <w:t>Community</w:t>
            </w:r>
          </w:p>
        </w:tc>
        <w:tc>
          <w:tcPr>
            <w:tcW w:type="dxa" w:w="637"/>
          </w:tcPr>
          <w:p>
            <w:pPr>
              <w:pStyle w:val="MDPI42tablebody"/>
              <w:jc w:val="left"/>
            </w:pPr>
            <w:r>
              <w:rPr>
                <w:sz w:val="16"/>
              </w:rPr>
              <w:t>H</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H</w:t>
            </w:r>
          </w:p>
        </w:tc>
        <w:tc>
          <w:tcPr>
            <w:tcW w:type="dxa" w:w="637"/>
          </w:tcPr>
          <w:p>
            <w:pPr>
              <w:pStyle w:val="MDPI42tablebody"/>
              <w:jc w:val="left"/>
            </w:pPr>
            <w:r>
              <w:rPr>
                <w:sz w:val="16"/>
              </w:rPr>
              <w:t>H</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H</w:t>
            </w:r>
          </w:p>
        </w:tc>
        <w:tc>
          <w:tcPr>
            <w:tcW w:type="dxa" w:w="5843"/>
          </w:tcPr>
          <w:p>
            <w:pPr>
              <w:pStyle w:val="MDPI42tablebody"/>
              <w:jc w:val="left"/>
            </w:pPr>
            <w:r>
              <w:rPr>
                <w:sz w:val="16"/>
              </w:rPr>
              <w:t>matched case–control subsample alters case mix relative to the intended community population</w:t>
            </w:r>
          </w:p>
        </w:tc>
      </w:tr>
      <w:tr>
        <w:tc>
          <w:tcPr>
            <w:tcW w:type="dxa" w:w="1911"/>
          </w:tcPr>
          <w:p>
            <w:pPr>
              <w:pStyle w:val="MDPI42tablebody"/>
              <w:jc w:val="left"/>
            </w:pPr>
            <w:r>
              <w:rPr>
                <w:sz w:val="16"/>
              </w:rPr>
              <w:t>Nait Aicha et al. 2018 [32]</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Howcroft et al. 2018 [33]</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Bizovska et al. 2018 [34]</w:t>
            </w:r>
          </w:p>
        </w:tc>
        <w:tc>
          <w:tcPr>
            <w:tcW w:type="dxa" w:w="2336"/>
          </w:tcPr>
          <w:p>
            <w:pPr>
              <w:pStyle w:val="MDPI42tablebody"/>
              <w:jc w:val="left"/>
            </w:pPr>
            <w:r>
              <w:rPr>
                <w:sz w:val="16"/>
              </w:rPr>
              <w:t>Community</w:t>
            </w:r>
          </w:p>
        </w:tc>
        <w:tc>
          <w:tcPr>
            <w:tcW w:type="dxa" w:w="637"/>
          </w:tcPr>
          <w:p>
            <w:pPr>
              <w:pStyle w:val="MDPI42tablebody"/>
              <w:jc w:val="left"/>
            </w:pPr>
            <w:r>
              <w:rPr>
                <w:sz w:val="16"/>
              </w:rPr>
              <w:t>H</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H</w:t>
            </w:r>
          </w:p>
        </w:tc>
        <w:tc>
          <w:tcPr>
            <w:tcW w:type="dxa" w:w="637"/>
          </w:tcPr>
          <w:p>
            <w:pPr>
              <w:pStyle w:val="MDPI42tablebody"/>
              <w:jc w:val="left"/>
            </w:pPr>
            <w:r>
              <w:rPr>
                <w:sz w:val="16"/>
              </w:rPr>
              <w:t>H</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H</w:t>
            </w:r>
          </w:p>
        </w:tc>
        <w:tc>
          <w:tcPr>
            <w:tcW w:type="dxa" w:w="5843"/>
          </w:tcPr>
          <w:p>
            <w:pPr>
              <w:pStyle w:val="MDPI42tablebody"/>
              <w:jc w:val="left"/>
            </w:pPr>
            <w:r>
              <w:rPr>
                <w:sz w:val="16"/>
              </w:rPr>
              <w:t>single fallers excluded from the analysed sample</w:t>
            </w:r>
          </w:p>
        </w:tc>
      </w:tr>
      <w:tr>
        <w:tc>
          <w:tcPr>
            <w:tcW w:type="dxa" w:w="1911"/>
          </w:tcPr>
          <w:p>
            <w:pPr>
              <w:pStyle w:val="MDPI42tablebody"/>
              <w:jc w:val="left"/>
            </w:pPr>
            <w:r>
              <w:rPr>
                <w:sz w:val="16"/>
              </w:rPr>
              <w:t>Marques et al. 2018 [35]</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Lo et al. 2019 [36]</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Marques et al. 2019 [37]</w:t>
            </w:r>
          </w:p>
        </w:tc>
        <w:tc>
          <w:tcPr>
            <w:tcW w:type="dxa" w:w="2336"/>
          </w:tcPr>
          <w:p>
            <w:pPr>
              <w:pStyle w:val="MDPI42tablebody"/>
              <w:jc w:val="left"/>
            </w:pPr>
            <w:r>
              <w:rPr>
                <w:sz w:val="16"/>
              </w:rPr>
              <w:t>Long-term care</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Gillain et al. 2019 [38]</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Buisseret et al. 2020 [39]</w:t>
            </w:r>
          </w:p>
        </w:tc>
        <w:tc>
          <w:tcPr>
            <w:tcW w:type="dxa" w:w="2336"/>
          </w:tcPr>
          <w:p>
            <w:pPr>
              <w:pStyle w:val="MDPI42tablebody"/>
              <w:jc w:val="left"/>
            </w:pPr>
            <w:r>
              <w:rPr>
                <w:sz w:val="16"/>
              </w:rPr>
              <w:t>Long-term care</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Silva et al. 2020 [40]</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Sturchio et al. 2021 [41]</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Bet et al. 2021 [42]</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Mehdizadeh et al. 2021 [43]</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Lockhart et al. 2021 [44]</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H</w:t>
            </w:r>
          </w:p>
        </w:tc>
        <w:tc>
          <w:tcPr>
            <w:tcW w:type="dxa" w:w="743"/>
          </w:tcPr>
          <w:p>
            <w:pPr>
              <w:pStyle w:val="MDPI42tablebody"/>
              <w:jc w:val="left"/>
            </w:pPr>
            <w:r>
              <w:rPr>
                <w:sz w:val="16"/>
              </w:rPr>
              <w:t>H</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development target was retrospective fall history</w:t>
            </w:r>
          </w:p>
        </w:tc>
      </w:tr>
      <w:tr>
        <w:tc>
          <w:tcPr>
            <w:tcW w:type="dxa" w:w="1911"/>
          </w:tcPr>
          <w:p>
            <w:pPr>
              <w:pStyle w:val="MDPI42tablebody"/>
              <w:jc w:val="left"/>
            </w:pPr>
            <w:r>
              <w:rPr>
                <w:sz w:val="16"/>
              </w:rPr>
              <w:t>Roshdibenam et al. 2021 [45]</w:t>
            </w:r>
          </w:p>
        </w:tc>
        <w:tc>
          <w:tcPr>
            <w:tcW w:type="dxa" w:w="2336"/>
          </w:tcPr>
          <w:p>
            <w:pPr>
              <w:pStyle w:val="MDPI42tablebody"/>
              <w:jc w:val="left"/>
            </w:pPr>
            <w:r>
              <w:rPr>
                <w:sz w:val="16"/>
              </w:rPr>
              <w:t>Hospital or rehabilitation</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H</w:t>
            </w:r>
          </w:p>
        </w:tc>
        <w:tc>
          <w:tcPr>
            <w:tcW w:type="dxa" w:w="743"/>
          </w:tcPr>
          <w:p>
            <w:pPr>
              <w:pStyle w:val="MDPI42tablebody"/>
              <w:jc w:val="left"/>
            </w:pPr>
            <w:r>
              <w:rPr>
                <w:sz w:val="16"/>
              </w:rPr>
              <w:t>H</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H</w:t>
            </w:r>
          </w:p>
        </w:tc>
        <w:tc>
          <w:tcPr>
            <w:tcW w:type="dxa" w:w="743"/>
          </w:tcPr>
          <w:p>
            <w:pPr>
              <w:pStyle w:val="MDPI42tablebody"/>
              <w:jc w:val="left"/>
            </w:pPr>
            <w:r>
              <w:rPr>
                <w:sz w:val="16"/>
              </w:rPr>
              <w:t>H</w:t>
            </w:r>
          </w:p>
        </w:tc>
        <w:tc>
          <w:tcPr>
            <w:tcW w:type="dxa" w:w="5843"/>
          </w:tcPr>
          <w:p>
            <w:pPr>
              <w:pStyle w:val="MDPI42tablebody"/>
              <w:jc w:val="left"/>
            </w:pPr>
            <w:r>
              <w:rPr>
                <w:sz w:val="16"/>
              </w:rPr>
              <w:t>primary target was clinician-rated fall risk; prospective falls analysed secondarily</w:t>
            </w:r>
          </w:p>
        </w:tc>
      </w:tr>
      <w:tr>
        <w:tc>
          <w:tcPr>
            <w:tcW w:type="dxa" w:w="1911"/>
          </w:tcPr>
          <w:p>
            <w:pPr>
              <w:pStyle w:val="MDPI42tablebody"/>
              <w:jc w:val="left"/>
            </w:pPr>
            <w:r>
              <w:rPr>
                <w:sz w:val="16"/>
              </w:rPr>
              <w:t>Greene et al. 2022 [46]</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Kelly et al. 2022 [47]</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Dierick et al. 2022 [48]</w:t>
            </w:r>
          </w:p>
        </w:tc>
        <w:tc>
          <w:tcPr>
            <w:tcW w:type="dxa" w:w="2336"/>
          </w:tcPr>
          <w:p>
            <w:pPr>
              <w:pStyle w:val="MDPI42tablebody"/>
              <w:jc w:val="left"/>
            </w:pPr>
            <w:r>
              <w:rPr>
                <w:sz w:val="16"/>
              </w:rPr>
              <w:t>Long-term care</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Ma et al. 2022 [49]</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L</w:t>
            </w:r>
          </w:p>
        </w:tc>
        <w:tc>
          <w:tcPr>
            <w:tcW w:type="dxa" w:w="637"/>
          </w:tcPr>
          <w:p>
            <w:pPr>
              <w:pStyle w:val="MDPI42tablebody"/>
              <w:jc w:val="left"/>
            </w:pPr>
            <w:r>
              <w:rPr>
                <w:sz w:val="16"/>
              </w:rPr>
              <w:t>U</w:t>
            </w:r>
          </w:p>
        </w:tc>
        <w:tc>
          <w:tcPr>
            <w:tcW w:type="dxa" w:w="637"/>
          </w:tcPr>
          <w:p>
            <w:pPr>
              <w:pStyle w:val="MDPI42tablebody"/>
              <w:jc w:val="left"/>
            </w:pPr>
            <w:r>
              <w:rPr>
                <w:sz w:val="16"/>
              </w:rPr>
              <w:t>L</w:t>
            </w:r>
          </w:p>
        </w:tc>
        <w:tc>
          <w:tcPr>
            <w:tcW w:type="dxa" w:w="743"/>
          </w:tcPr>
          <w:p>
            <w:pPr>
              <w:pStyle w:val="MDPI42tablebody"/>
              <w:jc w:val="left"/>
            </w:pPr>
            <w:r>
              <w:rPr>
                <w:sz w:val="16"/>
              </w:rPr>
              <w:t>U</w:t>
            </w:r>
          </w:p>
        </w:tc>
        <w:tc>
          <w:tcPr>
            <w:tcW w:type="dxa" w:w="637"/>
          </w:tcPr>
          <w:p>
            <w:pPr>
              <w:pStyle w:val="MDPI42tablebody"/>
              <w:jc w:val="left"/>
            </w:pPr>
            <w:r>
              <w:rPr>
                <w:sz w:val="16"/>
              </w:rPr>
              <w:t>L</w:t>
            </w:r>
          </w:p>
        </w:tc>
        <w:tc>
          <w:tcPr>
            <w:tcW w:type="dxa" w:w="637"/>
          </w:tcPr>
          <w:p>
            <w:pPr>
              <w:pStyle w:val="MDPI42tablebody"/>
              <w:jc w:val="left"/>
            </w:pPr>
            <w:r>
              <w:rPr>
                <w:sz w:val="16"/>
              </w:rPr>
              <w:t>U</w:t>
            </w:r>
          </w:p>
        </w:tc>
        <w:tc>
          <w:tcPr>
            <w:tcW w:type="dxa" w:w="637"/>
          </w:tcPr>
          <w:p>
            <w:pPr>
              <w:pStyle w:val="MDPI42tablebody"/>
              <w:jc w:val="left"/>
            </w:pPr>
            <w:r>
              <w:rPr>
                <w:sz w:val="16"/>
              </w:rPr>
              <w:t>L</w:t>
            </w:r>
          </w:p>
        </w:tc>
        <w:tc>
          <w:tcPr>
            <w:tcW w:type="dxa" w:w="743"/>
          </w:tcPr>
          <w:p>
            <w:pPr>
              <w:pStyle w:val="MDPI42tablebody"/>
              <w:jc w:val="left"/>
            </w:pPr>
            <w:r>
              <w:rPr>
                <w:sz w:val="16"/>
              </w:rPr>
              <w:t>U</w:t>
            </w:r>
          </w:p>
        </w:tc>
        <w:tc>
          <w:tcPr>
            <w:tcW w:type="dxa" w:w="5843"/>
          </w:tcPr>
          <w:p>
            <w:pPr>
              <w:pStyle w:val="MDPI42tablebody"/>
              <w:jc w:val="left"/>
            </w:pPr>
            <w:r>
              <w:rPr>
                <w:sz w:val="16"/>
              </w:rPr>
              <w:t>predictor processing incompletely reported in accessible material</w:t>
            </w:r>
          </w:p>
        </w:tc>
      </w:tr>
      <w:tr>
        <w:tc>
          <w:tcPr>
            <w:tcW w:type="dxa" w:w="1911"/>
          </w:tcPr>
          <w:p>
            <w:pPr>
              <w:pStyle w:val="MDPI42tablebody"/>
              <w:jc w:val="left"/>
            </w:pPr>
            <w:r>
              <w:rPr>
                <w:sz w:val="16"/>
              </w:rPr>
              <w:t>Dasgupta et al. 2022 [50]</w:t>
            </w:r>
          </w:p>
        </w:tc>
        <w:tc>
          <w:tcPr>
            <w:tcW w:type="dxa" w:w="2336"/>
          </w:tcPr>
          <w:p>
            <w:pPr>
              <w:pStyle w:val="MDPI42tablebody"/>
              <w:jc w:val="left"/>
            </w:pPr>
            <w:r>
              <w:rPr>
                <w:sz w:val="16"/>
              </w:rPr>
              <w:t>Emergency department</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Caronni et al. 2023 [51]</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Horak et al. 2023 [52]</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Ullrich et al. 2023 [53]</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Al Abiad et al. 2023 [54]</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Adeli et al. 2023 [55]</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Shah et al. 2023 [56]</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Sotirakis et al. 2024 [57]</w:t>
            </w:r>
          </w:p>
        </w:tc>
        <w:tc>
          <w:tcPr>
            <w:tcW w:type="dxa" w:w="2336"/>
          </w:tcPr>
          <w:p>
            <w:pPr>
              <w:pStyle w:val="MDPI42tablebody"/>
              <w:jc w:val="left"/>
            </w:pPr>
            <w:r>
              <w:rPr>
                <w:sz w:val="16"/>
              </w:rPr>
              <w:t>Neurological or dementia</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Zhang et al. 2024 [58]</w:t>
            </w:r>
          </w:p>
        </w:tc>
        <w:tc>
          <w:tcPr>
            <w:tcW w:type="dxa" w:w="2336"/>
          </w:tcPr>
          <w:p>
            <w:pPr>
              <w:pStyle w:val="MDPI42tablebody"/>
              <w:jc w:val="left"/>
            </w:pPr>
            <w:r>
              <w:rPr>
                <w:sz w:val="16"/>
              </w:rPr>
              <w:t>Long-term care</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Maiora et al. 2024 [59]</w:t>
            </w:r>
          </w:p>
        </w:tc>
        <w:tc>
          <w:tcPr>
            <w:tcW w:type="dxa" w:w="2336"/>
          </w:tcPr>
          <w:p>
            <w:pPr>
              <w:pStyle w:val="MDPI42tablebody"/>
              <w:jc w:val="left"/>
            </w:pPr>
            <w:r>
              <w:rPr>
                <w:sz w:val="16"/>
              </w:rPr>
              <w:t>Long-term care</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Zhang et al. 2024 [60]</w:t>
            </w:r>
          </w:p>
        </w:tc>
        <w:tc>
          <w:tcPr>
            <w:tcW w:type="dxa" w:w="2336"/>
          </w:tcPr>
          <w:p>
            <w:pPr>
              <w:pStyle w:val="MDPI42tablebody"/>
              <w:jc w:val="left"/>
            </w:pPr>
            <w:r>
              <w:rPr>
                <w:sz w:val="16"/>
              </w:rPr>
              <w:t>Community</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H</w:t>
            </w:r>
          </w:p>
        </w:tc>
        <w:tc>
          <w:tcPr>
            <w:tcW w:type="dxa" w:w="637"/>
          </w:tcPr>
          <w:p>
            <w:pPr>
              <w:pStyle w:val="MDPI42tablebody"/>
              <w:jc w:val="left"/>
            </w:pPr>
            <w:r>
              <w:rPr>
                <w:sz w:val="16"/>
              </w:rPr>
              <w:t>L</w:t>
            </w:r>
          </w:p>
        </w:tc>
        <w:tc>
          <w:tcPr>
            <w:tcW w:type="dxa" w:w="743"/>
          </w:tcPr>
          <w:p>
            <w:pPr>
              <w:pStyle w:val="MDPI42tablebody"/>
              <w:jc w:val="left"/>
            </w:pPr>
            <w:r>
              <w:rPr>
                <w:sz w:val="16"/>
              </w:rPr>
              <w:t>H</w:t>
            </w:r>
          </w:p>
        </w:tc>
        <w:tc>
          <w:tcPr>
            <w:tcW w:type="dxa" w:w="5843"/>
          </w:tcPr>
          <w:p>
            <w:pPr>
              <w:pStyle w:val="MDPI42tablebody"/>
              <w:jc w:val="left"/>
            </w:pPr>
            <w:r>
              <w:rPr>
                <w:sz w:val="16"/>
              </w:rPr>
              <w:t>predictor reconstruction differed from the original development pipeline</w:t>
            </w:r>
          </w:p>
        </w:tc>
      </w:tr>
      <w:tr>
        <w:tc>
          <w:tcPr>
            <w:tcW w:type="dxa" w:w="1911"/>
          </w:tcPr>
          <w:p>
            <w:pPr>
              <w:pStyle w:val="MDPI42tablebody"/>
              <w:jc w:val="left"/>
            </w:pPr>
            <w:r>
              <w:rPr>
                <w:sz w:val="16"/>
              </w:rPr>
              <w:t>Lai et al. 2025 [61]</w:t>
            </w:r>
          </w:p>
        </w:tc>
        <w:tc>
          <w:tcPr>
            <w:tcW w:type="dxa" w:w="2336"/>
          </w:tcPr>
          <w:p>
            <w:pPr>
              <w:pStyle w:val="MDPI42tablebody"/>
              <w:jc w:val="left"/>
            </w:pPr>
            <w:r>
              <w:rPr>
                <w:sz w:val="16"/>
              </w:rPr>
              <w:t>Community</w:t>
            </w:r>
          </w:p>
        </w:tc>
        <w:tc>
          <w:tcPr>
            <w:tcW w:type="dxa" w:w="637"/>
          </w:tcPr>
          <w:p>
            <w:pPr>
              <w:pStyle w:val="MDPI42tablebody"/>
              <w:jc w:val="left"/>
            </w:pPr>
            <w:r>
              <w:rPr>
                <w:sz w:val="16"/>
              </w:rPr>
              <w:t>NA</w:t>
            </w:r>
          </w:p>
        </w:tc>
        <w:tc>
          <w:tcPr>
            <w:tcW w:type="dxa" w:w="637"/>
          </w:tcPr>
          <w:p>
            <w:pPr>
              <w:pStyle w:val="MDPI42tablebody"/>
              <w:jc w:val="left"/>
            </w:pPr>
            <w:r>
              <w:rPr>
                <w:sz w:val="16"/>
              </w:rPr>
              <w:t>NA</w:t>
            </w:r>
          </w:p>
        </w:tc>
        <w:tc>
          <w:tcPr>
            <w:tcW w:type="dxa" w:w="637"/>
          </w:tcPr>
          <w:p>
            <w:pPr>
              <w:pStyle w:val="MDPI42tablebody"/>
              <w:jc w:val="left"/>
            </w:pPr>
            <w:r>
              <w:rPr>
                <w:sz w:val="16"/>
              </w:rPr>
              <w:t>NA</w:t>
            </w:r>
          </w:p>
        </w:tc>
        <w:tc>
          <w:tcPr>
            <w:tcW w:type="dxa" w:w="743"/>
          </w:tcPr>
          <w:p>
            <w:pPr>
              <w:pStyle w:val="MDPI42tablebody"/>
              <w:jc w:val="left"/>
            </w:pPr>
            <w:r>
              <w:rPr>
                <w:sz w:val="16"/>
              </w:rPr>
              <w:t>NA</w:t>
            </w:r>
          </w:p>
        </w:tc>
        <w:tc>
          <w:tcPr>
            <w:tcW w:type="dxa" w:w="637"/>
          </w:tcPr>
          <w:p>
            <w:pPr>
              <w:pStyle w:val="MDPI42tablebody"/>
              <w:jc w:val="left"/>
            </w:pPr>
            <w:r>
              <w:rPr>
                <w:sz w:val="16"/>
              </w:rPr>
              <w:t>L</w:t>
            </w:r>
          </w:p>
        </w:tc>
        <w:tc>
          <w:tcPr>
            <w:tcW w:type="dxa" w:w="637"/>
          </w:tcPr>
          <w:p>
            <w:pPr>
              <w:pStyle w:val="MDPI42tablebody"/>
              <w:jc w:val="left"/>
            </w:pPr>
            <w:r>
              <w:rPr>
                <w:sz w:val="16"/>
              </w:rPr>
              <w:t>U</w:t>
            </w:r>
          </w:p>
        </w:tc>
        <w:tc>
          <w:tcPr>
            <w:tcW w:type="dxa" w:w="637"/>
          </w:tcPr>
          <w:p>
            <w:pPr>
              <w:pStyle w:val="MDPI42tablebody"/>
              <w:jc w:val="left"/>
            </w:pPr>
            <w:r>
              <w:rPr>
                <w:sz w:val="16"/>
              </w:rPr>
              <w:t>L</w:t>
            </w:r>
          </w:p>
        </w:tc>
        <w:tc>
          <w:tcPr>
            <w:tcW w:type="dxa" w:w="743"/>
          </w:tcPr>
          <w:p>
            <w:pPr>
              <w:pStyle w:val="MDPI42tablebody"/>
              <w:jc w:val="left"/>
            </w:pPr>
            <w:r>
              <w:rPr>
                <w:sz w:val="16"/>
              </w:rPr>
              <w:t>U</w:t>
            </w:r>
          </w:p>
        </w:tc>
        <w:tc>
          <w:tcPr>
            <w:tcW w:type="dxa" w:w="5843"/>
          </w:tcPr>
          <w:p>
            <w:pPr>
              <w:pStyle w:val="MDPI42tablebody"/>
              <w:jc w:val="left"/>
            </w:pPr>
            <w:r>
              <w:rPr>
                <w:sz w:val="16"/>
              </w:rPr>
              <w:t>proprietary algorithm; predictor definitions not reproducible</w:t>
            </w:r>
          </w:p>
        </w:tc>
      </w:tr>
      <w:tr>
        <w:tc>
          <w:tcPr>
            <w:tcW w:type="dxa" w:w="1911"/>
          </w:tcPr>
          <w:p>
            <w:pPr>
              <w:pStyle w:val="MDPI42tablebody"/>
              <w:jc w:val="left"/>
            </w:pPr>
            <w:r>
              <w:rPr>
                <w:sz w:val="16"/>
              </w:rPr>
              <w:t>Giardini et al. 2025 [17]</w:t>
            </w:r>
          </w:p>
        </w:tc>
        <w:tc>
          <w:tcPr>
            <w:tcW w:type="dxa" w:w="2336"/>
          </w:tcPr>
          <w:p>
            <w:pPr>
              <w:pStyle w:val="MDPI42tablebody"/>
              <w:jc w:val="left"/>
            </w:pPr>
            <w:r>
              <w:rPr>
                <w:sz w:val="16"/>
              </w:rPr>
              <w:t>Hospital or rehabilitation</w:t>
            </w:r>
          </w:p>
        </w:tc>
        <w:tc>
          <w:tcPr>
            <w:tcW w:type="dxa" w:w="637"/>
          </w:tcPr>
          <w:p>
            <w:pPr>
              <w:pStyle w:val="MDPI42tablebody"/>
              <w:jc w:val="left"/>
            </w:pPr>
            <w:r>
              <w:rPr>
                <w:sz w:val="16"/>
              </w:rPr>
              <w:t>L</w:t>
            </w:r>
          </w:p>
        </w:tc>
        <w:tc>
          <w:tcPr>
            <w:tcW w:type="dxa" w:w="637"/>
          </w:tcPr>
          <w:p>
            <w:pPr>
              <w:pStyle w:val="MDPI42tablebody"/>
              <w:jc w:val="left"/>
            </w:pPr>
            <w:r>
              <w:rPr>
                <w:sz w:val="16"/>
              </w:rPr>
              <w:t>U</w:t>
            </w:r>
          </w:p>
        </w:tc>
        <w:tc>
          <w:tcPr>
            <w:tcW w:type="dxa" w:w="637"/>
          </w:tcPr>
          <w:p>
            <w:pPr>
              <w:pStyle w:val="MDPI42tablebody"/>
              <w:jc w:val="left"/>
            </w:pPr>
            <w:r>
              <w:rPr>
                <w:sz w:val="16"/>
              </w:rPr>
              <w:t>L</w:t>
            </w:r>
          </w:p>
        </w:tc>
        <w:tc>
          <w:tcPr>
            <w:tcW w:type="dxa" w:w="743"/>
          </w:tcPr>
          <w:p>
            <w:pPr>
              <w:pStyle w:val="MDPI42tablebody"/>
              <w:jc w:val="left"/>
            </w:pPr>
            <w:r>
              <w:rPr>
                <w:sz w:val="16"/>
              </w:rPr>
              <w:t>U</w:t>
            </w:r>
          </w:p>
        </w:tc>
        <w:tc>
          <w:tcPr>
            <w:tcW w:type="dxa" w:w="637"/>
          </w:tcPr>
          <w:p>
            <w:pPr>
              <w:pStyle w:val="MDPI42tablebody"/>
              <w:jc w:val="left"/>
            </w:pPr>
            <w:r>
              <w:rPr>
                <w:sz w:val="16"/>
              </w:rPr>
              <w:t>L</w:t>
            </w:r>
          </w:p>
        </w:tc>
        <w:tc>
          <w:tcPr>
            <w:tcW w:type="dxa" w:w="637"/>
          </w:tcPr>
          <w:p>
            <w:pPr>
              <w:pStyle w:val="MDPI42tablebody"/>
              <w:jc w:val="left"/>
            </w:pPr>
            <w:r>
              <w:rPr>
                <w:sz w:val="16"/>
              </w:rPr>
              <w:t>U</w:t>
            </w:r>
          </w:p>
        </w:tc>
        <w:tc>
          <w:tcPr>
            <w:tcW w:type="dxa" w:w="637"/>
          </w:tcPr>
          <w:p>
            <w:pPr>
              <w:pStyle w:val="MDPI42tablebody"/>
              <w:jc w:val="left"/>
            </w:pPr>
            <w:r>
              <w:rPr>
                <w:sz w:val="16"/>
              </w:rPr>
              <w:t>L</w:t>
            </w:r>
          </w:p>
        </w:tc>
        <w:tc>
          <w:tcPr>
            <w:tcW w:type="dxa" w:w="743"/>
          </w:tcPr>
          <w:p>
            <w:pPr>
              <w:pStyle w:val="MDPI42tablebody"/>
              <w:jc w:val="left"/>
            </w:pPr>
            <w:r>
              <w:rPr>
                <w:sz w:val="16"/>
              </w:rPr>
              <w:t>U</w:t>
            </w:r>
          </w:p>
        </w:tc>
        <w:tc>
          <w:tcPr>
            <w:tcW w:type="dxa" w:w="5843"/>
          </w:tcPr>
          <w:p>
            <w:pPr>
              <w:pStyle w:val="MDPI42tablebody"/>
              <w:jc w:val="left"/>
            </w:pPr>
            <w:r>
              <w:rPr>
                <w:sz w:val="16"/>
              </w:rPr>
              <w:t>sensor specification and placement not reported in accessible material</w:t>
            </w:r>
          </w:p>
        </w:tc>
      </w:tr>
      <w:tr>
        <w:tc>
          <w:tcPr>
            <w:tcW w:type="dxa" w:w="1911"/>
          </w:tcPr>
          <w:p>
            <w:pPr>
              <w:pStyle w:val="MDPI42tablebody"/>
              <w:jc w:val="left"/>
            </w:pPr>
            <w:r>
              <w:rPr>
                <w:sz w:val="16"/>
              </w:rPr>
              <w:t>Guan et al. 2025 [62]</w:t>
            </w:r>
          </w:p>
        </w:tc>
        <w:tc>
          <w:tcPr>
            <w:tcW w:type="dxa" w:w="2336"/>
          </w:tcPr>
          <w:p>
            <w:pPr>
              <w:pStyle w:val="MDPI42tablebody"/>
              <w:jc w:val="left"/>
            </w:pPr>
            <w:r>
              <w:rPr>
                <w:sz w:val="16"/>
              </w:rPr>
              <w:t>Long-term care</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r>
        <w:tc>
          <w:tcPr>
            <w:tcW w:type="dxa" w:w="1911"/>
          </w:tcPr>
          <w:p>
            <w:pPr>
              <w:pStyle w:val="MDPI42tablebody"/>
              <w:jc w:val="left"/>
            </w:pPr>
            <w:r>
              <w:rPr>
                <w:sz w:val="16"/>
              </w:rPr>
              <w:t>Suffoletto et al. 2026 [15]</w:t>
            </w:r>
          </w:p>
        </w:tc>
        <w:tc>
          <w:tcPr>
            <w:tcW w:type="dxa" w:w="2336"/>
          </w:tcPr>
          <w:p>
            <w:pPr>
              <w:pStyle w:val="MDPI42tablebody"/>
              <w:jc w:val="left"/>
            </w:pPr>
            <w:r>
              <w:rPr>
                <w:sz w:val="16"/>
              </w:rPr>
              <w:t>Emergency department</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637"/>
          </w:tcPr>
          <w:p>
            <w:pPr>
              <w:pStyle w:val="MDPI42tablebody"/>
              <w:jc w:val="left"/>
            </w:pPr>
            <w:r>
              <w:rPr>
                <w:sz w:val="16"/>
              </w:rPr>
              <w:t>L</w:t>
            </w:r>
          </w:p>
        </w:tc>
        <w:tc>
          <w:tcPr>
            <w:tcW w:type="dxa" w:w="743"/>
          </w:tcPr>
          <w:p>
            <w:pPr>
              <w:pStyle w:val="MDPI42tablebody"/>
              <w:jc w:val="left"/>
            </w:pPr>
            <w:r>
              <w:rPr>
                <w:sz w:val="16"/>
              </w:rPr>
              <w:t>L</w:t>
            </w:r>
          </w:p>
        </w:tc>
        <w:tc>
          <w:tcPr>
            <w:tcW w:type="dxa" w:w="5843"/>
          </w:tcPr>
          <w:p>
            <w:pPr>
              <w:pStyle w:val="MDPI42tablebody"/>
              <w:jc w:val="left"/>
            </w:pPr>
            <w:r>
              <w:rPr>
                <w:sz w:val="16"/>
              </w:rPr>
              <w:t>Participants, predictors, and outcome match the intended-use population and setting.</w:t>
            </w:r>
          </w:p>
        </w:tc>
      </w:tr>
    </w:tbl>
    <w:p>
      <w:pPr>
        <w:pStyle w:val="MDPI32textnoindent"/>
        <w:spacing w:before="60" w:after="160"/>
        <w:ind w:left="0" w:firstLine="0"/>
      </w:pPr>
      <w:r>
        <w:t>Panel B reproduces only the archived report-level applicability judgments and bases retained by the review team. It is not an official numbered item-level PROBAST+AI form, and the original item-level response sheets were not retained. Applicability was judged against each model’s intended-use population and setting, not against all older adults; the grouping column is a descriptive generalizability category used in this review. A: development (Part A); B: evaluation (Part B); P/D: participants and data sources; Pred: predictors; Out: outcome; H: high concern; L: low concern; U: unclear concern; NA: not applicable because no model was developed. The complete report was unavailable for the 10 reports marked † in Table S2, so their archived judgments are limited to what could be established from the indexed or publisher abstract.</w:t>
      </w:r>
    </w:p>
    <w:sectPr w:rsidR="007C1CDA" w:rsidRPr="00A054DE" w:rsidSect="006D1F3D">
      <w:headerReference w:type="even" r:id="rId10"/>
      <w:headerReference w:type="default" r:id="rId11"/>
      <w:footerReference w:type="default" r:id="rId12"/>
      <w:headerReference w:type="first" r:id="rId13"/>
      <w:footerReference w:type="first" r:id="rId14"/>
      <w:type w:val="continuous"/>
      <w:pgSz w:w="16838" w:h="11906" w:code="9" w:orient="landscape"/>
      <w:pgMar w:top="1134" w:right="720" w:bottom="720" w:left="720" w:header="720" w:footer="612" w:gutter="0"/>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71E0F" w14:textId="77777777" w:rsidR="003E7DAD" w:rsidRPr="001A0468" w:rsidRDefault="003E7DAD">
      <w:pPr>
        <w:spacing w:line="240" w:lineRule="auto"/>
      </w:pPr>
      <w:r w:rsidRPr="001A0468">
        <w:separator/>
      </w:r>
    </w:p>
  </w:endnote>
  <w:endnote w:type="continuationSeparator" w:id="0">
    <w:p w14:paraId="2F5D01EA" w14:textId="77777777" w:rsidR="003E7DAD" w:rsidRPr="001A0468" w:rsidRDefault="003E7DAD">
      <w:pPr>
        <w:spacing w:line="240" w:lineRule="auto"/>
      </w:pPr>
      <w:r w:rsidRPr="001A046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6472D" w14:textId="77777777" w:rsidR="00F1277D" w:rsidRPr="001A0468" w:rsidRDefault="00F1277D" w:rsidP="00F1277D">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7FDF4" w14:textId="77777777" w:rsidR="002F4399" w:rsidRPr="001A0468" w:rsidRDefault="002F4399" w:rsidP="004C34E8">
    <w:pPr>
      <w:pBdr>
        <w:top w:val="single" w:sz="4" w:space="0" w:color="000000"/>
      </w:pBdr>
      <w:tabs>
        <w:tab w:val="right" w:pos="8844"/>
      </w:tabs>
      <w:adjustRightInd w:val="0"/>
      <w:snapToGrid w:val="0"/>
      <w:spacing w:before="480" w:line="100" w:lineRule="exact"/>
      <w:jc w:val="left"/>
      <w:rPr>
        <w:i/>
        <w:sz w:val="16"/>
        <w:szCs w:val="16"/>
      </w:rPr>
    </w:pPr>
  </w:p>
  <w:p w14:paraId="27362E18" w14:textId="77777777" w:rsidR="00F1277D" w:rsidRPr="001A0468" w:rsidRDefault="00F1277D" w:rsidP="008244B9">
    <w:pPr>
      <w:tabs>
        <w:tab w:val="right" w:pos="10466"/>
      </w:tabs>
      <w:adjustRightInd w:val="0"/>
      <w:snapToGrid w:val="0"/>
      <w:spacing w:line="240" w:lineRule="auto"/>
      <w:rPr>
        <w:sz w:val="16"/>
        <w:szCs w:val="16"/>
      </w:rPr>
    </w:pPr>
    <w:r w:rsidRPr="001A0468">
      <w:rPr>
        <w:i/>
        <w:sz w:val="16"/>
        <w:szCs w:val="16"/>
      </w:rPr>
      <w:t xml:space="preserve">Diagnostics </w:t>
    </w:r>
    <w:r w:rsidR="006D1F3D" w:rsidRPr="001A0468">
      <w:rPr>
        <w:b/>
        <w:bCs/>
        <w:iCs/>
        <w:sz w:val="16"/>
        <w:szCs w:val="16"/>
      </w:rPr>
      <w:t>2026</w:t>
    </w:r>
    <w:r w:rsidR="004C7C2C" w:rsidRPr="001A0468">
      <w:rPr>
        <w:bCs/>
        <w:iCs/>
        <w:sz w:val="16"/>
        <w:szCs w:val="16"/>
      </w:rPr>
      <w:t>,</w:t>
    </w:r>
    <w:r w:rsidR="006D1F3D" w:rsidRPr="001A0468">
      <w:rPr>
        <w:bCs/>
        <w:i/>
        <w:iCs/>
        <w:sz w:val="16"/>
        <w:szCs w:val="16"/>
      </w:rPr>
      <w:t xml:space="preserve"> 16</w:t>
    </w:r>
    <w:r w:rsidR="004C7C2C" w:rsidRPr="001A0468">
      <w:rPr>
        <w:bCs/>
        <w:iCs/>
        <w:sz w:val="16"/>
        <w:szCs w:val="16"/>
      </w:rPr>
      <w:t xml:space="preserve">, </w:t>
    </w:r>
    <w:r w:rsidR="00F97C0B" w:rsidRPr="001A0468">
      <w:rPr>
        <w:bCs/>
        <w:iCs/>
        <w:sz w:val="16"/>
        <w:szCs w:val="16"/>
      </w:rPr>
      <w:t>x</w:t>
    </w:r>
    <w:r w:rsidR="008244B9" w:rsidRPr="001A0468">
      <w:rPr>
        <w:sz w:val="16"/>
        <w:szCs w:val="16"/>
      </w:rPr>
      <w:tab/>
    </w:r>
    <w:r w:rsidR="006D1F3D" w:rsidRPr="001A0468">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830D6" w14:textId="77777777" w:rsidR="003E7DAD" w:rsidRPr="001A0468" w:rsidRDefault="003E7DAD">
      <w:pPr>
        <w:spacing w:line="240" w:lineRule="auto"/>
      </w:pPr>
      <w:r w:rsidRPr="001A0468">
        <w:separator/>
      </w:r>
    </w:p>
  </w:footnote>
  <w:footnote w:type="continuationSeparator" w:id="0">
    <w:p w14:paraId="39639310" w14:textId="77777777" w:rsidR="003E7DAD" w:rsidRPr="001A0468" w:rsidRDefault="003E7DAD">
      <w:pPr>
        <w:spacing w:line="240" w:lineRule="auto"/>
      </w:pPr>
      <w:r w:rsidRPr="001A046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69B5" w14:textId="77777777" w:rsidR="00F1277D" w:rsidRPr="001A0468" w:rsidRDefault="00F1277D" w:rsidP="00F1277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FF5A" w14:textId="77777777" w:rsidR="002F4399" w:rsidRPr="001A0468" w:rsidRDefault="00F1277D" w:rsidP="008244B9">
    <w:pPr>
      <w:tabs>
        <w:tab w:val="right" w:pos="10466"/>
      </w:tabs>
      <w:adjustRightInd w:val="0"/>
      <w:snapToGrid w:val="0"/>
      <w:spacing w:line="240" w:lineRule="auto"/>
      <w:rPr>
        <w:sz w:val="16"/>
      </w:rPr>
    </w:pPr>
    <w:r w:rsidRPr="001A0468">
      <w:rPr>
        <w:i/>
        <w:sz w:val="16"/>
      </w:rPr>
      <w:t xml:space="preserve">Diagnostics </w:t>
    </w:r>
    <w:r w:rsidR="006D1F3D" w:rsidRPr="001A0468">
      <w:rPr>
        <w:b/>
        <w:sz w:val="16"/>
      </w:rPr>
      <w:t>2026</w:t>
    </w:r>
    <w:r w:rsidR="004C7C2C" w:rsidRPr="001A0468">
      <w:rPr>
        <w:sz w:val="16"/>
      </w:rPr>
      <w:t>,</w:t>
    </w:r>
    <w:r w:rsidR="006D1F3D" w:rsidRPr="001A0468">
      <w:rPr>
        <w:i/>
        <w:sz w:val="16"/>
      </w:rPr>
      <w:t xml:space="preserve"> 16</w:t>
    </w:r>
    <w:r w:rsidR="00F97C0B" w:rsidRPr="001A0468">
      <w:rPr>
        <w:sz w:val="16"/>
      </w:rPr>
      <w:t xml:space="preserve">, x </w:t>
    </w:r>
    <w:r w:rsidR="006D1F3D" w:rsidRPr="001A0468">
      <w:rPr>
        <w:sz w:val="16"/>
      </w:rPr>
      <w:t>FOR PEER REVIEW</w:t>
    </w:r>
    <w:r w:rsidR="006D1F3D" w:rsidRPr="001A0468">
      <w:rPr>
        <w:sz w:val="16"/>
      </w:rPr>
      <w:ptab w:relativeTo="margin" w:alignment="right" w:leader="none"/>
    </w:r>
    <w:r w:rsidR="006D1F3D" w:rsidRPr="001A0468">
      <w:rPr>
        <w:sz w:val="16"/>
      </w:rPr>
      <w:fldChar w:fldCharType="begin"/>
    </w:r>
    <w:r w:rsidR="006D1F3D" w:rsidRPr="001A0468">
      <w:rPr>
        <w:sz w:val="16"/>
      </w:rPr>
      <w:instrText xml:space="preserve"> PAGE   \* MERGEFORMAT </w:instrText>
    </w:r>
    <w:r w:rsidR="006D1F3D" w:rsidRPr="001A0468">
      <w:rPr>
        <w:sz w:val="16"/>
      </w:rPr>
      <w:fldChar w:fldCharType="separate"/>
    </w:r>
    <w:r w:rsidR="006D1F3D" w:rsidRPr="001A0468">
      <w:rPr>
        <w:sz w:val="16"/>
      </w:rPr>
      <w:t>2</w:t>
    </w:r>
    <w:r w:rsidR="006D1F3D" w:rsidRPr="001A0468">
      <w:rPr>
        <w:sz w:val="16"/>
      </w:rPr>
      <w:fldChar w:fldCharType="end"/>
    </w:r>
    <w:r w:rsidR="006D1F3D" w:rsidRPr="001A0468">
      <w:rPr>
        <w:sz w:val="16"/>
      </w:rPr>
      <w:t xml:space="preserve"> of </w:t>
    </w:r>
    <w:r w:rsidR="006D1F3D" w:rsidRPr="001A0468">
      <w:rPr>
        <w:sz w:val="16"/>
      </w:rPr>
      <w:fldChar w:fldCharType="begin"/>
    </w:r>
    <w:r w:rsidR="006D1F3D" w:rsidRPr="001A0468">
      <w:rPr>
        <w:sz w:val="16"/>
      </w:rPr>
      <w:instrText xml:space="preserve"> NUMPAGES   \* MERGEFORMAT </w:instrText>
    </w:r>
    <w:r w:rsidR="006D1F3D" w:rsidRPr="001A0468">
      <w:rPr>
        <w:sz w:val="16"/>
      </w:rPr>
      <w:fldChar w:fldCharType="separate"/>
    </w:r>
    <w:r w:rsidR="006D1F3D" w:rsidRPr="001A0468">
      <w:rPr>
        <w:sz w:val="16"/>
      </w:rPr>
      <w:t>7</w:t>
    </w:r>
    <w:r w:rsidR="006D1F3D" w:rsidRPr="001A0468">
      <w:rPr>
        <w:sz w:val="16"/>
      </w:rPr>
      <w:fldChar w:fldCharType="end"/>
    </w:r>
  </w:p>
  <w:p w14:paraId="5915F7A9" w14:textId="77777777" w:rsidR="00F1277D" w:rsidRPr="001A0468" w:rsidRDefault="00F1277D" w:rsidP="004C34E8">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F4399" w:rsidRPr="001A0468" w14:paraId="51B70991" w14:textId="77777777" w:rsidTr="008F7645">
      <w:trPr>
        <w:trHeight w:val="686"/>
      </w:trPr>
      <w:tc>
        <w:tcPr>
          <w:tcW w:w="3679" w:type="dxa"/>
          <w:vAlign w:val="center"/>
        </w:tcPr>
        <w:p w14:paraId="5A961E52" w14:textId="77777777" w:rsidR="002F4399" w:rsidRPr="001A0468" w:rsidRDefault="00F17F40" w:rsidP="008244B9">
          <w:pPr>
            <w:pStyle w:val="Header"/>
            <w:pBdr>
              <w:bottom w:val="none" w:sz="0" w:space="0" w:color="auto"/>
            </w:pBdr>
            <w:jc w:val="left"/>
            <w:rPr>
              <w:rFonts w:eastAsia="DengXian"/>
              <w:b/>
              <w:bCs/>
            </w:rPr>
          </w:pPr>
          <w:r w:rsidRPr="001A0468">
            <w:rPr>
              <w:rFonts w:eastAsia="DengXian"/>
              <w:b/>
              <w:bCs/>
              <w:noProof/>
            </w:rPr>
            <w:drawing>
              <wp:inline distT="0" distB="0" distL="0" distR="0" wp14:anchorId="266D32D0" wp14:editId="5CB7B20A">
                <wp:extent cx="1542423" cy="432000"/>
                <wp:effectExtent l="0" t="0" r="635" b="6350"/>
                <wp:docPr id="55811520" name="Picture 1" title="Diagnostics journal logo" descr="Diagnostics journal logo with two clinician figures and the word Diagno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520" name=""/>
                        <pic:cNvPicPr/>
                      </pic:nvPicPr>
                      <pic:blipFill>
                        <a:blip r:embed="rId1"/>
                        <a:stretch>
                          <a:fillRect/>
                        </a:stretch>
                      </pic:blipFill>
                      <pic:spPr>
                        <a:xfrm>
                          <a:off x="0" y="0"/>
                          <a:ext cx="1542423" cy="432000"/>
                        </a:xfrm>
                        <a:prstGeom prst="rect">
                          <a:avLst/>
                        </a:prstGeom>
                      </pic:spPr>
                    </pic:pic>
                  </a:graphicData>
                </a:graphic>
              </wp:inline>
            </w:drawing>
          </w:r>
        </w:p>
      </w:tc>
      <w:tc>
        <w:tcPr>
          <w:tcW w:w="4535" w:type="dxa"/>
          <w:vAlign w:val="center"/>
        </w:tcPr>
        <w:p w14:paraId="4C160C2D" w14:textId="77777777" w:rsidR="002F4399" w:rsidRPr="001A0468" w:rsidRDefault="002F4399" w:rsidP="008244B9">
          <w:pPr>
            <w:pStyle w:val="Header"/>
            <w:pBdr>
              <w:bottom w:val="none" w:sz="0" w:space="0" w:color="auto"/>
            </w:pBdr>
            <w:rPr>
              <w:rFonts w:eastAsia="DengXian"/>
              <w:b/>
              <w:bCs/>
            </w:rPr>
          </w:pPr>
        </w:p>
      </w:tc>
      <w:tc>
        <w:tcPr>
          <w:tcW w:w="2273" w:type="dxa"/>
          <w:vAlign w:val="center"/>
        </w:tcPr>
        <w:p w14:paraId="04DDF2C4" w14:textId="77777777" w:rsidR="002F4399" w:rsidRPr="001A0468" w:rsidRDefault="008F7645" w:rsidP="008F7645">
          <w:pPr>
            <w:pStyle w:val="Header"/>
            <w:pBdr>
              <w:bottom w:val="none" w:sz="0" w:space="0" w:color="auto"/>
            </w:pBdr>
            <w:jc w:val="right"/>
            <w:rPr>
              <w:rFonts w:eastAsia="DengXian"/>
              <w:b/>
              <w:bCs/>
            </w:rPr>
          </w:pPr>
          <w:r w:rsidRPr="001A0468">
            <w:rPr>
              <w:rFonts w:eastAsia="DengXian"/>
              <w:b/>
              <w:bCs/>
              <w:noProof/>
            </w:rPr>
            <w:drawing>
              <wp:inline distT="0" distB="0" distL="0" distR="0" wp14:anchorId="4EF1E053" wp14:editId="4D7FA45B">
                <wp:extent cx="540000" cy="360000"/>
                <wp:effectExtent l="0" t="0" r="0" b="2540"/>
                <wp:docPr id="1859630180" name="Picture 1" title="MDPI logo" descr="MDPI publisher logo"/>
                <wp:cNvGraphicFramePr/>
                <a:graphic xmlns:a="http://schemas.openxmlformats.org/drawingml/2006/main">
                  <a:graphicData uri="http://schemas.openxmlformats.org/drawingml/2006/picture">
                    <pic:pic xmlns:pic="http://schemas.openxmlformats.org/drawingml/2006/picture">
                      <pic:nvPicPr>
                        <pic:cNvPr id="1859630180" name=""/>
                        <pic:cNvPicPr/>
                      </pic:nvPicPr>
                      <pic:blipFill>
                        <a:blip r:embed="rId2"/>
                        <a:stretch>
                          <a:fillRect/>
                        </a:stretch>
                      </pic:blipFill>
                      <pic:spPr>
                        <a:xfrm>
                          <a:off x="0" y="0"/>
                          <a:ext cx="540000" cy="360000"/>
                        </a:xfrm>
                        <a:prstGeom prst="rect">
                          <a:avLst/>
                        </a:prstGeom>
                      </pic:spPr>
                    </pic:pic>
                  </a:graphicData>
                </a:graphic>
              </wp:inline>
            </w:drawing>
          </w:r>
        </w:p>
      </w:tc>
    </w:tr>
  </w:tbl>
  <w:p w14:paraId="75F6DAA3" w14:textId="77777777" w:rsidR="00F1277D" w:rsidRPr="001A0468" w:rsidRDefault="00F1277D" w:rsidP="006D1F3D">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37DA4"/>
    <w:multiLevelType w:val="hybridMultilevel"/>
    <w:tmpl w:val="9DCC18D0"/>
    <w:lvl w:ilvl="0" w:tplc="1B4A346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A7C9E58"/>
    <w:lvl w:ilvl="0" w:tplc="29F60EA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8CE7A6F"/>
    <w:multiLevelType w:val="hybridMultilevel"/>
    <w:tmpl w:val="E8A6BE1E"/>
    <w:lvl w:ilvl="0" w:tplc="595EF18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F3720F"/>
    <w:multiLevelType w:val="hybridMultilevel"/>
    <w:tmpl w:val="778E0D1C"/>
    <w:lvl w:ilvl="0" w:tplc="47D41B6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7435843">
    <w:abstractNumId w:val="4"/>
  </w:num>
  <w:num w:numId="2" w16cid:durableId="2067558058">
    <w:abstractNumId w:val="6"/>
  </w:num>
  <w:num w:numId="3" w16cid:durableId="705176169">
    <w:abstractNumId w:val="3"/>
  </w:num>
  <w:num w:numId="4" w16cid:durableId="22474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465304">
    <w:abstractNumId w:val="5"/>
  </w:num>
  <w:num w:numId="6" w16cid:durableId="336930266">
    <w:abstractNumId w:val="10"/>
  </w:num>
  <w:num w:numId="7" w16cid:durableId="645429088">
    <w:abstractNumId w:val="2"/>
  </w:num>
  <w:num w:numId="8" w16cid:durableId="805199283">
    <w:abstractNumId w:val="10"/>
  </w:num>
  <w:num w:numId="9" w16cid:durableId="244071345">
    <w:abstractNumId w:val="2"/>
  </w:num>
  <w:num w:numId="10" w16cid:durableId="657226210">
    <w:abstractNumId w:val="10"/>
  </w:num>
  <w:num w:numId="11" w16cid:durableId="140849554">
    <w:abstractNumId w:val="2"/>
  </w:num>
  <w:num w:numId="12" w16cid:durableId="1514607303">
    <w:abstractNumId w:val="11"/>
  </w:num>
  <w:num w:numId="13" w16cid:durableId="960066478">
    <w:abstractNumId w:val="10"/>
  </w:num>
  <w:num w:numId="14" w16cid:durableId="2051219325">
    <w:abstractNumId w:val="2"/>
  </w:num>
  <w:num w:numId="15" w16cid:durableId="1483038518">
    <w:abstractNumId w:val="1"/>
  </w:num>
  <w:num w:numId="16" w16cid:durableId="1036740188">
    <w:abstractNumId w:val="9"/>
  </w:num>
  <w:num w:numId="17" w16cid:durableId="1196501769">
    <w:abstractNumId w:val="0"/>
  </w:num>
  <w:num w:numId="18" w16cid:durableId="955216231">
    <w:abstractNumId w:val="10"/>
  </w:num>
  <w:num w:numId="19" w16cid:durableId="2072149230">
    <w:abstractNumId w:val="2"/>
  </w:num>
  <w:num w:numId="20" w16cid:durableId="791288244">
    <w:abstractNumId w:val="1"/>
  </w:num>
  <w:num w:numId="21" w16cid:durableId="1117218266">
    <w:abstractNumId w:val="0"/>
  </w:num>
  <w:num w:numId="22" w16cid:durableId="705714496">
    <w:abstractNumId w:val="8"/>
  </w:num>
  <w:num w:numId="23" w16cid:durableId="510005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CF2"/>
    <w:rsid w:val="00007207"/>
    <w:rsid w:val="00013D75"/>
    <w:rsid w:val="000164B0"/>
    <w:rsid w:val="00030B46"/>
    <w:rsid w:val="00054A98"/>
    <w:rsid w:val="00061C10"/>
    <w:rsid w:val="00073F7C"/>
    <w:rsid w:val="00092C95"/>
    <w:rsid w:val="000B0016"/>
    <w:rsid w:val="000B7CB5"/>
    <w:rsid w:val="000F467E"/>
    <w:rsid w:val="000F5580"/>
    <w:rsid w:val="00126651"/>
    <w:rsid w:val="00132F5E"/>
    <w:rsid w:val="001505DB"/>
    <w:rsid w:val="00176AFB"/>
    <w:rsid w:val="00184462"/>
    <w:rsid w:val="001961E4"/>
    <w:rsid w:val="001A0468"/>
    <w:rsid w:val="001A6901"/>
    <w:rsid w:val="001B4F61"/>
    <w:rsid w:val="001C0886"/>
    <w:rsid w:val="001C3DE8"/>
    <w:rsid w:val="001D79D4"/>
    <w:rsid w:val="001E2469"/>
    <w:rsid w:val="001E2AEB"/>
    <w:rsid w:val="001E5F1B"/>
    <w:rsid w:val="001E6509"/>
    <w:rsid w:val="0020045E"/>
    <w:rsid w:val="002134D1"/>
    <w:rsid w:val="00225608"/>
    <w:rsid w:val="0023048B"/>
    <w:rsid w:val="00235537"/>
    <w:rsid w:val="00247F3A"/>
    <w:rsid w:val="00250A90"/>
    <w:rsid w:val="00260AEA"/>
    <w:rsid w:val="00266FA8"/>
    <w:rsid w:val="002704EA"/>
    <w:rsid w:val="00270FD5"/>
    <w:rsid w:val="00295161"/>
    <w:rsid w:val="002A0454"/>
    <w:rsid w:val="002A25A3"/>
    <w:rsid w:val="002B1E7B"/>
    <w:rsid w:val="002C3BB4"/>
    <w:rsid w:val="002D4077"/>
    <w:rsid w:val="002D75EC"/>
    <w:rsid w:val="002F10C7"/>
    <w:rsid w:val="002F4399"/>
    <w:rsid w:val="002F6FA4"/>
    <w:rsid w:val="002F6FFF"/>
    <w:rsid w:val="00326141"/>
    <w:rsid w:val="00331773"/>
    <w:rsid w:val="00335ED0"/>
    <w:rsid w:val="00340315"/>
    <w:rsid w:val="00347E92"/>
    <w:rsid w:val="00381F51"/>
    <w:rsid w:val="00396A9C"/>
    <w:rsid w:val="003B2401"/>
    <w:rsid w:val="003B4C16"/>
    <w:rsid w:val="003D7BB8"/>
    <w:rsid w:val="003E7DAD"/>
    <w:rsid w:val="003F2905"/>
    <w:rsid w:val="003F328F"/>
    <w:rsid w:val="00401D30"/>
    <w:rsid w:val="00404CF2"/>
    <w:rsid w:val="00435E83"/>
    <w:rsid w:val="004524FF"/>
    <w:rsid w:val="00454A4A"/>
    <w:rsid w:val="0047542C"/>
    <w:rsid w:val="00481F84"/>
    <w:rsid w:val="00483986"/>
    <w:rsid w:val="004854D9"/>
    <w:rsid w:val="00491E1B"/>
    <w:rsid w:val="00497A05"/>
    <w:rsid w:val="004A09E2"/>
    <w:rsid w:val="004A5019"/>
    <w:rsid w:val="004A7E7E"/>
    <w:rsid w:val="004B6062"/>
    <w:rsid w:val="004C34E8"/>
    <w:rsid w:val="004C76DD"/>
    <w:rsid w:val="004C7C2C"/>
    <w:rsid w:val="004D23FC"/>
    <w:rsid w:val="004D6841"/>
    <w:rsid w:val="004F5EE7"/>
    <w:rsid w:val="00501924"/>
    <w:rsid w:val="005314C2"/>
    <w:rsid w:val="005452CD"/>
    <w:rsid w:val="00545B32"/>
    <w:rsid w:val="0055258A"/>
    <w:rsid w:val="00563F8C"/>
    <w:rsid w:val="00564ED2"/>
    <w:rsid w:val="00586D34"/>
    <w:rsid w:val="005C4B93"/>
    <w:rsid w:val="005C6726"/>
    <w:rsid w:val="005D5420"/>
    <w:rsid w:val="005E5501"/>
    <w:rsid w:val="005F60CF"/>
    <w:rsid w:val="00604882"/>
    <w:rsid w:val="006320EE"/>
    <w:rsid w:val="00643C8E"/>
    <w:rsid w:val="006515A7"/>
    <w:rsid w:val="006539A7"/>
    <w:rsid w:val="00662394"/>
    <w:rsid w:val="00671FBF"/>
    <w:rsid w:val="00671FD1"/>
    <w:rsid w:val="00684FC0"/>
    <w:rsid w:val="00692393"/>
    <w:rsid w:val="00694F17"/>
    <w:rsid w:val="00697840"/>
    <w:rsid w:val="006B599F"/>
    <w:rsid w:val="006B6DE7"/>
    <w:rsid w:val="006C4DAF"/>
    <w:rsid w:val="006D1F3D"/>
    <w:rsid w:val="006E22B1"/>
    <w:rsid w:val="006F6AD5"/>
    <w:rsid w:val="0070063D"/>
    <w:rsid w:val="0072027F"/>
    <w:rsid w:val="0073728B"/>
    <w:rsid w:val="00741861"/>
    <w:rsid w:val="007474A9"/>
    <w:rsid w:val="00760E13"/>
    <w:rsid w:val="00787B55"/>
    <w:rsid w:val="00791896"/>
    <w:rsid w:val="007B0621"/>
    <w:rsid w:val="007C1CDA"/>
    <w:rsid w:val="007F15EC"/>
    <w:rsid w:val="007F5EB6"/>
    <w:rsid w:val="007F627F"/>
    <w:rsid w:val="008060C7"/>
    <w:rsid w:val="00812901"/>
    <w:rsid w:val="008244B9"/>
    <w:rsid w:val="0085755C"/>
    <w:rsid w:val="00862536"/>
    <w:rsid w:val="00865AC6"/>
    <w:rsid w:val="008838FC"/>
    <w:rsid w:val="00883ADD"/>
    <w:rsid w:val="008B21E3"/>
    <w:rsid w:val="008C2375"/>
    <w:rsid w:val="008D2C40"/>
    <w:rsid w:val="008E43BC"/>
    <w:rsid w:val="008F7645"/>
    <w:rsid w:val="0090634D"/>
    <w:rsid w:val="00911D7D"/>
    <w:rsid w:val="00915926"/>
    <w:rsid w:val="00926358"/>
    <w:rsid w:val="00941F95"/>
    <w:rsid w:val="00947E23"/>
    <w:rsid w:val="00954876"/>
    <w:rsid w:val="0095592C"/>
    <w:rsid w:val="00957FCA"/>
    <w:rsid w:val="00981C19"/>
    <w:rsid w:val="00985255"/>
    <w:rsid w:val="00990AA3"/>
    <w:rsid w:val="009B0F3A"/>
    <w:rsid w:val="009B6587"/>
    <w:rsid w:val="009E4B64"/>
    <w:rsid w:val="009E6AEB"/>
    <w:rsid w:val="009F70E6"/>
    <w:rsid w:val="00A01E0D"/>
    <w:rsid w:val="00A054DE"/>
    <w:rsid w:val="00A120CD"/>
    <w:rsid w:val="00A15456"/>
    <w:rsid w:val="00A44D35"/>
    <w:rsid w:val="00A4506D"/>
    <w:rsid w:val="00A5467C"/>
    <w:rsid w:val="00A67AA9"/>
    <w:rsid w:val="00A7099E"/>
    <w:rsid w:val="00A73DC5"/>
    <w:rsid w:val="00A744C4"/>
    <w:rsid w:val="00A776AA"/>
    <w:rsid w:val="00A77F88"/>
    <w:rsid w:val="00A90CDF"/>
    <w:rsid w:val="00A9280F"/>
    <w:rsid w:val="00AA115C"/>
    <w:rsid w:val="00AC3F86"/>
    <w:rsid w:val="00B13530"/>
    <w:rsid w:val="00B21EF0"/>
    <w:rsid w:val="00B329F2"/>
    <w:rsid w:val="00B5330D"/>
    <w:rsid w:val="00B6423E"/>
    <w:rsid w:val="00B64378"/>
    <w:rsid w:val="00B65CD8"/>
    <w:rsid w:val="00B83F29"/>
    <w:rsid w:val="00B86987"/>
    <w:rsid w:val="00B95C2F"/>
    <w:rsid w:val="00BC77CF"/>
    <w:rsid w:val="00BF39E3"/>
    <w:rsid w:val="00C06B40"/>
    <w:rsid w:val="00C077BE"/>
    <w:rsid w:val="00C12F6B"/>
    <w:rsid w:val="00C14E68"/>
    <w:rsid w:val="00C2125A"/>
    <w:rsid w:val="00C220A1"/>
    <w:rsid w:val="00C37459"/>
    <w:rsid w:val="00C42C58"/>
    <w:rsid w:val="00C94760"/>
    <w:rsid w:val="00CB5CC4"/>
    <w:rsid w:val="00CB7A69"/>
    <w:rsid w:val="00CD3F81"/>
    <w:rsid w:val="00CF5D67"/>
    <w:rsid w:val="00D00E18"/>
    <w:rsid w:val="00D0760F"/>
    <w:rsid w:val="00D14C36"/>
    <w:rsid w:val="00D2020E"/>
    <w:rsid w:val="00D20290"/>
    <w:rsid w:val="00D21D2E"/>
    <w:rsid w:val="00D4514A"/>
    <w:rsid w:val="00D727CC"/>
    <w:rsid w:val="00D8038F"/>
    <w:rsid w:val="00D85F80"/>
    <w:rsid w:val="00D949EE"/>
    <w:rsid w:val="00DB3246"/>
    <w:rsid w:val="00DC0B90"/>
    <w:rsid w:val="00DE5E15"/>
    <w:rsid w:val="00E2332E"/>
    <w:rsid w:val="00E413C9"/>
    <w:rsid w:val="00E44645"/>
    <w:rsid w:val="00E47504"/>
    <w:rsid w:val="00E47C2E"/>
    <w:rsid w:val="00E52BAD"/>
    <w:rsid w:val="00E648A5"/>
    <w:rsid w:val="00E76A66"/>
    <w:rsid w:val="00E77632"/>
    <w:rsid w:val="00E87069"/>
    <w:rsid w:val="00E911E5"/>
    <w:rsid w:val="00EB2850"/>
    <w:rsid w:val="00EB7E41"/>
    <w:rsid w:val="00EC4E34"/>
    <w:rsid w:val="00ED43E4"/>
    <w:rsid w:val="00ED7886"/>
    <w:rsid w:val="00EE03CA"/>
    <w:rsid w:val="00EE34AB"/>
    <w:rsid w:val="00F1277D"/>
    <w:rsid w:val="00F17F40"/>
    <w:rsid w:val="00F326B3"/>
    <w:rsid w:val="00F34FEE"/>
    <w:rsid w:val="00F41042"/>
    <w:rsid w:val="00F515E1"/>
    <w:rsid w:val="00F70F25"/>
    <w:rsid w:val="00F77DC6"/>
    <w:rsid w:val="00F97C0B"/>
    <w:rsid w:val="00FA7223"/>
    <w:rsid w:val="00FB035B"/>
    <w:rsid w:val="00FC076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FFC14"/>
  <w15:chartTrackingRefBased/>
  <w15:docId w15:val="{8D78E336-7A7D-4A09-B389-524F3EFD8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CDA"/>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C1CDA"/>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C1CDA"/>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C1CDA"/>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C1CDA"/>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C1CDA"/>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C1CDA"/>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C1CD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C1CDA"/>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85F80"/>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C1CDA"/>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C1CDA"/>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C1CDA"/>
    <w:rPr>
      <w:rFonts w:ascii="Palatino Linotype" w:hAnsi="Palatino Linotype"/>
      <w:noProof/>
      <w:color w:val="000000"/>
      <w:szCs w:val="18"/>
    </w:rPr>
  </w:style>
  <w:style w:type="paragraph" w:styleId="Header">
    <w:name w:val="header"/>
    <w:basedOn w:val="Normal"/>
    <w:link w:val="HeaderChar"/>
    <w:uiPriority w:val="99"/>
    <w:rsid w:val="007C1CDA"/>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C1CDA"/>
    <w:rPr>
      <w:rFonts w:ascii="Palatino Linotype" w:hAnsi="Palatino Linotype"/>
      <w:noProof/>
      <w:color w:val="000000"/>
      <w:szCs w:val="18"/>
    </w:rPr>
  </w:style>
  <w:style w:type="paragraph" w:customStyle="1" w:styleId="MDPI32textnoindent">
    <w:name w:val="MDPI_3.2_text_no_indent"/>
    <w:basedOn w:val="MDPI31text"/>
    <w:qFormat/>
    <w:rsid w:val="007C1CDA"/>
    <w:pPr>
      <w:ind w:firstLine="0"/>
    </w:pPr>
  </w:style>
  <w:style w:type="paragraph" w:customStyle="1" w:styleId="MDPI31text">
    <w:name w:val="MDPI_3.1_text"/>
    <w:qFormat/>
    <w:rsid w:val="00671FB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C1CDA"/>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C1CDA"/>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C1CDA"/>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EE03CA"/>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EE03CA"/>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C1CDA"/>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C1CDA"/>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C1CDA"/>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381F51"/>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C1CDA"/>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C1CDA"/>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C1CDA"/>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C1CDA"/>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C1CDA"/>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C1CDA"/>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1E5F1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C1CDA"/>
    <w:rPr>
      <w:rFonts w:cs="Tahoma"/>
      <w:szCs w:val="18"/>
    </w:rPr>
  </w:style>
  <w:style w:type="character" w:customStyle="1" w:styleId="BalloonTextChar">
    <w:name w:val="Balloon Text Char"/>
    <w:link w:val="BalloonText"/>
    <w:uiPriority w:val="99"/>
    <w:rsid w:val="007C1CDA"/>
    <w:rPr>
      <w:rFonts w:ascii="Palatino Linotype" w:hAnsi="Palatino Linotype" w:cs="Tahoma"/>
      <w:noProof/>
      <w:color w:val="000000"/>
      <w:szCs w:val="18"/>
    </w:rPr>
  </w:style>
  <w:style w:type="character" w:styleId="LineNumber">
    <w:name w:val="line number"/>
    <w:uiPriority w:val="99"/>
    <w:rsid w:val="00A15456"/>
    <w:rPr>
      <w:rFonts w:ascii="Palatino Linotype" w:hAnsi="Palatino Linotype"/>
      <w:sz w:val="16"/>
    </w:rPr>
  </w:style>
  <w:style w:type="table" w:customStyle="1" w:styleId="MDPI41threelinetable">
    <w:name w:val="MDPI_4.1_three_line_table"/>
    <w:basedOn w:val="TableNormal"/>
    <w:uiPriority w:val="99"/>
    <w:rsid w:val="007C1CDA"/>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C1CDA"/>
    <w:rPr>
      <w:color w:val="0000FF"/>
      <w:u w:val="single"/>
    </w:rPr>
  </w:style>
  <w:style w:type="character" w:styleId="UnresolvedMention">
    <w:name w:val="Unresolved Mention"/>
    <w:uiPriority w:val="99"/>
    <w:semiHidden/>
    <w:unhideWhenUsed/>
    <w:rsid w:val="00F70F25"/>
    <w:rPr>
      <w:color w:val="605E5C"/>
      <w:shd w:val="clear" w:color="auto" w:fill="E1DFDD"/>
    </w:rPr>
  </w:style>
  <w:style w:type="table" w:styleId="PlainTable4">
    <w:name w:val="Plain Table 4"/>
    <w:basedOn w:val="TableNormal"/>
    <w:uiPriority w:val="44"/>
    <w:rsid w:val="004C7C2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C1CD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C1CDA"/>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C1CDA"/>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C1CDA"/>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C1CDA"/>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C1CDA"/>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7474A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C1CDA"/>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C1CDA"/>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3F328F"/>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C1CDA"/>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C1CDA"/>
  </w:style>
  <w:style w:type="paragraph" w:styleId="Bibliography">
    <w:name w:val="Bibliography"/>
    <w:basedOn w:val="Normal"/>
    <w:next w:val="Normal"/>
    <w:uiPriority w:val="37"/>
    <w:semiHidden/>
    <w:unhideWhenUsed/>
    <w:rsid w:val="007C1CDA"/>
  </w:style>
  <w:style w:type="paragraph" w:styleId="BodyText">
    <w:name w:val="Body Text"/>
    <w:link w:val="BodyTextChar"/>
    <w:rsid w:val="007C1CDA"/>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C1CDA"/>
    <w:rPr>
      <w:rFonts w:ascii="Palatino Linotype" w:hAnsi="Palatino Linotype"/>
      <w:color w:val="000000"/>
      <w:sz w:val="24"/>
      <w:lang w:eastAsia="de-DE"/>
    </w:rPr>
  </w:style>
  <w:style w:type="character" w:styleId="CommentReference">
    <w:name w:val="annotation reference"/>
    <w:rsid w:val="007C1CDA"/>
    <w:rPr>
      <w:sz w:val="21"/>
      <w:szCs w:val="21"/>
    </w:rPr>
  </w:style>
  <w:style w:type="paragraph" w:styleId="CommentText">
    <w:name w:val="annotation text"/>
    <w:basedOn w:val="Normal"/>
    <w:link w:val="CommentTextChar"/>
    <w:rsid w:val="007C1CDA"/>
  </w:style>
  <w:style w:type="character" w:customStyle="1" w:styleId="CommentTextChar">
    <w:name w:val="Comment Text Char"/>
    <w:link w:val="CommentText"/>
    <w:rsid w:val="007C1CDA"/>
    <w:rPr>
      <w:rFonts w:ascii="Palatino Linotype" w:hAnsi="Palatino Linotype"/>
      <w:noProof/>
      <w:color w:val="000000"/>
    </w:rPr>
  </w:style>
  <w:style w:type="paragraph" w:styleId="CommentSubject">
    <w:name w:val="annotation subject"/>
    <w:basedOn w:val="CommentText"/>
    <w:next w:val="CommentText"/>
    <w:link w:val="CommentSubjectChar"/>
    <w:rsid w:val="007C1CDA"/>
    <w:rPr>
      <w:b/>
      <w:bCs/>
    </w:rPr>
  </w:style>
  <w:style w:type="character" w:customStyle="1" w:styleId="CommentSubjectChar">
    <w:name w:val="Comment Subject Char"/>
    <w:link w:val="CommentSubject"/>
    <w:rsid w:val="007C1CDA"/>
    <w:rPr>
      <w:rFonts w:ascii="Palatino Linotype" w:hAnsi="Palatino Linotype"/>
      <w:b/>
      <w:bCs/>
      <w:noProof/>
      <w:color w:val="000000"/>
    </w:rPr>
  </w:style>
  <w:style w:type="character" w:styleId="EndnoteReference">
    <w:name w:val="endnote reference"/>
    <w:rsid w:val="007C1CDA"/>
    <w:rPr>
      <w:vertAlign w:val="superscript"/>
    </w:rPr>
  </w:style>
  <w:style w:type="paragraph" w:styleId="EndnoteText">
    <w:name w:val="endnote text"/>
    <w:basedOn w:val="Normal"/>
    <w:link w:val="EndnoteTextChar"/>
    <w:semiHidden/>
    <w:unhideWhenUsed/>
    <w:rsid w:val="007C1CDA"/>
    <w:pPr>
      <w:spacing w:line="240" w:lineRule="auto"/>
    </w:pPr>
  </w:style>
  <w:style w:type="character" w:customStyle="1" w:styleId="EndnoteTextChar">
    <w:name w:val="Endnote Text Char"/>
    <w:link w:val="EndnoteText"/>
    <w:semiHidden/>
    <w:rsid w:val="007C1CDA"/>
    <w:rPr>
      <w:rFonts w:ascii="Palatino Linotype" w:hAnsi="Palatino Linotype"/>
      <w:noProof/>
      <w:color w:val="000000"/>
    </w:rPr>
  </w:style>
  <w:style w:type="character" w:styleId="FollowedHyperlink">
    <w:name w:val="FollowedHyperlink"/>
    <w:rsid w:val="007C1CDA"/>
    <w:rPr>
      <w:color w:val="954F72"/>
      <w:u w:val="single"/>
    </w:rPr>
  </w:style>
  <w:style w:type="paragraph" w:styleId="FootnoteText">
    <w:name w:val="footnote text"/>
    <w:basedOn w:val="Normal"/>
    <w:link w:val="FootnoteTextChar"/>
    <w:semiHidden/>
    <w:unhideWhenUsed/>
    <w:rsid w:val="007C1CDA"/>
    <w:pPr>
      <w:spacing w:line="240" w:lineRule="auto"/>
    </w:pPr>
  </w:style>
  <w:style w:type="character" w:customStyle="1" w:styleId="FootnoteTextChar">
    <w:name w:val="Footnote Text Char"/>
    <w:link w:val="FootnoteText"/>
    <w:semiHidden/>
    <w:rsid w:val="007C1CDA"/>
    <w:rPr>
      <w:rFonts w:ascii="Palatino Linotype" w:hAnsi="Palatino Linotype"/>
      <w:noProof/>
      <w:color w:val="000000"/>
    </w:rPr>
  </w:style>
  <w:style w:type="paragraph" w:styleId="NormalWeb">
    <w:name w:val="Normal (Web)"/>
    <w:basedOn w:val="Normal"/>
    <w:uiPriority w:val="99"/>
    <w:rsid w:val="007C1CDA"/>
    <w:rPr>
      <w:szCs w:val="24"/>
    </w:rPr>
  </w:style>
  <w:style w:type="paragraph" w:customStyle="1" w:styleId="MsoFootnoteText0">
    <w:name w:val="MsoFootnoteText"/>
    <w:basedOn w:val="NormalWeb"/>
    <w:qFormat/>
    <w:rsid w:val="007C1CDA"/>
    <w:rPr>
      <w:rFonts w:ascii="Times New Roman" w:hAnsi="Times New Roman"/>
    </w:rPr>
  </w:style>
  <w:style w:type="character" w:styleId="PageNumber">
    <w:name w:val="page number"/>
    <w:rsid w:val="007C1CDA"/>
  </w:style>
  <w:style w:type="character" w:styleId="PlaceholderText">
    <w:name w:val="Placeholder Text"/>
    <w:uiPriority w:val="99"/>
    <w:semiHidden/>
    <w:rsid w:val="007C1CDA"/>
    <w:rPr>
      <w:color w:val="808080"/>
    </w:rPr>
  </w:style>
  <w:style w:type="paragraph" w:customStyle="1" w:styleId="MDPI71footnotes">
    <w:name w:val="MDPI_7.1_footnotes"/>
    <w:qFormat/>
    <w:rsid w:val="006C4DAF"/>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C212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diagnos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diagnostics-template</Template>
  <TotalTime>0</TotalTime>
  <Pages>6</Pages>
  <Words>2418</Words>
  <Characters>13788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Are Digital Gait Biomarkers Ready to Predict Falls? A Systematic Review and PROBAST+AI Appraisal of Wearable and Vision-Based Prognostic Models in Older Adults</dc:title>
  <dc:subject/>
  <dc:creator>Majed S. Alsanea; Yosef Hasan Jbara; Alshimaa Hamdy Ismail; Farha Mujeeb Ahmed Shaikh; Mohammed Gh. Alzahrani</dc:creator>
  <cp:keywords/>
  <dc:description/>
  <cp:lastModifiedBy>Yosef Hasan Jbara</cp:lastModifiedBy>
  <cp:revision>1</cp:revision>
  <dcterms:created xsi:type="dcterms:W3CDTF">2026-09-29T12:00:00Z</dcterms:created>
  <dcterms:modified xsi:type="dcterms:W3CDTF">2026-09-29T12:00:00Z</dcterms:modified>
</cp:coreProperties>
</file>