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Point-by-point record of how the pre-submission review concerns were addressed</w:t>
      </w:r>
    </w:p>
    <w:p>
      <w:r>
        <w:t>Manuscript: Are Digital Gait Biomarkers Ready to Predict Falls? A Systematic Review and PROBAST+AI Appraisal of Wearable and Vision-Based Prognostic Models in Older Adults</w:t>
      </w:r>
    </w:p>
    <w:tbl>
      <w:tblPr>
        <w:tblStyle w:val="TableGrid"/>
        <w:tblW w:type="auto" w:w="0"/>
        <w:tblLook w:firstColumn="1" w:firstRow="1" w:lastColumn="0" w:lastRow="0" w:noHBand="0" w:noVBand="1" w:val="04A0"/>
      </w:tblPr>
      <w:tblGrid>
        <w:gridCol w:w="3324"/>
        <w:gridCol w:w="3324"/>
        <w:gridCol w:w="3324"/>
      </w:tblGrid>
      <w:tr>
        <w:tc>
          <w:tcPr>
            <w:tcW w:type="dxa" w:w="2041"/>
          </w:tcPr>
          <w:p>
            <w:r/>
            <w:r>
              <w:rPr>
                <w:b/>
              </w:rPr>
              <w:t>Concern</w:t>
            </w:r>
          </w:p>
        </w:tc>
        <w:tc>
          <w:tcPr>
            <w:tcW w:type="dxa" w:w="6009"/>
          </w:tcPr>
          <w:p>
            <w:r/>
            <w:r>
              <w:rPr>
                <w:b/>
              </w:rPr>
              <w:t>Revision</w:t>
            </w:r>
          </w:p>
        </w:tc>
        <w:tc>
          <w:tcPr>
            <w:tcW w:type="dxa" w:w="1928"/>
          </w:tcPr>
          <w:p>
            <w:r/>
            <w:r>
              <w:rPr>
                <w:b/>
              </w:rPr>
              <w:t>Location</w:t>
            </w:r>
          </w:p>
        </w:tc>
      </w:tr>
      <w:tr>
        <w:tc>
          <w:tcPr>
            <w:tcW w:type="dxa" w:w="2041"/>
          </w:tcPr>
          <w:p>
            <w:r/>
            <w:r>
              <w:rPr>
                <w:b/>
                <w:sz w:val="18"/>
              </w:rPr>
              <w:t>1. Full-text availability and study flow</w:t>
            </w:r>
          </w:p>
        </w:tc>
        <w:tc>
          <w:tcPr>
            <w:tcW w:type="dxa" w:w="6009"/>
          </w:tcPr>
          <w:p>
            <w:r/>
            <w:r>
              <w:rPr>
                <w:b w:val="0"/>
                <w:sz w:val="18"/>
              </w:rPr>
              <w:t>The two groups of 11 reports are now explicitly distinguished. Eleven reports could not be retrieved in any form and were not assessed (PRISMA box annotated). Eleven different reports were assessed from the indexed abstract and other accessible primary material and all were included. Figure 1 states that 341 reports were assessed, including these 11, and that the 47 included reports comprise 36 complete articles and 11 limited-access reports. Section 2.4 describes the retrieval routes and the limits placed on judgments. New Table S3 lists each report, the material used, the retrieval routes, the items that could not be verified, and how they were handled. Related documents were not used as substitutes.</w:t>
            </w:r>
          </w:p>
        </w:tc>
        <w:tc>
          <w:tcPr>
            <w:tcW w:type="dxa" w:w="1928"/>
          </w:tcPr>
          <w:p>
            <w:r/>
            <w:r>
              <w:rPr>
                <w:b w:val="0"/>
                <w:sz w:val="18"/>
              </w:rPr>
              <w:t>Sections 2.4, 3.1, 4.7; Figure 1; Table S3</w:t>
            </w:r>
          </w:p>
        </w:tc>
      </w:tr>
      <w:tr>
        <w:tc>
          <w:tcPr>
            <w:tcW w:type="dxa" w:w="2041"/>
          </w:tcPr>
          <w:p>
            <w:r/>
            <w:r>
              <w:rPr>
                <w:b/>
                <w:sz w:val="18"/>
              </w:rPr>
              <w:t>2. Auditability of PROBAST+AI</w:t>
            </w:r>
          </w:p>
        </w:tc>
        <w:tc>
          <w:tcPr>
            <w:tcW w:type="dxa" w:w="6009"/>
          </w:tcPr>
          <w:p>
            <w:r/>
            <w:r>
              <w:rPr>
                <w:b w:val="0"/>
                <w:sz w:val="18"/>
              </w:rPr>
              <w:t>New Table S8 gives study-specific answers to the five analysis-domain signalling questions for all 47 evaluations, the number of fallers in the evaluation data, the judgment, and the evidence source. Table S7 replaces generic text with study-specific reasons. For example, Kelly et al. 2022 is now described as a 64-faller held-out test set without calibration, with appropriate tuning in the development data. The decision rule distinguishes reported defects (no/probably no) from missing information (unclear). Appropriate internal validation can be rated low, and the absence of external validation is not treated as bias. Every high judgment rests on reported features: fewer than 100 fallers in 45/47 evaluations, or no calibration intercept and slope in 46/47. Sensitivity analyses show that the conclusion does not depend on non-analysis domains or on the limited-access reports.</w:t>
            </w:r>
          </w:p>
        </w:tc>
        <w:tc>
          <w:tcPr>
            <w:tcW w:type="dxa" w:w="1928"/>
          </w:tcPr>
          <w:p>
            <w:r/>
            <w:r>
              <w:rPr>
                <w:b w:val="0"/>
                <w:sz w:val="18"/>
              </w:rPr>
              <w:t>Sections 2.7, 3.9; Tables S7 and S8</w:t>
            </w:r>
          </w:p>
        </w:tc>
      </w:tr>
      <w:tr>
        <w:tc>
          <w:tcPr>
            <w:tcW w:type="dxa" w:w="2041"/>
          </w:tcPr>
          <w:p>
            <w:r/>
            <w:r>
              <w:rPr>
                <w:b/>
                <w:sz w:val="18"/>
              </w:rPr>
              <w:t>3. Search reproducibility</w:t>
            </w:r>
          </w:p>
        </w:tc>
        <w:tc>
          <w:tcPr>
            <w:tcW w:type="dxa" w:w="6009"/>
          </w:tcPr>
          <w:p>
            <w:r/>
            <w:r>
              <w:rPr>
                <w:b w:val="0"/>
                <w:sz w:val="18"/>
              </w:rPr>
              <w:t>Table S1 now reports every database strategy line by line with interface, field codes, truncation as run, limits, date, and yield. The Embase strategy is shown as numbered, bracketed lines; PsycInfo is specified as EBSCOhost; Google Scholar's lack of truncation is noted. The supplementary mobility-terminology search is fully specified. Residual risk of missed mobility-test studies is acknowledged.</w:t>
            </w:r>
          </w:p>
        </w:tc>
        <w:tc>
          <w:tcPr>
            <w:tcW w:type="dxa" w:w="1928"/>
          </w:tcPr>
          <w:p>
            <w:r/>
            <w:r>
              <w:rPr>
                <w:b w:val="0"/>
                <w:sz w:val="18"/>
              </w:rPr>
              <w:t>Section 2.3; Table S1; Section 4.7</w:t>
            </w:r>
          </w:p>
        </w:tc>
      </w:tr>
      <w:tr>
        <w:tc>
          <w:tcPr>
            <w:tcW w:type="dxa" w:w="2041"/>
          </w:tcPr>
          <w:p>
            <w:r/>
            <w:r>
              <w:rPr>
                <w:b/>
                <w:sz w:val="18"/>
              </w:rPr>
              <w:t>4. Representative-result hierarchy</w:t>
            </w:r>
          </w:p>
        </w:tc>
        <w:tc>
          <w:tcPr>
            <w:tcW w:type="dxa" w:w="6009"/>
          </w:tcPr>
          <w:p>
            <w:r/>
            <w:r>
              <w:rPr>
                <w:b w:val="0"/>
                <w:sz w:val="18"/>
              </w:rPr>
              <w:t>Every one of the 37 cohort families is listed with the selected estimate, model, horizon, validation, number of fallers, AUC, reason, and lowest/highest alternative (Table S6). The rule now requires an exact AUC. The Sotirakis 2024 24-month AUC was reported only as "&gt;0.90", so the 60-month estimate was selected, and the 24-month bound was tested. The balance rule is operationally defined (sensitivity &lt;0.40). The lowest and highest alternatives gave medians of 0.720 and 0.785.</w:t>
            </w:r>
          </w:p>
        </w:tc>
        <w:tc>
          <w:tcPr>
            <w:tcW w:type="dxa" w:w="1928"/>
          </w:tcPr>
          <w:p>
            <w:r/>
            <w:r>
              <w:rPr>
                <w:b w:val="0"/>
                <w:sz w:val="18"/>
              </w:rPr>
              <w:t>Section 2.8; Sections 3.6 and 4.7; Table 3; Table S6</w:t>
            </w:r>
          </w:p>
        </w:tc>
      </w:tr>
      <w:tr>
        <w:tc>
          <w:tcPr>
            <w:tcW w:type="dxa" w:w="2041"/>
          </w:tcPr>
          <w:p>
            <w:r/>
            <w:r>
              <w:rPr>
                <w:b/>
                <w:sz w:val="18"/>
              </w:rPr>
              <w:t>5. External validation versus pipeline replication</w:t>
            </w:r>
          </w:p>
        </w:tc>
        <w:tc>
          <w:tcPr>
            <w:tcW w:type="dxa" w:w="6009"/>
          </w:tcPr>
          <w:p>
            <w:r/>
            <w:r>
              <w:rPr>
                <w:b w:val="0"/>
                <w:sz w:val="18"/>
              </w:rPr>
              <w:t>Independent-cohort evaluation (original coefficients), faithful replication of the complete pipeline, and target-sample updating are defined separately and used consistently. Zhang 2024 is reported before updating (AUC 0.49–0.59; calibration intercept −0.83, slope 1.40) and after updating (AUC 0.51–0.62; target-sample results). Table 4 has separate rows for these constructs.</w:t>
            </w:r>
          </w:p>
        </w:tc>
        <w:tc>
          <w:tcPr>
            <w:tcW w:type="dxa" w:w="1928"/>
          </w:tcPr>
          <w:p>
            <w:r/>
            <w:r>
              <w:rPr>
                <w:b w:val="0"/>
                <w:sz w:val="18"/>
              </w:rPr>
              <w:t>Sections 2.5, 3.8; Tables 2 and 4</w:t>
            </w:r>
          </w:p>
        </w:tc>
      </w:tr>
      <w:tr>
        <w:tc>
          <w:tcPr>
            <w:tcW w:type="dxa" w:w="2041"/>
          </w:tcPr>
          <w:p>
            <w:r/>
            <w:r>
              <w:rPr>
                <w:b/>
                <w:sz w:val="18"/>
              </w:rPr>
              <w:t>6. Applicability judgments</w:t>
            </w:r>
          </w:p>
        </w:tc>
        <w:tc>
          <w:tcPr>
            <w:tcW w:type="dxa" w:w="6009"/>
          </w:tcPr>
          <w:p>
            <w:r/>
            <w:r>
              <w:rPr>
                <w:b w:val="0"/>
                <w:sz w:val="18"/>
              </w:rPr>
              <w:t>Applicability is now judged against each model's intended-use population and setting (for example, Parkinson models against Parkinson populations). Generalizability to all older adults is reported separately and descriptively. Overall high concern fell from 31/45 and 32/47 to 4/45 and 4/47; each remaining high or unclear judgment is justified.</w:t>
            </w:r>
          </w:p>
        </w:tc>
        <w:tc>
          <w:tcPr>
            <w:tcW w:type="dxa" w:w="1928"/>
          </w:tcPr>
          <w:p>
            <w:r/>
            <w:r>
              <w:rPr>
                <w:b w:val="0"/>
                <w:sz w:val="18"/>
              </w:rPr>
              <w:t>Sections 2.7, 3.9; Figure 3C; Table S9</w:t>
            </w:r>
          </w:p>
        </w:tc>
      </w:tr>
      <w:tr>
        <w:tc>
          <w:tcPr>
            <w:tcW w:type="dxa" w:w="2041"/>
          </w:tcPr>
          <w:p>
            <w:r/>
            <w:r>
              <w:rPr>
                <w:b/>
                <w:sz w:val="18"/>
              </w:rPr>
              <w:t>7. Validation gradient and uncertainty</w:t>
            </w:r>
          </w:p>
        </w:tc>
        <w:tc>
          <w:tcPr>
            <w:tcW w:type="dxa" w:w="6009"/>
          </w:tcPr>
          <w:p>
            <w:r/>
            <w:r>
              <w:rPr>
                <w:b w:val="0"/>
                <w:sz w:val="18"/>
              </w:rPr>
              <w:t>The pattern is described as exploratory and non-causal. The negligible apparent-versus-internal difference (0.771 vs 0.762) and the single external cohort are stated. Figure 2 shows reported 95% CIs and resampling ranges and marks limited-access reports. The performance synthesis was repeated without limited-access reports (median 0.756; bands 0.870/0.767/0.690).</w:t>
            </w:r>
          </w:p>
        </w:tc>
        <w:tc>
          <w:tcPr>
            <w:tcW w:type="dxa" w:w="1928"/>
          </w:tcPr>
          <w:p>
            <w:r/>
            <w:r>
              <w:rPr>
                <w:b w:val="0"/>
                <w:sz w:val="18"/>
              </w:rPr>
              <w:t>Sections 2.8, 3.6, 4.3; Table 3; Figure 2</w:t>
            </w:r>
          </w:p>
        </w:tc>
      </w:tr>
      <w:tr>
        <w:tc>
          <w:tcPr>
            <w:tcW w:type="dxa" w:w="2041"/>
          </w:tcPr>
          <w:p>
            <w:r/>
            <w:r>
              <w:rPr>
                <w:b/>
                <w:sz w:val="18"/>
              </w:rPr>
              <w:t>8. Strength of conclusions</w:t>
            </w:r>
          </w:p>
        </w:tc>
        <w:tc>
          <w:tcPr>
            <w:tcW w:type="dxa" w:w="6009"/>
          </w:tcPr>
          <w:p>
            <w:r/>
            <w:r>
              <w:rPr>
                <w:b w:val="0"/>
                <w:sz w:val="18"/>
              </w:rPr>
              <w:t>The wording now separates observed performance, confidence in the estimates, and implementation evidence. The claim of a genuine signal and the categorical readiness claim were replaced with: "discriminated future fallers in development and internal-validation studies ... confidence is low ... the evidence does not establish readiness for routine clinical use." Table 4 uses explicit status rules that distinguish satisfied in ≥2 families, one family only, assessed but not satisfied, and not assessed.</w:t>
            </w:r>
          </w:p>
        </w:tc>
        <w:tc>
          <w:tcPr>
            <w:tcW w:type="dxa" w:w="1928"/>
          </w:tcPr>
          <w:p>
            <w:r/>
            <w:r>
              <w:rPr>
                <w:b w:val="0"/>
                <w:sz w:val="18"/>
              </w:rPr>
              <w:t>Abstract; Sections 4.1, 5; Table 4</w:t>
            </w:r>
          </w:p>
        </w:tc>
      </w:tr>
      <w:tr>
        <w:tc>
          <w:tcPr>
            <w:tcW w:type="dxa" w:w="2041"/>
          </w:tcPr>
          <w:p>
            <w:r/>
            <w:r>
              <w:rPr>
                <w:b/>
                <w:sz w:val="18"/>
              </w:rPr>
              <w:t>Additional: approximate event count</w:t>
            </w:r>
          </w:p>
        </w:tc>
        <w:tc>
          <w:tcPr>
            <w:tcW w:type="dxa" w:w="6009"/>
          </w:tcPr>
          <w:p>
            <w:r/>
            <w:r>
              <w:rPr>
                <w:b w:val="0"/>
                <w:sz w:val="18"/>
              </w:rPr>
              <w:t>Section 2.5 describes the single permitted approximation (Giardini 2025, about 10 fallers, exact count NR), and it is labelled in Table 2, Figure 2, and Table S6.</w:t>
            </w:r>
          </w:p>
        </w:tc>
        <w:tc>
          <w:tcPr>
            <w:tcW w:type="dxa" w:w="1928"/>
          </w:tcPr>
          <w:p>
            <w:r/>
            <w:r>
              <w:rPr>
                <w:b w:val="0"/>
                <w:sz w:val="18"/>
              </w:rPr>
              <w:t>Section 2.5; Table 2; Figure 2</w:t>
            </w:r>
          </w:p>
        </w:tc>
      </w:tr>
      <w:tr>
        <w:tc>
          <w:tcPr>
            <w:tcW w:type="dxa" w:w="2041"/>
          </w:tcPr>
          <w:p>
            <w:r/>
            <w:r>
              <w:rPr>
                <w:b/>
                <w:sz w:val="18"/>
              </w:rPr>
              <w:t>Additional: calibration count</w:t>
            </w:r>
          </w:p>
        </w:tc>
        <w:tc>
          <w:tcPr>
            <w:tcW w:type="dxa" w:w="6009"/>
          </w:tcPr>
          <w:p>
            <w:r/>
            <w:r>
              <w:rPr>
                <w:b w:val="0"/>
                <w:sz w:val="18"/>
              </w:rPr>
              <w:t>Table 5 and Section 3.8 state that calibration intercept and slope were reported in 1/47 reports. Brier scores (overall accuracy), Hosmer–Lemeshow tests, and a qualitative comparison in four others are distinguished from calibration.</w:t>
            </w:r>
          </w:p>
        </w:tc>
        <w:tc>
          <w:tcPr>
            <w:tcW w:type="dxa" w:w="1928"/>
          </w:tcPr>
          <w:p>
            <w:r/>
            <w:r>
              <w:rPr>
                <w:b w:val="0"/>
                <w:sz w:val="18"/>
              </w:rPr>
              <w:t>Sections 2.6, 3.8; Table 5</w:t>
            </w:r>
          </w:p>
        </w:tc>
      </w:tr>
      <w:tr>
        <w:tc>
          <w:tcPr>
            <w:tcW w:type="dxa" w:w="2041"/>
          </w:tcPr>
          <w:p>
            <w:r/>
            <w:r>
              <w:rPr>
                <w:b/>
                <w:sz w:val="18"/>
              </w:rPr>
              <w:t>Additional: PRISMA item 22</w:t>
            </w:r>
          </w:p>
        </w:tc>
        <w:tc>
          <w:tcPr>
            <w:tcW w:type="dxa" w:w="6009"/>
          </w:tcPr>
          <w:p>
            <w:r/>
            <w:r>
              <w:rPr>
                <w:b w:val="0"/>
                <w:sz w:val="18"/>
              </w:rPr>
              <w:t>The checklist now states that formal certainty assessment was not performed (reason in Section 2.9) and that readiness is a separate construct.</w:t>
            </w:r>
          </w:p>
        </w:tc>
        <w:tc>
          <w:tcPr>
            <w:tcW w:type="dxa" w:w="1928"/>
          </w:tcPr>
          <w:p>
            <w:r/>
            <w:r>
              <w:rPr>
                <w:b w:val="0"/>
                <w:sz w:val="18"/>
              </w:rPr>
              <w:t>PRISMA checklist; Section 2.9</w:t>
            </w:r>
          </w:p>
        </w:tc>
      </w:tr>
      <w:tr>
        <w:tc>
          <w:tcPr>
            <w:tcW w:type="dxa" w:w="2041"/>
          </w:tcPr>
          <w:p>
            <w:r/>
            <w:r>
              <w:rPr>
                <w:b/>
                <w:sz w:val="18"/>
              </w:rPr>
              <w:t>Additional: protocol timing</w:t>
            </w:r>
          </w:p>
        </w:tc>
        <w:tc>
          <w:tcPr>
            <w:tcW w:type="dxa" w:w="6009"/>
          </w:tcPr>
          <w:p>
            <w:r/>
            <w:r>
              <w:rPr>
                <w:b w:val="0"/>
                <w:sz w:val="18"/>
              </w:rPr>
              <w:t>Section 2.1 states that registration preceded the searches and gives the PROSPERO link.</w:t>
            </w:r>
          </w:p>
        </w:tc>
        <w:tc>
          <w:tcPr>
            <w:tcW w:type="dxa" w:w="1928"/>
          </w:tcPr>
          <w:p>
            <w:r/>
            <w:r>
              <w:rPr>
                <w:b w:val="0"/>
                <w:sz w:val="18"/>
              </w:rPr>
              <w:t>Section 2.1</w:t>
            </w:r>
          </w:p>
        </w:tc>
      </w:tr>
      <w:tr>
        <w:tc>
          <w:tcPr>
            <w:tcW w:type="dxa" w:w="2041"/>
          </w:tcPr>
          <w:p>
            <w:r/>
            <w:r>
              <w:rPr>
                <w:b/>
                <w:sz w:val="18"/>
              </w:rPr>
              <w:t>Additional: uncertainty notation</w:t>
            </w:r>
          </w:p>
        </w:tc>
        <w:tc>
          <w:tcPr>
            <w:tcW w:type="dxa" w:w="6009"/>
          </w:tcPr>
          <w:p>
            <w:r/>
            <w:r>
              <w:rPr>
                <w:b w:val="0"/>
                <w:sz w:val="18"/>
              </w:rPr>
              <w:t>CIs, SDs across splits, ranges across resamples, and undefined ± values are labelled by type in Table 2 and Table S2.</w:t>
            </w:r>
          </w:p>
        </w:tc>
        <w:tc>
          <w:tcPr>
            <w:tcW w:type="dxa" w:w="1928"/>
          </w:tcPr>
          <w:p>
            <w:r/>
            <w:r>
              <w:rPr>
                <w:b w:val="0"/>
                <w:sz w:val="18"/>
              </w:rPr>
              <w:t>Section 2.5; Tables 2 and S2</w:t>
            </w: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Yosef Hasan Jbara</dc:creator>
  <cp:keywords/>
  <dc:description/>
  <cp:lastModifiedBy>Yosef Hasan Jbara</cp:lastModifiedBy>
  <cp:revision>1</cp:revision>
  <dcterms:created xsi:type="dcterms:W3CDTF">2026-09-29T12:00:00Z</dcterms:created>
  <dcterms:modified xsi:type="dcterms:W3CDTF">2026-09-29T12:00:00Z</dcterms:modified>
  <cp:category/>
</cp:coreProperties>
</file>