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CONFIDENTIAL – FOR THE THREE AUTHORS ONLY. DO NOT SEND TO THE EDITORS.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Author briefing: our response to the commentary on our NICC article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What this is, and why we respond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(“Calibrated to what? Feedback asymmetry and the limits of experiential trust in AI-assisted early warning”) is an ordinary scholarly critique, not a complaint, a correction request or a misconduct concern. The co-editors are offering us the right of reply (maximum 1,500 words, due 25 October 2026).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is complimentary in places: it says the study offers “rare access” to how nurses use AI-EWS, that silent override “deserves the governance attention the authors call for”, and that our override field is “valuable”.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Its concern, in its own words, is “one inferential step: from nurses’ accounts of trust to the claim that this trust is calibrated”. It also offers a “complementary reading” of the experience trajectory and disputes our claim to “complicate prevailing accounts”.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Replying is optional, but a calm, rigorous reply strengthens the paper; silence can read as agreement.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Strategy of the final response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Concede precisely, defend firmly.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Where our published wording went further than interview data allow (“actively calibrated”, “correctly dismissing”, “complicate prevailing accounts”), the response says so plainly and states the precise claim: participants described adjusting their trust through experience; the accuracy of those adjustments was not evaluated. Everything else is defended with the commentators’ own sources (Lee &amp; See; Parasuraman &amp; Manzey; Nisbett &amp; Wilson; Dietvorst; Jabbour) and with verbatim evidence from our article.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“Reading the Patient, Evaluating the System: Nurses’ Trust and Reliance in AI-Assisted Early Warning” distinguishes trust (an attitude) from reliance (a behaviour) and separates two evidential tasks: bedside judgement guides each clinical response, whereas independent, outcome-linked evaluation establishes whether trust and reliance correspond to the system’s performance. It does not name the commentary.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Firm points the commentators cannot easily answer: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their alternative reading is, as they frame it, a hypothesis that interprets the same accounts as ours; feedback about correctness is incomplete in both directions; algorithm aversion was shown where people could freely choose, whereas our participants’ discretion was constrained; a log may show P17’s escalation without revealing whether it reflected trust, uncertainty or institutional pressure, while the account suggests compliance without trust; nurse and model share the same documented observations, so they are not fully independent; and the response proposes a concrete study that would decide between the two readings.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commentary is not listed in the references,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at your request. The response refers to “the commentators” in its text, which is usual when a response is published alongside the commentary. The covering email invites the Editorial Office to add a formal citation if house style requires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What we took from the alternative draft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alternative draft you supplied was calm and precise but conceded almost every point and used little evidence from our data. The final response keeps our firm, evidence-based defence and adds the alternative’s best elements: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 adopted from the alternative draft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Where it appears in the final response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Balanced thesis: reported adjustment of trust does not establish accurate calibration, but understanding how nurses interpret alerts is a distinct contribution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1, Introduction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Precise reformulation: participants described adjusting their trust; accuracy was not evaluated. “Correctly dismissing” read as dismissing an alert the nurse judged unhelpful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2,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Their reading, as they frame it, is a hypothesis; interviews cannot show how far each reading explains the trajectory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is incomplete in both directions (averted deterioration; recognised deterioration reveals a missing warning)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nurse and a model can agree and both be wrong; an anchored assessment cannot be an independent standard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4,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Evaluation specifics: outcomes, prediction horizons, thresholds, effects of intervention, periods without alerts, independently ascertained deterioration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Sections 4 and 5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recommendation, not a tested intervention; accountability should follow clinical reasoning, not conformity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et al.: explanations did not mitigate biased predictions; relevance to nursing surveillance untested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Distinguish confidence, reported trust and observed reliance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P14’s “when it would miss” is perceived, not verified, knowledge: nurses can learn only the misses they catch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Judge decisions on the information available at the time, not on outcomes (hindsight)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How the response was checked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Three rounds of independent review: reference verifiers, fidelity checkers (every statement about our article and the commentary), and adversarial reviewers writing as the commentators and as the co-editors, plus a comparison with the alternative draft.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All 32 quotations were checked by script, character for character: 22 against our published article, 7 against the commentary, and 3 against external sources (Blumer, Tanner).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new data, participant quotations or claims beyond the published article were introduced. Participant codes are used only for things those participants said.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Word count: 1,460 words of main text including headings (1,474 including the 14-word title), within the 1,500-word limit however it is counted.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Point-by-point map: commentary → our response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Commentary point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Our response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Grounding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Interviews cannot observe automation-bias errors (a behavioural construct).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Agreed: no interview can capture an unrecognised error, and we claimed to detect none. Automation bias was a sensitising concept (Blumer). Participants described the pull towards the aid; such reliance becomes bias only when the aid errs.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Article 4.2; 5.1.1.1; 5.1.4.1; Parasuraman &amp; Manzey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From accounts of trust to “calibrated”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 that calibration needs a reference. “Actively calibrated” suggests more than the design supports: participants described adjusting trust; accuracy was not evaluated. Limitations already drew this line.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Abstract; 6.1; 6.2; 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Specificity and differentiated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Differentiation is not calibration. Self-report reaches trust as an attitude; appropriateness needs behavioural and reference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&amp; See; Kohn et al.; P14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&amp; Wilson.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for explanations of why participants trusted. Our other claims rest on episodes and reported practices and meanings no audit log records.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P19, P06, P05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Theory is already dynamic.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Accepted; “complicate” overstated. Our contribution is nursing content for Lee &amp; See’s organisational and cultural context.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6.1; Themes 3–4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asymmetry; “complementary reading”.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complementary; gap admitted. Their reading is, as they frame it, a hypothesis. Feedback is incomplete both ways; our data show perceived discordance, not verified misses; surveillance must be protected but is not enough; nurse-facing performance reports needed.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5.1.1.3; 6.1; 7–26 months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Algorithm aversion (Dietvorst).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Shown where people could freely choose; our participants’ discretion was constrained. P17: compliance without trust. Silent override adds an organisational layer (P16).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5.1.2.3; Dietvorst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requires a reference; anchoring; concordant error.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Accepted, with a structural reason (shared documented observations) and evidence (Schwartz et al.). Bedside judgement guides the response; only independent, outcome-linked evaluation can establish calibration.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P03; Tanner; Schwartz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local performance estimates; Wong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Conceded. As they note, Wong concerned another model; its lesson transfers. Local evaluation specifics given.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Wong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Symmetric capture; override-only field.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recommendation. Symmetric, log-based capture welcomed, including periods without alerts; single-click acknowledgement for every alert.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Behavioural designs; Jabbour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going further than our proposal; feasible via simulation and vignettes; caution about explanations; a decisive test proposed.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6.4; P05; Jabbour et al.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Reference verification (12 references)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Direct access to Crossref, doi.org, PubMed, JSTOR and Wiley was blocked in our working environment, so every reference was verified in independent rounds using web-search records of the publisher and PubMed pages and the Consensus academic index, which reports DOIs and abstracts. Reviewers also checked that each source supports the exact sentence citing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900"/>
        <w:gridCol w:w="1150"/>
        <w:gridCol w:w="4526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Verification notes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Samy R, Ramadan OME, Elsayed GEA. Nurs Crit Care 2026;31(5):e70620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PubMed PMID 42598921 and PMC13474463: 2026 Sep;31(5):e70620; doi:10.1111/nicc.70620.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 S. Interpretive Description. 2nd ed. Routledge; 2016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WorldCat OCLC 928613451: second edition, Routledge, New York, 2016.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Blumer H. Am Sociol Rev 1954;19(1):3-10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Both quoted phrases on p. 7. DOI omitted: the JSTOR DOI could not be confirmed, which is acceptable for a 1954 article.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Parasuraman R, Manzey DH. Hum Factors 2010;52(3):381-410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Abstract: “Automation bias results in making both omission and commission errors when decision aids are imperfect”.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JD, See KA. Hum Factors 2004;46(1):50-80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as correspondence between trust and capabilities; trust defined as an attitude (p. 54); dynamics and context in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Kohn SC, et al. Front Psychol 2021;12:604977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Classifies trust measures as self-report, behavioural and physiological, including trust attitudes.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RE, Wilson TD. Psychol Rev 1977;84(3):231-259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 limits the critique to access to “higher order cognitive processes”.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Dietvorst BJ, Simmons JP, Massey C. J Exp Psychol Gen 2015;144(1):114-126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25401381. Participants chose whether to tie incentives to algorithm or human forecasts.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Tanner CA. J Nurs Educ 2006;45(6):204-211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16780008. Quotation is conclusion 2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Schwartz JM, et al. JMIR Hum Factors 2022;9(2):e33960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35550304. 17 clinicians: concordance between their impressions and system predictions influenced perceived accuracy.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Wong A, et al. JAMA Intern Med 2021;181(8):1065-1070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Epic Sepsis Model; AUC 0.63; missed 67% of sepsis cases.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S, Fouhey D, Shepard S, et al. JAMA 2023;330(23):2275-2284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doi:10.1001/jama.2023.22295. Vignette study of hospitalist physicians, nurse practitioners and physician assistants: “commonly used image-based AI model explanations did not mitigate this harmful effect”.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Items to confirm before sending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Both co-authors approve the final response, and agree to Email 1 being sent now.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Funding statement: “This response received no specific funding.” Confirm this is correct (the original study was funded by Najran University, grant NU/CPL/MRC/14/4617-1).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If the editors ask for the commentary to be cited formally, add it as reference 1 once its authors and DOI are known; the text needs no other change.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closing sentence names the commentators’ question (‘Calibrated to what?’) as the right question. This attributes their words without citing the commentary; keep it unless you prefer no reference to their wording at all.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Before proofs, re-check our quotations of the commentary against its final published version, in case the commentators revise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Private risk note: citation issues in our published article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commentators did not raise any of these, and the response does not mention them. A close reader comparing the two papers could notice them, so all authors should know. Whether to ask Wiley for a correction is the authors’ decision. The response itself cites Thorne, Tanner, Lee &amp; See and Parasuraman &amp; Manzey correctly, which quietly strengthens our theoretical footing.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200"/>
        <w:gridCol w:w="26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Location in article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 cited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Problem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Clinical judgement “following Tanner”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[22–24] Zocco &amp; Ferro; Li et al.; O’Connor et al.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None is Tanner; Tanner (2006) is absent from the reference list.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4.2,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Automation bias theory (omission and commission tendencies)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[36] Allen et al., Lancet Primary Care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Not an originating automation-bias source; Parasuraman &amp; Manzey, Skitka et al. and Lee &amp; See are cited nowhere.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2; 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Nurses’ involvement in ML decision support; probabilistic outputs of decision support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[20] Mrayyan et al. (concept analysis of autonomy)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either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Introduction,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 deterioration models improve outcomes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[3] Mousavi Shabestari et al. (uncertainty in decision-making)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the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“human factors literature … asymmetric accountability”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[55, 56] two nursing-autonomy studies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Neither is human-factors literature.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4.1,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“as articulated by Thorne”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[30] Wilson 2025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Thorne’s own text not cited (minor).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“In critical care, where surveillance is central … profoundly professional in its effects.”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Sentence appears twice in consecutive paragraphs.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Timeline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Now: send Email 1 (02_Email_1_Confirm_Intention.docx) using “Reply all”.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Within the week: co-authors review 01_Response_to_Commentary_NICC.docx and confirm approval and the Funding statement.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By 25 October 2026: send Email 2 (03_Email_2_Submission_Cover.docx) to all in copy, with the response attached. Do not attach this briefing.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briefing: our response to the commentary on our NICC article</dc:title>
  <dc:creator>Osama Mohamed Elsayed Ramadan</dc:creator>
  <cp:lastModifiedBy>Un-named</cp:lastModifiedBy>
  <cp:revision>1</cp:revision>
  <dcterms:created xsi:type="dcterms:W3CDTF">2026-10-09T00:31:06.962Z</dcterms:created>
  <dcterms:modified xsi:type="dcterms:W3CDTF">2026-10-09T00:31:06.962Z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