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sz w:val="28"/>
        </w:rPr>
        <w:t>Response to Reviewer 4 (Midwifery, second round): record of revisions</w:t>
      </w:r>
    </w:p>
    <w:p>
      <w:pPr>
        <w:spacing w:after="280"/>
      </w:pPr>
      <w:r>
        <w:rPr>
          <w:b w:val="0"/>
          <w:i/>
        </w:rPr>
        <w:t>Beyond moral distress: Collective defences and the moral negotiation of obstetric violence by nurses and midwives in Saudi Arabia</w:t>
      </w:r>
    </w:p>
    <w:p>
      <w:pPr>
        <w:spacing w:after="120"/>
      </w:pPr>
      <w:r>
        <w:rPr>
          <w:b/>
          <w:i w:val="0"/>
        </w:rPr>
        <w:t>How to use this document</w:t>
      </w:r>
    </w:p>
    <w:p>
      <w:pPr>
        <w:spacing w:after="120"/>
        <w:jc w:val="both"/>
      </w:pPr>
      <w:r>
        <w:rPr>
          <w:b w:val="0"/>
          <w:i w:val="0"/>
        </w:rPr>
        <w:t>The manuscript was declined by Midwifery after the second round. We revised it fully against Reviewer 4's comments before submitting it to Nursing Inquiry. This document records how each comment was addressed. It can support an appeal to Midwifery, or be kept as the authors' record. Page locations refer to section headings in the highlighted manuscript (Manuscript_Highlighted.docx), where every changed passage is marked in yellow.</w:t>
      </w:r>
    </w:p>
    <w:p>
      <w:pPr>
        <w:spacing w:after="120"/>
      </w:pPr>
      <w:r>
        <w:rPr>
          <w:b/>
          <w:i w:val="0"/>
        </w:rPr>
        <w:t>Correction of two factual errors in the previous version</w:t>
      </w:r>
    </w:p>
    <w:p>
      <w:pPr>
        <w:spacing w:after="120"/>
        <w:jc w:val="both"/>
      </w:pPr>
      <w:r>
        <w:rPr>
          <w:b w:val="0"/>
          <w:i w:val="0"/>
        </w:rPr>
        <w:t>While revising, we identified and corrected two reporting errors that bear directly on Reviewer 4's concerns. We apologise for them.</w:t>
      </w:r>
    </w:p>
    <w:p>
      <w:pPr>
        <w:spacing w:after="120"/>
        <w:ind w:left="340"/>
        <w:jc w:val="both"/>
      </w:pPr>
      <w:r>
        <w:rPr>
          <w:b w:val="0"/>
          <w:i w:val="0"/>
        </w:rPr>
        <w:t>1. Participants. The previous version reported 16 women and two men. This was incorrect. All 18 participants were women. In the study setting, as in Saudi maternity services generally, the care of women in pregnancy, labour and after birth is provided by female nurses and midwives; men do not work in these roles. The "one man" in the earlier text referred to the research team (one male co-author), not to the sample. The abstract, Methods 2.3, Findings 3.1, Table 1, the Discussion and the limitations have been corrected.</w:t>
      </w:r>
    </w:p>
    <w:p>
      <w:pPr>
        <w:spacing w:after="120"/>
        <w:ind w:left="340"/>
        <w:jc w:val="both"/>
      </w:pPr>
      <w:r>
        <w:rPr>
          <w:b w:val="0"/>
          <w:i w:val="0"/>
        </w:rPr>
        <w:t>2. Interviewer. The previous version stated that a male lead researcher conducted the interviews. This was incorrect. All interviews were conducted by two female researchers: the lead researcher (first author, a PhD-prepared nurse academic) and a second female co-author. The male co-author did not recruit, interview or meet participants. Methods 2.5 and 2.9, the limitations and COREQ items 1–8 have been corrected.</w:t>
      </w:r>
    </w:p>
    <w:p>
      <w:pPr>
        <w:spacing w:after="40"/>
      </w:pPr>
      <w:r>
        <w:rPr>
          <w:b/>
          <w:i w:val="0"/>
        </w:rPr>
        <w:t>Comment 4.1</w:t>
      </w:r>
    </w:p>
    <w:p>
      <w:pPr>
        <w:spacing w:after="120"/>
        <w:ind w:left="340"/>
        <w:jc w:val="both"/>
      </w:pPr>
      <w:r>
        <w:rPr>
          <w:b w:val="0"/>
          <w:i/>
        </w:rPr>
        <w:t>The underlying framework that structures this article is the theory of moral distress, yet its limitations are not discussed ... its general character ... can turn it into a catch-all ... Relying on this concept immediately individualizes a difficulty that needs to be understood in relation to the group dynamics at work.</w:t>
      </w:r>
    </w:p>
    <w:p>
      <w:pPr>
        <w:spacing w:after="120"/>
        <w:jc w:val="both"/>
      </w:pPr>
      <w:r>
        <w:rPr>
          <w:b/>
        </w:rPr>
        <w:t xml:space="preserve">Response: </w:t>
      </w:r>
      <w:r>
        <w:t>We agree, and this comment has reshaped the paper. The Introduction now sets out the limitations of moral distress theory: its drift into an umbrella term and its tendency to individualise problems that arise from how work is organised. We now treat moral distress as a sensitising lens only, and at the interpretive stage we read the themes alongside two collective perspectives, the psychodynamics of work and invisible loyalties. The limitation is also stated in 4.5.</w:t>
      </w:r>
    </w:p>
    <w:p>
      <w:pPr>
        <w:spacing w:after="40"/>
      </w:pPr>
      <w:r>
        <w:rPr>
          <w:b/>
        </w:rPr>
        <w:t xml:space="preserve">Location: </w:t>
      </w:r>
      <w:r>
        <w:t>Introduction, sensitising framework paragraph</w:t>
      </w:r>
    </w:p>
    <w:p>
      <w:pPr>
        <w:spacing w:after="240"/>
        <w:ind w:left="340"/>
        <w:jc w:val="both"/>
      </w:pPr>
      <w:r>
        <w:rPr>
          <w:b w:val="0"/>
          <w:i w:val="0"/>
        </w:rPr>
        <w:t>"These concepts are widely used in nursing, but they have recognised limitations. Their expansion into an umbrella term for almost any difficult experience at work has weakened conceptual clarity (McCarthy &amp; Deady, 2008; Morley et al., 2019), and by locating the problem in the individual's mental state they can individualise difficulties that arise from how work, teams and institutions are organised (Varcoe et al., 2012)."</w:t>
      </w:r>
    </w:p>
    <w:p>
      <w:pPr>
        <w:spacing w:after="40"/>
      </w:pPr>
      <w:r>
        <w:rPr>
          <w:b/>
          <w:i w:val="0"/>
        </w:rPr>
        <w:t>Comment 4.2</w:t>
      </w:r>
    </w:p>
    <w:p>
      <w:pPr>
        <w:spacing w:after="120"/>
        <w:ind w:left="340"/>
        <w:jc w:val="both"/>
      </w:pPr>
      <w:r>
        <w:rPr>
          <w:b w:val="0"/>
          <w:i/>
        </w:rPr>
        <w:t>It is difficult to understand how moral distress, which is individual, could contribute to developing respectful maternity care. The literature defines such care as belonging to a global, collective dimension ... teams appear as though it would be enough to provide them with new knowledge.</w:t>
      </w:r>
    </w:p>
    <w:p>
      <w:pPr>
        <w:spacing w:after="120"/>
        <w:jc w:val="both"/>
      </w:pPr>
      <w:r>
        <w:rPr>
          <w:b/>
        </w:rPr>
        <w:t xml:space="preserve">Response: </w:t>
      </w:r>
      <w:r>
        <w:t>We have redefined moral negotiation as a relational and collective concept. It is no longer presented as an extension of individual distress, and respectful maternity care is now framed explicitly as a collective accomplishment. A new Discussion section (4.4) replaces the earlier emphasis on shared language and training with team cohesion, deliberation and solidarity.</w:t>
      </w:r>
    </w:p>
    <w:p>
      <w:pPr>
        <w:spacing w:after="40"/>
      </w:pPr>
      <w:r>
        <w:rPr>
          <w:b/>
        </w:rPr>
        <w:t xml:space="preserve">Location: </w:t>
      </w:r>
      <w:r>
        <w:t>Discussion, opening paragraph</w:t>
      </w:r>
    </w:p>
    <w:p>
      <w:pPr>
        <w:spacing w:after="240"/>
        <w:ind w:left="340"/>
        <w:jc w:val="both"/>
      </w:pPr>
      <w:r>
        <w:rPr>
          <w:b w:val="0"/>
          <w:i w:val="0"/>
        </w:rPr>
        <w:t>"We therefore propose moral negotiation not as a further intrapsychic state but as a concept describing how individual conscience is worked out within collective work norms, team relationships and institutional hierarchy."</w:t>
      </w:r>
    </w:p>
    <w:p>
      <w:pPr>
        <w:spacing w:after="40"/>
      </w:pPr>
      <w:r>
        <w:rPr>
          <w:b/>
          <w:i w:val="0"/>
        </w:rPr>
        <w:t>Comment 4.3</w:t>
      </w:r>
    </w:p>
    <w:p>
      <w:pPr>
        <w:spacing w:after="120"/>
        <w:ind w:left="340"/>
        <w:jc w:val="both"/>
      </w:pPr>
      <w:r>
        <w:rPr>
          <w:b w:val="0"/>
          <w:i/>
        </w:rPr>
        <w:t>The division of labour, traditionally based on a division between the sexes ... is not contextualized (Miller-Rosser, Chapman, Francis, 2006). This issue shapes the reliance on expatriate caregivers, the formation of multicultural care teams, and the difficulties in 'working as a team' ... (Banakhar et al., 2021) ... (Alshehri et al., 2025).</w:t>
      </w:r>
    </w:p>
    <w:p>
      <w:pPr>
        <w:spacing w:after="120"/>
        <w:jc w:val="both"/>
      </w:pPr>
      <w:r>
        <w:rPr>
          <w:b/>
        </w:rPr>
        <w:t xml:space="preserve">Response: </w:t>
      </w:r>
      <w:r>
        <w:t>Section 1.1 has been rewritten to place the study within Saudi Arabia's gendered division of care work, using all three references the reviewer recommended. The Discussion (4.3) links this division to reliance on expatriate staff, to multicultural teams, and to coordination that is left to hierarchy.</w:t>
      </w:r>
    </w:p>
    <w:p>
      <w:pPr>
        <w:spacing w:after="40"/>
      </w:pPr>
      <w:r>
        <w:rPr>
          <w:b/>
        </w:rPr>
        <w:t xml:space="preserve">Location: </w:t>
      </w:r>
      <w:r>
        <w:t>Introduction 1.1; Discussion 4.3</w:t>
      </w:r>
    </w:p>
    <w:p>
      <w:pPr>
        <w:spacing w:after="240"/>
        <w:ind w:left="340"/>
        <w:jc w:val="both"/>
      </w:pPr>
      <w:r>
        <w:rPr>
          <w:b w:val="0"/>
          <w:i w:val="0"/>
        </w:rPr>
        <w:t>"Reliance on expatriate staff is itself partly a consequence of gendered barriers to Saudi women's and men's entry into nursing (Banakhar et al., 2021; Miller-Rosser et al., 2006), and it produces multicultural teams in which differences of language, norms and contractual security can make working as a team difficult and leave coordination to hierarchy (Abou Hashish &amp; Alnajjar, 2025; Khaled Al Abdulqader et al., 2025; Salvador &amp; Almahmoud, 2025)."</w:t>
      </w:r>
    </w:p>
    <w:p>
      <w:pPr>
        <w:spacing w:after="40"/>
      </w:pPr>
      <w:r>
        <w:rPr>
          <w:b/>
          <w:i w:val="0"/>
        </w:rPr>
        <w:t>Comment 4.4</w:t>
      </w:r>
    </w:p>
    <w:p>
      <w:pPr>
        <w:spacing w:after="120"/>
        <w:ind w:left="340"/>
        <w:jc w:val="both"/>
      </w:pPr>
      <w:r>
        <w:rPr>
          <w:b w:val="0"/>
          <w:i/>
        </w:rPr>
        <w:t>The two men participants necessarily face specific difficulties ... Are they Saudi or foreign nationals? Do they actually take part in the care of women ...? Their inclusion in the sample would be problematic.</w:t>
      </w:r>
    </w:p>
    <w:p>
      <w:pPr>
        <w:spacing w:after="120"/>
        <w:jc w:val="both"/>
      </w:pPr>
      <w:r>
        <w:rPr>
          <w:b/>
        </w:rPr>
        <w:t xml:space="preserve">Response: </w:t>
      </w:r>
      <w:r>
        <w:t>The reviewer was right to question this, and doing so exposed an error. There were no male participants. All 18 participants were women, because men do not provide maternity care in the setting. The manuscript now says so explicitly, and Table 1 has been corrected.</w:t>
      </w:r>
    </w:p>
    <w:p>
      <w:pPr>
        <w:spacing w:after="40"/>
      </w:pPr>
      <w:r>
        <w:rPr>
          <w:b/>
        </w:rPr>
        <w:t xml:space="preserve">Location: </w:t>
      </w:r>
      <w:r>
        <w:t>Methods 2.3; Findings 3.1; Table 1</w:t>
      </w:r>
    </w:p>
    <w:p>
      <w:pPr>
        <w:spacing w:after="240"/>
        <w:ind w:left="340"/>
        <w:jc w:val="both"/>
      </w:pPr>
      <w:r>
        <w:rPr>
          <w:b w:val="0"/>
          <w:i w:val="0"/>
        </w:rPr>
        <w:t>"All eligible staff were women: in the study setting, intrapartum and postnatal care of women is provided by female nurses and midwives."</w:t>
      </w:r>
    </w:p>
    <w:p>
      <w:pPr>
        <w:spacing w:after="40"/>
      </w:pPr>
      <w:r>
        <w:rPr>
          <w:b/>
          <w:i w:val="0"/>
        </w:rPr>
        <w:t>Comment 4.5</w:t>
      </w:r>
    </w:p>
    <w:p>
      <w:pPr>
        <w:spacing w:after="120"/>
        <w:ind w:left="340"/>
        <w:jc w:val="both"/>
      </w:pPr>
      <w:r>
        <w:rPr>
          <w:b w:val="0"/>
          <w:i/>
        </w:rPr>
        <w:t>The researcher is a man who conducted interviews on the care of women with caregivers who were almost exclusively female. As a researcher and as a man, he holds a higher status ...</w:t>
      </w:r>
    </w:p>
    <w:p>
      <w:pPr>
        <w:spacing w:after="120"/>
        <w:jc w:val="both"/>
      </w:pPr>
      <w:r>
        <w:rPr>
          <w:b/>
        </w:rPr>
        <w:t xml:space="preserve">Response: </w:t>
      </w:r>
      <w:r>
        <w:t>This was also a reporting error. The interviews were conducted by two female researchers. The reflexivity section now addresses both the advantages and the risks of shared gender, the status the interviewers' academic position may still carry in a strongly hierarchical setting, and the interpretive position of the male co-author, who had no contact with participants.</w:t>
      </w:r>
    </w:p>
    <w:p>
      <w:pPr>
        <w:spacing w:after="40"/>
      </w:pPr>
      <w:r>
        <w:rPr>
          <w:b/>
        </w:rPr>
        <w:t xml:space="preserve">Location: </w:t>
      </w:r>
      <w:r>
        <w:t>Methods 2.5 and 2.9</w:t>
      </w:r>
    </w:p>
    <w:p>
      <w:pPr>
        <w:spacing w:after="240"/>
        <w:ind w:left="340"/>
        <w:jc w:val="both"/>
      </w:pPr>
      <w:r>
        <w:rPr>
          <w:b w:val="0"/>
          <w:i w:val="0"/>
        </w:rPr>
        <w:t>"The male co-author, a senior academic, had no contact with participants; because his gender and status could nonetheless shape interpretation of women's work and care, his readings were discussed and challenged within the predominantly female team."</w:t>
      </w:r>
    </w:p>
    <w:p>
      <w:pPr>
        <w:spacing w:after="40"/>
      </w:pPr>
      <w:r>
        <w:rPr>
          <w:b/>
          <w:i w:val="0"/>
        </w:rPr>
        <w:t>Comment 4.6</w:t>
      </w:r>
    </w:p>
    <w:p>
      <w:pPr>
        <w:spacing w:after="120"/>
        <w:ind w:left="340"/>
        <w:jc w:val="both"/>
      </w:pPr>
      <w:r>
        <w:rPr>
          <w:b w:val="0"/>
          <w:i/>
        </w:rPr>
        <w:t>What is described in Theme 1 ... can be understood as collective defence mechanisms produced by the group, notably in the form of censorship and self-censorship ... precisely within a 'shared work framework', contrary to the interpretation adopted.</w:t>
      </w:r>
    </w:p>
    <w:p>
      <w:pPr>
        <w:spacing w:after="120"/>
        <w:jc w:val="both"/>
      </w:pPr>
      <w:r>
        <w:rPr>
          <w:b/>
        </w:rPr>
        <w:t xml:space="preserve">Response: </w:t>
      </w:r>
      <w:r>
        <w:t>We accept this reading, and the data support it: participants speak of what "we" called things and of learning "which things are not safe to question". Theme 1 has been retitled. Its narrative and its Table 2 entries now describe silence as collectively learned, and Discussion 4.1 interprets it as a collective defensive strategy. We clarify that what was missing was an institutional language, not a shared work framework.</w:t>
      </w:r>
    </w:p>
    <w:p>
      <w:pPr>
        <w:spacing w:after="40"/>
      </w:pPr>
      <w:r>
        <w:rPr>
          <w:b/>
        </w:rPr>
        <w:t xml:space="preserve">Location: </w:t>
      </w:r>
      <w:r>
        <w:t>Findings Theme 1; Table 2; Discussion 4.1</w:t>
      </w:r>
    </w:p>
    <w:p>
      <w:pPr>
        <w:spacing w:after="240"/>
        <w:ind w:left="340"/>
        <w:jc w:val="both"/>
      </w:pPr>
      <w:r>
        <w:rPr>
          <w:b w:val="0"/>
          <w:i w:val="0"/>
        </w:rPr>
        <w:t>"This reading refines our initial interpretation: what was absent was an institutional language for harm, not a shared work framework; the framework that existed tacitly regulated what could be said."</w:t>
      </w:r>
    </w:p>
    <w:p>
      <w:pPr>
        <w:spacing w:after="40"/>
      </w:pPr>
      <w:r>
        <w:rPr>
          <w:b/>
          <w:i w:val="0"/>
        </w:rPr>
        <w:t>Comment 4.7</w:t>
      </w:r>
    </w:p>
    <w:p>
      <w:pPr>
        <w:spacing w:after="120"/>
        <w:ind w:left="340"/>
        <w:jc w:val="both"/>
      </w:pPr>
      <w:r>
        <w:rPr>
          <w:b w:val="0"/>
          <w:i/>
        </w:rPr>
        <w:t>Theme 2 ... In Christophe Dejours's psychodynamics of work, this situation of value conflict is called 'ethical suffering' ... could also be interpreted as a loyalty conflict (Ivan Boszormenyi-Nagy).</w:t>
      </w:r>
    </w:p>
    <w:p>
      <w:pPr>
        <w:spacing w:after="120"/>
        <w:jc w:val="both"/>
      </w:pPr>
      <w:r>
        <w:rPr>
          <w:b/>
        </w:rPr>
        <w:t xml:space="preserve">Response: </w:t>
      </w:r>
      <w:r>
        <w:t>Both interpretations are now developed in a new Discussion section (4.2). The Theme 2 narrative also notes that participants felt pulled between obligations to the woman, to colleagues and seniors, and to their own professional standing.</w:t>
      </w:r>
    </w:p>
    <w:p>
      <w:pPr>
        <w:spacing w:after="40"/>
      </w:pPr>
      <w:r>
        <w:rPr>
          <w:b/>
        </w:rPr>
        <w:t xml:space="preserve">Location: </w:t>
      </w:r>
      <w:r>
        <w:t>Discussion 4.2</w:t>
      </w:r>
    </w:p>
    <w:p>
      <w:pPr>
        <w:spacing w:after="240"/>
        <w:ind w:left="340"/>
        <w:jc w:val="both"/>
      </w:pPr>
      <w:r>
        <w:rPr>
          <w:b w:val="0"/>
          <w:i w:val="0"/>
        </w:rPr>
        <w:t>"The accounts also suggest loyalty conflicts (Boszormenyi-Nagy &amp; Spark, 1973). Participants were bound to the woman, to colleagues, to seniors, to the institution and to their own values, so that loyalty to one party could feel like betrayal of another, as in P16's sense of having 'failed her' while not challenging what was happening."</w:t>
      </w:r>
    </w:p>
    <w:p>
      <w:pPr>
        <w:spacing w:after="40"/>
      </w:pPr>
      <w:r>
        <w:rPr>
          <w:b/>
          <w:i w:val="0"/>
        </w:rPr>
        <w:t>Comment 4.8</w:t>
      </w:r>
    </w:p>
    <w:p>
      <w:pPr>
        <w:spacing w:after="120"/>
        <w:ind w:left="340"/>
        <w:jc w:val="both"/>
      </w:pPr>
      <w:r>
        <w:rPr>
          <w:b w:val="0"/>
          <w:i/>
        </w:rPr>
        <w:t>Theme 3 describes individual defence strategies, including seeking peer support.</w:t>
      </w:r>
    </w:p>
    <w:p>
      <w:pPr>
        <w:spacing w:after="120"/>
        <w:jc w:val="both"/>
      </w:pPr>
      <w:r>
        <w:rPr>
          <w:b/>
        </w:rPr>
        <w:t xml:space="preserve">Response: </w:t>
      </w:r>
      <w:r>
        <w:t>Agreed. Theme 3 is now framed as largely individual and small-group defensive strategies that kept conscience alive but did not change collective norms.</w:t>
      </w:r>
    </w:p>
    <w:p>
      <w:pPr>
        <w:spacing w:after="40"/>
      </w:pPr>
      <w:r>
        <w:rPr>
          <w:b/>
        </w:rPr>
        <w:t xml:space="preserve">Location: </w:t>
      </w:r>
      <w:r>
        <w:t>Findings Theme 3b; Discussion 4.2</w:t>
      </w:r>
    </w:p>
    <w:p>
      <w:pPr>
        <w:spacing w:after="240"/>
        <w:ind w:left="340"/>
        <w:jc w:val="both"/>
      </w:pPr>
      <w:r>
        <w:rPr>
          <w:b w:val="0"/>
          <w:i w:val="0"/>
        </w:rPr>
        <w:t>"Theme 3 then describes largely individual and small-group defensive strategies."</w:t>
      </w:r>
    </w:p>
    <w:p>
      <w:pPr>
        <w:spacing w:after="40"/>
      </w:pPr>
      <w:r>
        <w:rPr>
          <w:b/>
          <w:i w:val="0"/>
        </w:rPr>
        <w:t>Comment 4.9</w:t>
      </w:r>
    </w:p>
    <w:p>
      <w:pPr>
        <w:spacing w:after="120"/>
        <w:ind w:left="340"/>
        <w:jc w:val="both"/>
      </w:pPr>
      <w:r>
        <w:rPr>
          <w:b w:val="0"/>
          <w:i/>
        </w:rPr>
        <w:t>Theme 4 situates these paradoxes (both shield and cage) within the culture, thereby demonstrating how central the cultural context is.</w:t>
      </w:r>
    </w:p>
    <w:p>
      <w:pPr>
        <w:spacing w:after="120"/>
        <w:jc w:val="both"/>
      </w:pPr>
      <w:r>
        <w:rPr>
          <w:b/>
        </w:rPr>
        <w:t xml:space="preserve">Response: </w:t>
      </w:r>
      <w:r>
        <w:t>We now state explicitly that culture is central to every theme, not peripheral.</w:t>
      </w:r>
    </w:p>
    <w:p>
      <w:pPr>
        <w:spacing w:after="40"/>
      </w:pPr>
      <w:r>
        <w:rPr>
          <w:b/>
        </w:rPr>
        <w:t xml:space="preserve">Location: </w:t>
      </w:r>
      <w:r>
        <w:t>Findings Theme 4; Discussion 4.3</w:t>
      </w:r>
    </w:p>
    <w:p>
      <w:pPr>
        <w:spacing w:after="240"/>
        <w:ind w:left="340"/>
        <w:jc w:val="both"/>
      </w:pPr>
      <w:r>
        <w:rPr>
          <w:b w:val="0"/>
          <w:i w:val="0"/>
        </w:rPr>
        <w:t>"Culture was central, rather than peripheral, to the moral negotiations described in every theme."</w:t>
      </w:r>
    </w:p>
    <w:p>
      <w:pPr>
        <w:spacing w:after="40"/>
      </w:pPr>
      <w:r>
        <w:rPr>
          <w:b/>
          <w:i w:val="0"/>
        </w:rPr>
        <w:t>Comment 4.10</w:t>
      </w:r>
    </w:p>
    <w:p>
      <w:pPr>
        <w:spacing w:after="120"/>
        <w:ind w:left="340"/>
        <w:jc w:val="both"/>
      </w:pPr>
      <w:r>
        <w:rPr>
          <w:b w:val="0"/>
          <w:i/>
        </w:rPr>
        <w:t>The interpretations are justified by the chosen theory and function as proof in itself, including for the creation of the notion of moral negotiation.</w:t>
      </w:r>
    </w:p>
    <w:p>
      <w:pPr>
        <w:spacing w:after="120"/>
        <w:jc w:val="both"/>
      </w:pPr>
      <w:r>
        <w:rPr>
          <w:b/>
        </w:rPr>
        <w:t xml:space="preserve">Response: </w:t>
      </w:r>
      <w:r>
        <w:t>This is a fair criticism of circular reasoning. We have (a) added a description of how rival individual, collective and structural or cultural interpretations were tested for each theme; (b) stated that the collective perspectives were applied after the thematic structure was developed; and (c) added a limitation that moral negotiation is a provisional concept, not a finding confirmed by the theories used to frame it.</w:t>
      </w:r>
    </w:p>
    <w:p>
      <w:pPr>
        <w:spacing w:after="40"/>
      </w:pPr>
      <w:r>
        <w:rPr>
          <w:b/>
        </w:rPr>
        <w:t xml:space="preserve">Location: </w:t>
      </w:r>
      <w:r>
        <w:t>Methods 2.1 and 2.7; Discussion 4.5</w:t>
      </w:r>
    </w:p>
    <w:p>
      <w:pPr>
        <w:spacing w:after="240"/>
        <w:ind w:left="340"/>
        <w:jc w:val="both"/>
      </w:pPr>
      <w:r>
        <w:rPr>
          <w:b w:val="0"/>
          <w:i w:val="0"/>
        </w:rPr>
        <w:t>"Moral distress concepts were treated as one possible lens, not as evidence for themselves."</w:t>
      </w:r>
    </w:p>
    <w:p>
      <w:pPr>
        <w:spacing w:after="40"/>
      </w:pPr>
      <w:r>
        <w:rPr>
          <w:b/>
          <w:i w:val="0"/>
        </w:rPr>
        <w:t>Comment 4.11</w:t>
      </w:r>
    </w:p>
    <w:p>
      <w:pPr>
        <w:spacing w:after="120"/>
        <w:ind w:left="340"/>
        <w:jc w:val="both"/>
      </w:pPr>
      <w:r>
        <w:rPr>
          <w:b w:val="0"/>
          <w:i/>
        </w:rPr>
        <w:t>What could have been highlighted is how far the fight against obstetric violence ... require[s] building team cohesion grounded in the possibility of debating these issues and of working in partnership, with solidarity and shared values at work, rather than in the dissemination of knowledge and the promotion of prescribed work rules. This is particularly challenging for these multicultural teams.</w:t>
      </w:r>
    </w:p>
    <w:p>
      <w:pPr>
        <w:spacing w:after="120"/>
        <w:jc w:val="both"/>
      </w:pPr>
      <w:r>
        <w:rPr>
          <w:b/>
        </w:rPr>
        <w:t xml:space="preserve">Response: </w:t>
      </w:r>
      <w:r>
        <w:t>The implications have been rewritten around this point in a new section (4.4), and the abstract and conclusion now carry the same message.</w:t>
      </w:r>
    </w:p>
    <w:p>
      <w:pPr>
        <w:spacing w:after="40"/>
      </w:pPr>
      <w:r>
        <w:rPr>
          <w:b/>
        </w:rPr>
        <w:t xml:space="preserve">Location: </w:t>
      </w:r>
      <w:r>
        <w:t>Discussion 4.4; Conclusion; Abstract</w:t>
      </w:r>
    </w:p>
    <w:p>
      <w:pPr>
        <w:spacing w:after="240"/>
        <w:ind w:left="340"/>
        <w:jc w:val="both"/>
      </w:pPr>
      <w:r>
        <w:rPr>
          <w:b w:val="0"/>
          <w:i w:val="0"/>
        </w:rPr>
        <w:t>"If silence and normalisation are produced collectively, preventing obstetric violence and promoting respectful maternity care cannot rest mainly on individual good practice, the dissemination of knowledge or prescribed work rules."</w:t>
      </w:r>
    </w:p>
    <w:p>
      <w:pPr>
        <w:spacing w:after="120"/>
      </w:pPr>
      <w:r>
        <w:rPr>
          <w:b/>
          <w:i w:val="0"/>
        </w:rPr>
        <w:t>Other changes made while preparing the submission to Nursing Inquiry</w:t>
      </w:r>
    </w:p>
    <w:p>
      <w:pPr>
        <w:spacing w:after="60"/>
        <w:ind w:left="340"/>
        <w:jc w:val="both"/>
      </w:pPr>
      <w:r>
        <w:rPr>
          <w:b w:val="0"/>
          <w:i w:val="0"/>
        </w:rPr>
        <w:t>• Unstructured 187-word abstract; eight keywords; Statement of Significance box removed (not used by Nursing Inquiry).</w:t>
      </w:r>
    </w:p>
    <w:p>
      <w:pPr>
        <w:spacing w:after="60"/>
        <w:ind w:left="340"/>
        <w:jc w:val="both"/>
      </w:pPr>
      <w:r>
        <w:rPr>
          <w:b w:val="0"/>
          <w:i w:val="0"/>
        </w:rPr>
        <w:t>• In-text citations and the reference list converted to APA 7th edition; nine new references added.</w:t>
      </w:r>
    </w:p>
    <w:p>
      <w:pPr>
        <w:spacing w:after="60"/>
        <w:ind w:left="340"/>
        <w:jc w:val="both"/>
      </w:pPr>
      <w:r>
        <w:rPr>
          <w:b w:val="0"/>
          <w:i w:val="0"/>
        </w:rPr>
        <w:t>• Tables and the figure moved after the reference list, as the journal's manuscript order requires.</w:t>
      </w:r>
    </w:p>
    <w:p>
      <w:pPr>
        <w:spacing w:after="60"/>
        <w:ind w:left="340"/>
        <w:jc w:val="both"/>
      </w:pPr>
      <w:r>
        <w:rPr>
          <w:b w:val="0"/>
          <w:i w:val="0"/>
        </w:rPr>
        <w:t>• Ethics committee name and reference number blinded in the manuscript for anonymised review (retained on the title page).</w:t>
      </w:r>
    </w:p>
    <w:p>
      <w:pPr>
        <w:spacing w:after="60"/>
        <w:ind w:left="340"/>
        <w:jc w:val="both"/>
      </w:pPr>
      <w:r>
        <w:rPr>
          <w:b w:val="0"/>
          <w:i w:val="0"/>
        </w:rPr>
        <w:t>• COREQ checklist corrected to match the manuscript: interviewers and gender (items 1–8), sample (12), adequacy statement (22, which previously cited the wrong interview numbers), the non-existent Figure 2 (31), and P11's status as divergence rather than a negative case (32).</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