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sz w:val="28"/>
          <w:szCs w:val="28"/>
        </w:rPr>
        <w:t xml:space="preserve">Supplementary File S2</w:t>
      </w:r>
    </w:p>
    <w:p>
      <w:pPr>
        <w:spacing w:after="120"/>
      </w:pPr>
      <w:r>
        <w:rPr>
          <w:rFonts w:ascii="Arial" w:cs="Arial" w:eastAsia="Arial" w:hAnsi="Arial"/>
          <w:b/>
          <w:bCs/>
          <w:sz w:val="24"/>
          <w:szCs w:val="24"/>
        </w:rPr>
        <w:t xml:space="preserve">Consolidated Criteria for Reporting Qualitative Research (COREQ) — 32-item Checklist</w:t>
      </w:r>
    </w:p>
    <w:p>
      <w:pPr>
        <w:pBdr>
          <w:bottom w:val="single" w:color="2E75B6" w:sz="6" w:space="1"/>
        </w:pBdr>
        <w:spacing w:after="160"/>
      </w:pPr>
      <w:r>
        <w:rPr>
          <w:rFonts w:ascii="Arial" w:cs="Arial" w:eastAsia="Arial" w:hAnsi="Arial"/>
          <w:sz w:val="8"/>
          <w:szCs w:val="8"/>
        </w:rPr>
        <w:t xml:space="preserve"/>
      </w:r>
    </w:p>
    <w:p>
      <w:pPr>
        <w:spacing w:after="120"/>
      </w:pPr>
      <w:r>
        <w:rPr>
          <w:b/>
          <w:rFonts w:ascii="Arial" w:cs="Arial" w:eastAsia="Arial" w:hAnsi="Arial"/>
          <w:sz w:val="20"/>
          <w:szCs w:val="20"/>
        </w:rPr>
        <w:t xml:space="preserve">Study: </w:t>
      </w:r>
      <w:r>
        <w:rPr>
          <w:rFonts w:ascii="Arial" w:cs="Arial" w:eastAsia="Arial" w:hAnsi="Arial"/>
          <w:sz w:val="20"/>
          <w:szCs w:val="20"/>
        </w:rPr>
        <w:t xml:space="preserve">Beyond moral distress: Collective defences and the moral negotiation of obstetric violence by nurses and midwives in Saudi Arabia</w:t>
      </w:r>
    </w:p>
    <w:p>
      <w:pPr>
        <w:spacing w:after="200"/>
      </w:pPr>
      <w:r>
        <w:rPr>
          <w:rFonts w:ascii="Arial" w:cs="Arial" w:eastAsia="Arial" w:hAnsi="Arial"/>
          <w:i/>
          <w:iCs/>
          <w:sz w:val="18"/>
          <w:szCs w:val="18"/>
        </w:rPr>
        <w:t xml:space="preserve">Checklist developed by Tong, Sainsbury &amp; Craig (2007), Int J Qual Health Care 19(6):349–357. Section references correspond to the numbered headings in the manuscript Methods, Findings, Tables, and Supplementary File S1.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850"/>
        <w:gridCol w:w="1100"/>
        <w:gridCol w:w="1500"/>
        <w:gridCol w:w="4350"/>
      </w:tblGrid>
      <w:tr>
        <w:trPr>
          <w:tblHeader/>
        </w:trPr>
        <w:tc>
          <w:tcPr>
            <w:tcW w:type="dxa" w:w="5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185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18"/>
                <w:szCs w:val="18"/>
              </w:rPr>
              <w:t xml:space="preserve">Item</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18"/>
                <w:szCs w:val="18"/>
              </w:rPr>
              <w:t xml:space="preserve">Reported</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18"/>
                <w:szCs w:val="18"/>
              </w:rPr>
              <w:t xml:space="preserve">Section</w:t>
            </w:r>
          </w:p>
        </w:tc>
        <w:tc>
          <w:tcPr>
            <w:tcW w:type="dxa" w:w="435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18"/>
                <w:szCs w:val="18"/>
              </w:rPr>
              <w:t xml:space="preserve">Description / location in manuscript</w:t>
            </w:r>
          </w:p>
        </w:tc>
      </w:tr>
      <w:tr>
        <w:tc>
          <w:tcPr>
            <w:tcW w:type="dxa" w:w="9360"/>
            <w:gridSpan w:val="5"/>
            <w:tcBorders>
              <w:top w:val="single" w:color="BBBBBB" w:sz="1"/>
              <w:left w:val="single" w:color="BBBBBB" w:sz="1"/>
              <w:bottom w:val="single" w:color="BBBBBB" w:sz="1"/>
              <w:right w:val="single" w:color="BBBBBB" w:sz="1"/>
            </w:tcBorders>
            <w:shd w:fill="2E75B6" w:val="clear"/>
            <w:tcMar>
              <w:top w:type="dxa" w:w="70"/>
              <w:left w:type="dxa" w:w="120"/>
              <w:bottom w:type="dxa" w:w="70"/>
              <w:right w:type="dxa" w:w="120"/>
            </w:tcMar>
          </w:tcPr>
          <w:p>
            <w:r>
              <w:rPr>
                <w:rFonts w:ascii="Arial" w:cs="Arial" w:eastAsia="Arial" w:hAnsi="Arial"/>
                <w:b/>
                <w:bCs/>
                <w:color w:val="FFFFFF"/>
                <w:sz w:val="20"/>
                <w:szCs w:val="20"/>
              </w:rPr>
              <w:t xml:space="preserve">Domain 1: Research team and reflexivity</w:t>
            </w:r>
          </w:p>
        </w:tc>
      </w:tr>
      <w:tr>
        <w:tc>
          <w:tcPr>
            <w:tcW w:type="dxa" w:w="9360"/>
            <w:gridSpan w:val="5"/>
            <w:tcBorders>
              <w:top w:val="single" w:color="BBBBBB" w:sz="1"/>
              <w:left w:val="single" w:color="BBBBBB" w:sz="1"/>
              <w:bottom w:val="single" w:color="BBBBBB" w:sz="1"/>
              <w:right w:val="single" w:color="BBBBBB" w:sz="1"/>
            </w:tcBorders>
            <w:shd w:fill="DCE6F1" w:val="clear"/>
            <w:tcMar>
              <w:top w:type="dxa" w:w="50"/>
              <w:left w:type="dxa" w:w="120"/>
              <w:bottom w:type="dxa" w:w="50"/>
              <w:right w:type="dxa" w:w="120"/>
            </w:tcMar>
          </w:tcPr>
          <w:p>
            <w:r>
              <w:rPr>
                <w:rFonts w:ascii="Arial" w:cs="Arial" w:eastAsia="Arial" w:hAnsi="Arial"/>
                <w:b/>
                <w:bCs/>
                <w:i/>
                <w:iCs/>
                <w:color w:val="1F4E79"/>
                <w:sz w:val="18"/>
                <w:szCs w:val="18"/>
              </w:rPr>
              <w:t xml:space="preserve">Personal characteristics</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1</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Interviewer / facilitator</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Methods 2.5</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All individual interviews were conducted by two female researchers: the lead researcher (first author) and a second female co-author.</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2</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Credentials</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Methods 2.5, 2.9</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Lead interviewer: PhD-prepared nurse academic in maternal and child health nursing; second interviewer: female nurse academic co-author.</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3</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Occupation</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Methods 2.5, 2.9</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Nurse academics with clinical and qualitative research experience; neither held any role at the study hospital.</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4</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Gender</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Methods 2.9</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Both interviewers were women, as were all 18 participants. The six-member team comprised five women and one man; the male co-author had no contact with participants and contributed to design, supervision and analytic review of de-identified data.</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5</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Experience and training</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Methods 2.5, 2.9</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The lead researcher has expertise in qualitative nursing research; two structured pre-study reflexive discussions surfaced assumptions and power dynamics before data collection.</w:t>
            </w:r>
          </w:p>
        </w:tc>
      </w:tr>
      <w:tr>
        <w:tc>
          <w:tcPr>
            <w:tcW w:type="dxa" w:w="9360"/>
            <w:gridSpan w:val="5"/>
            <w:tcBorders>
              <w:top w:val="single" w:color="BBBBBB" w:sz="1"/>
              <w:left w:val="single" w:color="BBBBBB" w:sz="1"/>
              <w:bottom w:val="single" w:color="BBBBBB" w:sz="1"/>
              <w:right w:val="single" w:color="BBBBBB" w:sz="1"/>
            </w:tcBorders>
            <w:shd w:fill="DCE6F1" w:val="clear"/>
            <w:tcMar>
              <w:top w:type="dxa" w:w="50"/>
              <w:left w:type="dxa" w:w="120"/>
              <w:bottom w:type="dxa" w:w="50"/>
              <w:right w:type="dxa" w:w="120"/>
            </w:tcMar>
          </w:tcPr>
          <w:p>
            <w:r>
              <w:rPr>
                <w:rFonts w:ascii="Arial" w:cs="Arial" w:eastAsia="Arial" w:hAnsi="Arial"/>
                <w:b/>
                <w:bCs/>
                <w:i/>
                <w:iCs/>
                <w:color w:val="1F4E79"/>
                <w:sz w:val="18"/>
                <w:szCs w:val="18"/>
              </w:rPr>
              <w:t xml:space="preserve">Relationship with participants</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6</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Relationship established</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Methods 2.4, 2.5</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No pre-existing supervisory, managerial, or evaluative relationship existed; the interviewer recruited independently of line management, and participants contacted the researcher directly.</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7</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Participant knowledge of the interviewer</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Methods 2.4</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Participants received a written information sheet at least 48 hours before interview, describing the study aim, voluntary participation, and the researcher’s role; written consent was taken immediately before data collection.</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8</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Interviewer characteristics</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Methods 2.5, 2.9</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Reflexivity and positionality are reported in detail: assumptions, affective responses, professional familiarity, shared gender, academic status and the male co-author's interpretive position were documented in a reflexive journal and reviewed with a peer debriefer.</w:t>
            </w:r>
          </w:p>
        </w:tc>
      </w:tr>
      <w:tr>
        <w:tc>
          <w:tcPr>
            <w:tcW w:type="dxa" w:w="9360"/>
            <w:gridSpan w:val="5"/>
            <w:tcBorders>
              <w:top w:val="single" w:color="BBBBBB" w:sz="1"/>
              <w:left w:val="single" w:color="BBBBBB" w:sz="1"/>
              <w:bottom w:val="single" w:color="BBBBBB" w:sz="1"/>
              <w:right w:val="single" w:color="BBBBBB" w:sz="1"/>
            </w:tcBorders>
            <w:shd w:fill="2E75B6" w:val="clear"/>
            <w:tcMar>
              <w:top w:type="dxa" w:w="70"/>
              <w:left w:type="dxa" w:w="120"/>
              <w:bottom w:type="dxa" w:w="70"/>
              <w:right w:type="dxa" w:w="120"/>
            </w:tcMar>
          </w:tcPr>
          <w:p>
            <w:r>
              <w:rPr>
                <w:rFonts w:ascii="Arial" w:cs="Arial" w:eastAsia="Arial" w:hAnsi="Arial"/>
                <w:b/>
                <w:bCs/>
                <w:color w:val="FFFFFF"/>
                <w:sz w:val="20"/>
                <w:szCs w:val="20"/>
              </w:rPr>
              <w:t xml:space="preserve">Domain 2: Study design</w:t>
            </w:r>
          </w:p>
        </w:tc>
      </w:tr>
      <w:tr>
        <w:tc>
          <w:tcPr>
            <w:tcW w:type="dxa" w:w="9360"/>
            <w:gridSpan w:val="5"/>
            <w:tcBorders>
              <w:top w:val="single" w:color="BBBBBB" w:sz="1"/>
              <w:left w:val="single" w:color="BBBBBB" w:sz="1"/>
              <w:bottom w:val="single" w:color="BBBBBB" w:sz="1"/>
              <w:right w:val="single" w:color="BBBBBB" w:sz="1"/>
            </w:tcBorders>
            <w:shd w:fill="DCE6F1" w:val="clear"/>
            <w:tcMar>
              <w:top w:type="dxa" w:w="50"/>
              <w:left w:type="dxa" w:w="120"/>
              <w:bottom w:type="dxa" w:w="50"/>
              <w:right w:type="dxa" w:w="120"/>
            </w:tcMar>
          </w:tcPr>
          <w:p>
            <w:r>
              <w:rPr>
                <w:rFonts w:ascii="Arial" w:cs="Arial" w:eastAsia="Arial" w:hAnsi="Arial"/>
                <w:b/>
                <w:bCs/>
                <w:i/>
                <w:iCs/>
                <w:color w:val="1F4E79"/>
                <w:sz w:val="18"/>
                <w:szCs w:val="18"/>
              </w:rPr>
              <w:t xml:space="preserve">Theoretical framework</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9</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Methodological orientation and theory</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Introduction; Methods 2.1, 2.7</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Qualitative interpretive description within a constructivist–interpretivist epistemology; Braun and Clarke's reflexive thematic analysis sensitised by moral distress, moral residue and the crescendo effect. The psychodynamics of work and invisible loyalties were applied at the interpretive stage, after themes were developed.</w:t>
            </w:r>
          </w:p>
        </w:tc>
      </w:tr>
      <w:tr>
        <w:tc>
          <w:tcPr>
            <w:tcW w:type="dxa" w:w="9360"/>
            <w:gridSpan w:val="5"/>
            <w:tcBorders>
              <w:top w:val="single" w:color="BBBBBB" w:sz="1"/>
              <w:left w:val="single" w:color="BBBBBB" w:sz="1"/>
              <w:bottom w:val="single" w:color="BBBBBB" w:sz="1"/>
              <w:right w:val="single" w:color="BBBBBB" w:sz="1"/>
            </w:tcBorders>
            <w:shd w:fill="DCE6F1" w:val="clear"/>
            <w:tcMar>
              <w:top w:type="dxa" w:w="50"/>
              <w:left w:type="dxa" w:w="120"/>
              <w:bottom w:type="dxa" w:w="50"/>
              <w:right w:type="dxa" w:w="120"/>
            </w:tcMar>
          </w:tcPr>
          <w:p>
            <w:r>
              <w:rPr>
                <w:rFonts w:ascii="Arial" w:cs="Arial" w:eastAsia="Arial" w:hAnsi="Arial"/>
                <w:b/>
                <w:bCs/>
                <w:i/>
                <w:iCs/>
                <w:color w:val="1F4E79"/>
                <w:sz w:val="18"/>
                <w:szCs w:val="18"/>
              </w:rPr>
              <w:t xml:space="preserve">Participant selection</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10</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Sampling</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Methods 2.3</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Purposive maximum-variation sampling across professional role, experience, nationality and clinical unit.</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11</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Method of approach</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Methods 2.4</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Study information was distributed via hospital nursing leadership, but interested staff contacted the lead researcher directly, reducing the influence of line management on participation.</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12</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Sample size</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Methods 2.3; Findings 3.1</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Eighteen (n = 18) female registered nurses and midwives.</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13</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Non-participation</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B8860B"/>
                <w:sz w:val="18"/>
                <w:szCs w:val="18"/>
              </w:rPr>
              <w:t xml:space="preserve">Partially</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Methods 2.3, 2.10</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No participant discontinued an interview or withdrew. The number of eligible staff who did not volunteer was not recorded; a small, unrecorded number of later volunteers were not interviewed once variation and information-power needs were met.</w:t>
            </w:r>
          </w:p>
        </w:tc>
      </w:tr>
      <w:tr>
        <w:tc>
          <w:tcPr>
            <w:tcW w:type="dxa" w:w="9360"/>
            <w:gridSpan w:val="5"/>
            <w:tcBorders>
              <w:top w:val="single" w:color="BBBBBB" w:sz="1"/>
              <w:left w:val="single" w:color="BBBBBB" w:sz="1"/>
              <w:bottom w:val="single" w:color="BBBBBB" w:sz="1"/>
              <w:right w:val="single" w:color="BBBBBB" w:sz="1"/>
            </w:tcBorders>
            <w:shd w:fill="DCE6F1" w:val="clear"/>
            <w:tcMar>
              <w:top w:type="dxa" w:w="50"/>
              <w:left w:type="dxa" w:w="120"/>
              <w:bottom w:type="dxa" w:w="50"/>
              <w:right w:type="dxa" w:w="120"/>
            </w:tcMar>
          </w:tcPr>
          <w:p>
            <w:r>
              <w:rPr>
                <w:rFonts w:ascii="Arial" w:cs="Arial" w:eastAsia="Arial" w:hAnsi="Arial"/>
                <w:b/>
                <w:bCs/>
                <w:i/>
                <w:iCs/>
                <w:color w:val="1F4E79"/>
                <w:sz w:val="18"/>
                <w:szCs w:val="18"/>
              </w:rPr>
              <w:t xml:space="preserve">Setting</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14</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Setting of data collection</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Methods 2.2, 2.5</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A private, non-clinical room within a tertiary maternity referral hospital in central Saudi Arabia.</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15</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Presence of non-participants</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Methods 2.5</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Interviews were individual and conducted privately; no third parties were present.</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16</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Description of sample</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Findings 3.1; Table 1</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Aggregate demographic and professional characteristics (age, experience, role, unit, nationality mix, interview language) are reported in Table 1; individual profiles were withheld to protect anonymity in a single-site study.</w:t>
            </w:r>
          </w:p>
        </w:tc>
      </w:tr>
      <w:tr>
        <w:tc>
          <w:tcPr>
            <w:tcW w:type="dxa" w:w="9360"/>
            <w:gridSpan w:val="5"/>
            <w:tcBorders>
              <w:top w:val="single" w:color="BBBBBB" w:sz="1"/>
              <w:left w:val="single" w:color="BBBBBB" w:sz="1"/>
              <w:bottom w:val="single" w:color="BBBBBB" w:sz="1"/>
              <w:right w:val="single" w:color="BBBBBB" w:sz="1"/>
            </w:tcBorders>
            <w:shd w:fill="DCE6F1" w:val="clear"/>
            <w:tcMar>
              <w:top w:type="dxa" w:w="50"/>
              <w:left w:type="dxa" w:w="120"/>
              <w:bottom w:type="dxa" w:w="50"/>
              <w:right w:type="dxa" w:w="120"/>
            </w:tcMar>
          </w:tcPr>
          <w:p>
            <w:r>
              <w:rPr>
                <w:rFonts w:ascii="Arial" w:cs="Arial" w:eastAsia="Arial" w:hAnsi="Arial"/>
                <w:b/>
                <w:bCs/>
                <w:i/>
                <w:iCs/>
                <w:color w:val="1F4E79"/>
                <w:sz w:val="18"/>
                <w:szCs w:val="18"/>
              </w:rPr>
              <w:t xml:space="preserve">Data collection</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17</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Interview guide</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Methods 2.5; Supplementary File S1</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A bilingual (English/Arabic) semi-structured guide was used, reviewed by two senior nurse researchers and pilot-tested with two maternity nurses excluded from the final sample. The full guide is provided in Supplementary File S1.</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18</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Repeat interviews</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8A8A8A"/>
                <w:sz w:val="18"/>
                <w:szCs w:val="18"/>
              </w:rPr>
              <w:t xml:space="preserve">No</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Methods 2.5</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Repeat interviews were not conducted; each participant was interviewed once.</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19</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Audio / visual recording</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Methods 2.5</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Interviews were audio-recorded with participants’ consent and transcribed verbatim.</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20</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Field notes</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Methods 2.5</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Field notes were written within one hour of each interview, and reflexive memos were maintained throughout data collection.</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21</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Duration</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Methods 2.5</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Interviews lasted 42–74 minutes (mean 54 minutes).</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22</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Data saturation</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Methods 2.3</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Sample adequacy was assessed using Malterud et al.'s information power framework; from interview 12 the team reviewed conceptual yield, and interviews 15–18 principally refined existing interpretations. Saturation was not claimed.</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23</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Transcripts returned</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B8860B"/>
                <w:sz w:val="18"/>
                <w:szCs w:val="18"/>
              </w:rPr>
              <w:t xml:space="preserve">Partially</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Methods 2.6, 2.8</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Verbatim transcripts were not returned to participants; however, a purposive subsample of six participants reviewed summary interpretations (member reflection) to confirm, clarify, or challenge the emerging analysis.</w:t>
            </w:r>
          </w:p>
        </w:tc>
      </w:tr>
      <w:tr>
        <w:tc>
          <w:tcPr>
            <w:tcW w:type="dxa" w:w="9360"/>
            <w:gridSpan w:val="5"/>
            <w:tcBorders>
              <w:top w:val="single" w:color="BBBBBB" w:sz="1"/>
              <w:left w:val="single" w:color="BBBBBB" w:sz="1"/>
              <w:bottom w:val="single" w:color="BBBBBB" w:sz="1"/>
              <w:right w:val="single" w:color="BBBBBB" w:sz="1"/>
            </w:tcBorders>
            <w:shd w:fill="2E75B6" w:val="clear"/>
            <w:tcMar>
              <w:top w:type="dxa" w:w="70"/>
              <w:left w:type="dxa" w:w="120"/>
              <w:bottom w:type="dxa" w:w="70"/>
              <w:right w:type="dxa" w:w="120"/>
            </w:tcMar>
          </w:tcPr>
          <w:p>
            <w:r>
              <w:rPr>
                <w:rFonts w:ascii="Arial" w:cs="Arial" w:eastAsia="Arial" w:hAnsi="Arial"/>
                <w:b/>
                <w:bCs/>
                <w:color w:val="FFFFFF"/>
                <w:sz w:val="20"/>
                <w:szCs w:val="20"/>
              </w:rPr>
              <w:t xml:space="preserve">Domain 3: Analysis and findings</w:t>
            </w:r>
          </w:p>
        </w:tc>
      </w:tr>
      <w:tr>
        <w:tc>
          <w:tcPr>
            <w:tcW w:type="dxa" w:w="9360"/>
            <w:gridSpan w:val="5"/>
            <w:tcBorders>
              <w:top w:val="single" w:color="BBBBBB" w:sz="1"/>
              <w:left w:val="single" w:color="BBBBBB" w:sz="1"/>
              <w:bottom w:val="single" w:color="BBBBBB" w:sz="1"/>
              <w:right w:val="single" w:color="BBBBBB" w:sz="1"/>
            </w:tcBorders>
            <w:shd w:fill="DCE6F1" w:val="clear"/>
            <w:tcMar>
              <w:top w:type="dxa" w:w="50"/>
              <w:left w:type="dxa" w:w="120"/>
              <w:bottom w:type="dxa" w:w="50"/>
              <w:right w:type="dxa" w:w="120"/>
            </w:tcMar>
          </w:tcPr>
          <w:p>
            <w:r>
              <w:rPr>
                <w:rFonts w:ascii="Arial" w:cs="Arial" w:eastAsia="Arial" w:hAnsi="Arial"/>
                <w:b/>
                <w:bCs/>
                <w:i/>
                <w:iCs/>
                <w:color w:val="1F4E79"/>
                <w:sz w:val="18"/>
                <w:szCs w:val="18"/>
              </w:rPr>
              <w:t xml:space="preserve">Data analysis</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24</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Number of data coders</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Methods 2.7, 2.8</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The lead researcher coded the full dataset; a second researcher independently reviewed a 20% subset and raised alternative interpretations for team discussion. Interpretive challenge, not inter-coder reliability, was the goal.</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25</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Description of the coding tree</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Methods 2.7, 2.8; Findings Table 2</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An evolving codebook and decision log formed part of the audit trail; the resulting thematic structure (themes and subthemes) is presented in Table 2.</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26</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Derivation of themes</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Methods 2.1, 2.7</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Themes were developed from the data while sensitised to the theoretical constructs; codes and themes were not predetermined. Rival individual, collective and structural/cultural interpretations were tested for each theme.</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27</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Software</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Methods 2.7</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NVivo 14 was used exclusively for data organisation and retrieval; all coding and analytic decisions were made by the research team.</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28</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Participant checking</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Methods 2.8</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Member reflection was undertaken: six participants (varied by role, experience, and cultural background) reviewed summary interpretations, and their feedback refined the analysis.</w:t>
            </w:r>
          </w:p>
        </w:tc>
      </w:tr>
      <w:tr>
        <w:tc>
          <w:tcPr>
            <w:tcW w:type="dxa" w:w="9360"/>
            <w:gridSpan w:val="5"/>
            <w:tcBorders>
              <w:top w:val="single" w:color="BBBBBB" w:sz="1"/>
              <w:left w:val="single" w:color="BBBBBB" w:sz="1"/>
              <w:bottom w:val="single" w:color="BBBBBB" w:sz="1"/>
              <w:right w:val="single" w:color="BBBBBB" w:sz="1"/>
            </w:tcBorders>
            <w:shd w:fill="DCE6F1" w:val="clear"/>
            <w:tcMar>
              <w:top w:type="dxa" w:w="50"/>
              <w:left w:type="dxa" w:w="120"/>
              <w:bottom w:type="dxa" w:w="50"/>
              <w:right w:type="dxa" w:w="120"/>
            </w:tcMar>
          </w:tcPr>
          <w:p>
            <w:r>
              <w:rPr>
                <w:rFonts w:ascii="Arial" w:cs="Arial" w:eastAsia="Arial" w:hAnsi="Arial"/>
                <w:b/>
                <w:bCs/>
                <w:i/>
                <w:iCs/>
                <w:color w:val="1F4E79"/>
                <w:sz w:val="18"/>
                <w:szCs w:val="18"/>
              </w:rPr>
              <w:t xml:space="preserve">Reporting</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29</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Quotations presented</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Findings 3.2</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Verbatim quotations illustrate each theme and subtheme and are identified by anonymised participant codes (P1–P18).</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30</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Data and findings consistent</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Findings 3.2–3.3</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Interpretive claims are grounded in and consistent with the quoted data, and an analytic narrative links themes to the aim, research questions, and sensitising orientation.</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80"/>
              <w:bottom w:type="dxa" w:w="60"/>
              <w:right w:type="dxa" w:w="80"/>
            </w:tcMar>
          </w:tcPr>
          <w:p>
            <w:r>
              <w:rPr>
                <w:rFonts w:ascii="Arial" w:cs="Arial" w:eastAsia="Arial" w:hAnsi="Arial"/>
                <w:b/>
                <w:bCs/>
                <w:sz w:val="18"/>
                <w:szCs w:val="18"/>
              </w:rPr>
              <w:t xml:space="preserve">31</w:t>
            </w:r>
          </w:p>
        </w:tc>
        <w:tc>
          <w:tcPr>
            <w:tcW w:type="dxa" w:w="18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18"/>
                <w:szCs w:val="18"/>
              </w:rPr>
              <w:t xml:space="preserve">Clarity of major themes</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Findings 3.2; Table 2</w:t>
            </w:r>
          </w:p>
        </w:tc>
        <w:tc>
          <w:tcPr>
            <w:tcW w:type="dxa" w:w="43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18"/>
                <w:szCs w:val="18"/>
              </w:rPr>
              <w:t xml:space="preserve">Four major themes are clearly named, defined and presented, and summarised in Table 2.</w:t>
            </w:r>
          </w:p>
        </w:tc>
      </w:tr>
      <w:tr>
        <w:tc>
          <w:tcPr>
            <w:tcW w:type="dxa" w:w="560"/>
            <w:tcBorders>
              <w:top w:val="single" w:color="BBBBBB" w:sz="1"/>
              <w:left w:val="single" w:color="BBBBBB" w:sz="1"/>
              <w:bottom w:val="single" w:color="BBBBBB" w:sz="1"/>
              <w:right w:val="single" w:color="BBBBBB" w:sz="1"/>
            </w:tcBorders>
            <w:shd w:fill="F2F6FB" w:val="clear"/>
            <w:tcMar>
              <w:top w:type="dxa" w:w="60"/>
              <w:left w:type="dxa" w:w="80"/>
              <w:bottom w:type="dxa" w:w="60"/>
              <w:right w:type="dxa" w:w="80"/>
            </w:tcMar>
          </w:tcPr>
          <w:p>
            <w:r>
              <w:rPr>
                <w:rFonts w:ascii="Arial" w:cs="Arial" w:eastAsia="Arial" w:hAnsi="Arial"/>
                <w:b/>
                <w:bCs/>
                <w:sz w:val="18"/>
                <w:szCs w:val="18"/>
              </w:rPr>
              <w:t xml:space="preserve">32</w:t>
            </w:r>
          </w:p>
        </w:tc>
        <w:tc>
          <w:tcPr>
            <w:tcW w:type="dxa" w:w="18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sz w:val="18"/>
                <w:szCs w:val="18"/>
              </w:rPr>
              <w:t xml:space="preserve">Clarity of minor themes</w:t>
            </w:r>
          </w:p>
        </w:tc>
        <w:tc>
          <w:tcPr>
            <w:tcW w:type="dxa" w:w="11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b/>
                <w:bCs/>
                <w:color w:val="1E7B34"/>
                <w:sz w:val="18"/>
                <w:szCs w:val="18"/>
              </w:rPr>
              <w:t xml:space="preserve">Yes</w:t>
            </w:r>
          </w:p>
        </w:tc>
        <w:tc>
          <w:tcPr>
            <w:tcW w:type="dxa" w:w="150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Methods 2.7; Findings 3.2</w:t>
            </w:r>
          </w:p>
        </w:tc>
        <w:tc>
          <w:tcPr>
            <w:tcW w:type="dxa" w:w="4350"/>
            <w:tcBorders>
              <w:top w:val="single" w:color="BBBBBB" w:sz="1"/>
              <w:left w:val="single" w:color="BBBBBB" w:sz="1"/>
              <w:bottom w:val="single" w:color="BBBBBB" w:sz="1"/>
              <w:right w:val="single" w:color="BBBBBB" w:sz="1"/>
            </w:tcBorders>
            <w:shd w:fill="F2F6FB" w:val="clear"/>
            <w:tcMar>
              <w:top w:type="dxa" w:w="60"/>
              <w:left w:type="dxa" w:w="100"/>
              <w:bottom w:type="dxa" w:w="60"/>
              <w:right w:type="dxa" w:w="100"/>
            </w:tcMar>
          </w:tcPr>
          <w:p>
            <w:r>
              <w:rPr>
                <w:rFonts w:ascii="Arial" w:cs="Arial" w:eastAsia="Arial" w:hAnsi="Arial"/>
                <w:sz w:val="18"/>
                <w:szCs w:val="18"/>
              </w:rPr>
              <w:t xml:space="preserve">Subthemes and divergent accounts are described, including P11's within-subtheme divergence in Theme 1b and positive-care accounts in Theme 4c; P11 was treated as divergence rather than as a negative case.</w:t>
            </w:r>
          </w:p>
        </w:tc>
      </w:tr>
    </w:tbl>
    <w:p>
      <w:pPr>
        <w:spacing w:before="240"/>
      </w:pPr>
      <w:r>
        <w:rPr>
          <w:rFonts w:ascii="Arial" w:cs="Arial" w:eastAsia="Arial" w:hAnsi="Arial"/>
          <w:i/>
          <w:iCs/>
          <w:sz w:val="16"/>
          <w:szCs w:val="16"/>
        </w:rPr>
        <w:t xml:space="preserve">Note. “Partially” denotes items where the manuscript reports the substantive information but a sub-element of the original COREQ prompt was not applicable to the study design (item 13: participants self-initiated contact; item 23: summary interpretations rather than full transcripts were returned for member reflection).</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Supplementary File S2 — COREQ 32-item Checklist   |   Page </w:t>
    </w:r>
    <w:r>
      <w:rPr>
        <w:rFonts w:ascii="Arial" w:cs="Arial" w:eastAsia="Arial" w:hAnsi="Arial"/>
        <w:color w:val="808080"/>
        <w:sz w:val="16"/>
        <w:szCs w:val="16"/>
      </w:rPr>
      <w:fldChar w:fldCharType="begin"/>
      <w:instrText xml:space="preserve">PAGE</w:instrText>
      <w:fldChar w:fldCharType="separate"/>
      <w:fldChar w:fldCharType="end"/>
    </w:r>
    <w:r>
      <w:rPr>
        <w:rFonts w:ascii="Arial" w:cs="Arial" w:eastAsia="Arial" w:hAnsi="Arial"/>
        <w:color w:val="808080"/>
        <w:sz w:val="16"/>
        <w:szCs w:val="16"/>
      </w:rPr>
      <w:t xml:space="preserve"> of </w:t>
    </w:r>
    <w:r>
      <w:rPr>
        <w:rFonts w:ascii="Arial" w:cs="Arial" w:eastAsia="Arial" w:hAnsi="Arial"/>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2026-05-30T23:29:30.084Z</dcterms:created>
  <dcterms:modified xsi:type="dcterms:W3CDTF">2026-05-30T23:29:30.085Z</dcterms:modified>
</cp:coreProperties>
</file>

<file path=docProps/custom.xml><?xml version="1.0" encoding="utf-8"?>
<Properties xmlns="http://schemas.openxmlformats.org/officeDocument/2006/custom-properties" xmlns:vt="http://schemas.openxmlformats.org/officeDocument/2006/docPropsVTypes"/>
</file>