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Intelligence–Generated Versus Student-Generated Mind Maps for Clinical Reasoning in Pediatric Neurotrauma Nursing Education: A Three-Arm Quasi-Experimental Study</w:t>
      </w:r>
    </w:p>
    <w:p>
      <w:r>
        <w:rPr>
          <w:i/>
          <w:color w:val="9C0006"/>
          <w:sz w:val="20"/>
        </w:rPr>
        <w:t>Simulated teaching exemplar. All participants, dates, counts and statistics in the Methods were generated by a seeded simulation for educational purposes. They are fictitious and must not be submitted or cited as study data.</w:t>
      </w:r>
    </w:p>
    <w:p>
      <w:pPr>
        <w:pStyle w:val="Heading1"/>
      </w:pPr>
      <w:r>
        <w:t>1 Introduction</w:t>
      </w:r>
    </w:p>
    <w:p>
      <w:r>
        <w:t>Pediatric neurotrauma includes traumatic injuries to the brain and spinal cord (Khanna et al., 2025). Within this broader field, the present study addressed nursing education concerning pediatric head and brain injury, including traumatic brain injury. Care requires developmentally appropriate neurological assessment, recognition of deterioration, maintenance of oxygenation and circulation, timely escalation and reassessment. These priorities also contribute to limiting secondary injury in severe traumatic brain injury (Kochanek et al., 2019; Chan et al., 2025). Students must connect assessment findings with their clinical significance and justify care priorities as a child’s condition changes. Instruction therefore needs to support the application of knowledge to decisions alongside accurate procedural performance.</w:t>
      </w:r>
    </w:p>
    <w:p>
      <w:r>
        <w:t>Clinical reasoning involves interpreting cues, identifying problems, establishing priorities and goals, acting, evaluating responses and reflecting (Levett-Jones et al., 2010). Knowledge and perceived confidence are related outcomes but do not establish demonstrated clinical performance (Liaw et al., 2012). Simulation makes responses to deterioration observable, while structured explanations can reveal the reasoning behind those responses. The Clinical Reasoning Evaluation Simulation Tool and its Turkish adaptation illustrate this approach; their measurement evidence remains specific to the instruments and contexts studied (Liaw et al., 2018; Bayzat and Dinc, 2025). Assessment in pediatric neurotrauma education should accordingly examine individual performance and explanations on unfamiliar cases, rather than infer reasoning from knowledge or self-report alone.</w:t>
      </w:r>
    </w:p>
    <w:p>
      <w:r>
        <w:t>A flipped classroom provides time for case application and feedback by moving initial study before class. An intervention combining self-regulated learning with flipped teaching improved nursing skills, although its components were evaluated together (Chen and Hung, 2025). A neurotrauma study combining online flipped teaching with case-based learning reported higher post-test knowledge than a historical simulation cohort and increased self-reported confidence within the intervention group; it did not directly assess reasoning performance (Chiannilkulchai and Thongpo, 2026). These findings support examining defined learning activities within a common teaching framework and assessing the outcome those activities are intended to develop.</w:t>
      </w:r>
    </w:p>
    <w:p>
      <w:r>
        <w:t>Mind maps organise information through branches and can make relationships among clinical findings, problems and care actions visible (Wang et al., 2023). Nursing studies have reported benefits for critical-thinking disposition and professional self-concept, or academic achievement and motivation (Yang et al., 2022; Mesk et al., 2026). In pediatric nursing theory, digital mapping was associated with improved self-reported critical-thinking strategy use in a single-group pretest–posttest study (Ibrahim and Hendy, 2026). These findings warrant further investigation, but their outcomes and designs do not establish whether mapping supports independent reasoning about unfamiliar pediatric cases.</w:t>
      </w:r>
    </w:p>
    <w:p>
      <w:r>
        <w:t>The activity performed with a map may matter alongside its source. Generative learning involves selecting relevant information, organising it and integrating it with prior knowledge (Fiorella and Mayer, 2016). Constructing a map requires students to generate and connect its content; examining and revising a supplied map provides an initial structure while requiring active interpretation. Cognitive load theory offers a complementary rationale for supplied structure, without establishing a superior strategy in this setting (Sweller et al., 2019). In adjacent concept-mapping research, preparation influenced learning, whereas construction versus study during the subsequent learning phase did not show a main effect (Lenski et al., 2022). A university writing experiment likewise found greater essay-score gains with generative artificial intelligence (AI) support without corresponding differences in knowledge gain or transfer (Fan et al., 2025). The quality of an assisted product therefore needs to be distinguished from what a learner can subsequently demonstrate independently.</w:t>
      </w:r>
    </w:p>
    <w:p>
      <w:r>
        <w:t>Nursing evidence concerning generative AI also varies by task and outcome. AI-supported case analysis improved scored case-management performance, whereas AI training in nursing-process work produced lower, indicating better, self-reported Problem Solving Inventory scores (Akutay et al., 2024; Arkan et al., 2025). Findings are not uniformly favourable: textbook-supported groups outperformed AI-supported groups on a composite nursing-process rubric incorporating clinical reasoning in a pediatric case activity (Shin et al., 2024). These results support evaluating AI-supported teaching through clearly specified activities, clinically reviewed content and assessments that distinguish performance from perception.</w:t>
      </w:r>
    </w:p>
    <w:p>
      <w:r>
        <w:t>AI-assisted mapping already has precedents in nursing education. Chang and Su (2025) incorporated AI-generated mind maps within a broader teaching strategy. Dwiarini et al. (2026) combined AI-assisted concept mapping, virtual cases and reflection within an assessment, diagnosis, planning, implementation and evaluation framework, with clinical reasoning measured through self-report. These multicomponent interventions leave unresolved the comparative educational value of supplying clinically reviewed AI-generated maps and supporting students’ own map construction within the same curriculum. An active group completing case analysis without maps can further establish how these strategies compare within the shared teaching context. The contribution of the present study was this defined instructional comparison, focused on individual reasoning demonstrated without instructional aids.</w:t>
      </w:r>
    </w:p>
    <w:p>
      <w:r>
        <w:t>This three-arm quasi-experimental study aimed to compare clinical reasoning performance among third-year nursing students using clinically reviewed AI-generated mind maps, student-generated mind maps or structured case analysis without maps within a common flipped-classroom framework. It was conducted in the Pediatric Clinical Skills Laboratory, Faculty of Nursing, Tanta University, Egypt, and addressed pediatric head and brain injury care. The primary outcome was individual performance and elicited explanations on previously unseen simulated cases; knowledge and observed procedural skills were secondary outcomes. Because map source and learner activity differed, the comparison evaluated instructional strategies rather than an isolated effect of AI generation. The principal research question was whether post-instruction clinical reasoning performance differed among the strategies after accounting for baseline performance and the section-based teaching structure.</w:t>
      </w:r>
    </w:p>
    <w:p>
      <w:pPr>
        <w:pStyle w:val="Heading1"/>
      </w:pPr>
      <w:r>
        <w:t>2 Methods</w:t>
      </w:r>
    </w:p>
    <w:p>
      <w:pPr>
        <w:pStyle w:val="Heading2"/>
      </w:pPr>
      <w:r>
        <w:t>2.1 Design, reporting and protocol history</w:t>
      </w:r>
    </w:p>
    <w:p>
      <w:pPr/>
      <w:r>
        <w:t>This was a concurrent, controlled, three-arm quasi-experimental study with baseline and post-instruction assessments. Intact laboratory sections were allocated nonrandomly to clinically reviewed AI-generated mind maps, student-generated mind maps or structured case-analysis worksheets without maps. Sections were the allocation units, groups within sections were the teaching units and students were the outcome-measurement and analysis units. All arms received the same flipped preparation, curriculum, contact time, teaching cases, simulation practice and feedback criteria; the arms differed only in the source of the case representation and the learner activity performed with it (Table 1). Because map source and learner activity varied together, the comparison evaluated instructional strategies rather than an isolated effect of AI generation. Reporting follows the TREND statement for nonrandomised evaluations, TIDieR and GREET for intervention description and the reporting guidelines for health care simulation research (Des Jarlais et al., 2004; Hoffmann et al., 2014; Cheng et al., 2016; Phillips et al., 2016).</w:t>
      </w:r>
    </w:p>
    <w:p>
      <w:pPr/>
      <w:r>
        <w:t>The study was not registered in a public registry. The protocol and statistical analysis plan (version 1) were dated 15 November 2025, before ethics approval and data collection. Masked rating was completed on 11 June 2026, and the database was locked on 25 June 2026. Version 2 of the analysis plan was finalised and time-stamped at 09:30 on 30 June 2026, and the independent custodian released the strategy code key at 15:00 on the same day. Version 2 made four changes, none of which altered the outcomes, primary model, contrasts or significance level. It set the number of imputations at 50 and named the imputation software; it added standardised effect sizes and reporting of intraclass correlations; it specified cluster-bootstrap confidence intervals for agreement statistics; and it added a cluster-robust sensitivity rule for unequal residual variance. Analyses introduced in version 2 are identified as such.</w:t>
      </w:r>
    </w:p>
    <w:p>
      <w:pPr/>
      <w:r>
        <w:t>This report addresses clinical reasoning, knowledge, procedural performance and implementation. Three exploratory process measures listed in version 1 were also collected: quality scores for the in-class maps and worksheets, a cognitive-load questionnaire and end-of-unit learner satisfaction ratings. None was a primary or secondary outcome. The decision to report them separately was recorded on 25 June 2026, before unmasking. The protocol, both analysis-plan versions and the amendment log are available from the corresponding author on reasonable request.</w:t>
      </w:r>
    </w:p>
    <w:p>
      <w:pPr/>
      <w:r>
        <w:t>The sequence of procedures was as follows. Ethics approval was granted on 15 December 2025. Two-round expert review of the instruments and assessment cases took place from 16 December 2025 to 8 January 2026, candidate AI outlines were generated on 5–8 January, clinical review of the maps took place on 11–15 January, and map content was frozen on 19 January 2026. External piloting followed on 18–22 January, and recruitment and consent took place on 25–27 January. Baseline simulation and procedural assessment ran from 1 to 10 February, the baseline knowledge test was held on 11 February and allocation was applied on 12 February. Orientation took place on 15–17 February, and teaching ran from 22 February to 17 March 2026. Post-instruction simulation and procedural assessment ran from 29 March to 7 April and the post-instruction knowledge test was held on 8 April. Materials were released to all arms on 9 April, raters were trained on 12–13 April and masked rating took place from 14 April to 11 June 2026.</w:t>
      </w:r>
    </w:p>
    <w:p>
      <w:pPr>
        <w:pStyle w:val="Heading2"/>
      </w:pPr>
      <w:r>
        <w:t>2.2 Setting and participants</w:t>
      </w:r>
    </w:p>
    <w:p>
      <w:pPr/>
      <w:r>
        <w:t>The study was embedded in the compulsory third-year Pediatric Nursing course in the Pediatric Clinical Skills Laboratory, Faculty of Nursing, Tanta University, Egypt, during the second semester of the 2025–2026 academic year. Before the study, the faculty had timetabled the 450 enrolled students into 15 laboratory sections of 30 students. Laboratory sessions ran on Sundays, Mondays and Tuesdays, and six sections met in the afternoon. Within each section, the faculty formed six groups of five students in alphabetical roster order at the start of the semester, before allocation, and the groups remained unchanged throughout the unit. Five facilitators each taught three sections, one on each teaching day. Two were assistant professors and three were lecturers in pediatric nursing, with 6 to 14 years of pediatric teaching experience (median 9 years). English was the language of the instructional materials and knowledge test; students could explain their reasoning in Arabic or English during assessment.</w:t>
      </w:r>
    </w:p>
    <w:p>
      <w:pPr/>
      <w:r>
        <w:t>Students enrolled in the course for the first time were eligible. Students repeating the course or reporting previous structured neurotrauma simulation training outside the curriculum were to be excluded. No enrolled student met an exclusion criterion, so all 450 were eligible. Recruitment took place on 25–27 January 2026, after ethics approval and before baseline assessment. It was conducted by a researcher with no teaching or grading role, before allocation was determined. Written information was provided in Arabic and English. Students were informed that the teaching was part of the curriculum irrespective of participation and that declining or withdrawing would not affect grades, standing or access to teaching. All 450 students provided written consent. Attendance did not determine research eligibility.</w:t>
      </w:r>
    </w:p>
    <w:p>
      <w:pPr/>
      <w:r>
        <w:t>Baseline variables were age, sex, previous-year grade point average (GPA), English course grade, number of previous simulation sessions, previous mind-mapping use, previous generative AI use and previous exposure to children with head injury during clinical placements. GPA and English course grade were obtained from authorised faculty records; the remaining variables were collected by questionnaire at the baseline visit, where completeness was checked before the student left. All baseline variables were complete. Preparation engagement and attendance were recorded separately as implementation variables.</w:t>
      </w:r>
    </w:p>
    <w:p>
      <w:pPr>
        <w:pStyle w:val="Heading2"/>
      </w:pPr>
      <w:r>
        <w:t>2.3 Sample size and precision</w:t>
      </w:r>
    </w:p>
    <w:p>
      <w:pPr/>
      <w:r>
        <w:t>The eligible cohort was recruited by census, so enrolment and the fixed number of sections determined the sample size. Precision was planned for the principal contrast between the two mapping strategies on the primary outcome. A 2.5-point difference on the 0–24 reasoning score was specified as the smallest educationally important difference. It corresponds to half a standard deviation and to one higher score level in at least two of the eight domains on each case; the investigators and two external pediatric nursing educators agreed this value before the study. The remaining planning assumptions were a standard deviation of 5, 10% loss to follow-up, a section intraclass correlation of 0.03, an additional group-within-section intraclass correlation of 0.05 and a baseline–follow-up correlation of 0.50. For sections of 27 analysed students in groups averaging 4.5, the design effect was 1.96, calculated as 1 + (4.5 − 1)(0.03 + 0.05) + (27 − 4.5)(0.03), and baseline adjustment reduced residual variance by 25% (1 − 0.50²). With 135 analysed students per arm, the principal contrast had 84% power at a two-sided α of 0.05. This used a t reference distribution with eight section-level degrees of freedom (15 sections minus three strategy and four facilitator parameters). The minimum detectable difference at 80% power was 0.47 standard deviations (2.3 points). Precision achieved is conveyed by confidence intervals; post hoc power was not calculated.</w:t>
      </w:r>
    </w:p>
    <w:p>
      <w:pPr>
        <w:pStyle w:val="Heading2"/>
      </w:pPr>
      <w:r>
        <w:t>2.4 Nonrandom allocation</w:t>
      </w:r>
    </w:p>
    <w:p>
      <w:pPr/>
      <w:r>
        <w:t>An independent methodologist with no teaching or assessment role applied a deterministic allocation rule on 12 February 2026, after baseline assessment and before orientation. Allocation was constrained within facilitator: each facilitator's three sections received one strategy each. This produced five sections and 150 students per arm and prevented confounding of facilitator with strategy. The constraint permits 6⁵ = 7,776 allocations. Of these, 270 were admissible because each arm had one or two sections on each teaching day and two afternoon sections. From the admissible set, the selected allocation minimised the sum of absolute pairwise standardised differences in section means for GPA, baseline knowledge, English course grade, previous simulation sessions and previous mapping use; remaining ties were resolved by timetable order. In the selected allocation, the largest absolute student-level standardised mean difference between any two arms on these five variables was 0.18. The rule contained no random element. Baseline reasoning recordings were rated only after follow-up and could not inform allocation. Students could not select or change their strategy.</w:t>
      </w:r>
    </w:p>
    <w:p>
      <w:pPr/>
      <w:r>
        <w:t>Random procedures were used for assessment-case assignment and order, knowledge-test form sequence, rating order and the selection of double-rating and monitoring samples. They were generated with the sample function in R version 4.3.1, and the seeds were recorded in the study records. Assessment scheduling included all three strategies under each facilitator on each assessment day, and each student's teaching-to-assessment interval was recorded.</w:t>
      </w:r>
    </w:p>
    <w:p>
      <w:pPr>
        <w:pStyle w:val="Heading2"/>
      </w:pPr>
      <w:r>
        <w:t>2.5 Educational framework and clinical content</w:t>
      </w:r>
    </w:p>
    <w:p>
      <w:pPr/>
      <w:r>
        <w:t>Generative learning informed the comparison between students organising case information themselves and interpreting and revising a supplied representation (Fiorella and Mayer, 2016). Cognitive load theory provided a complementary rationale for initial structure (Sweller et al., 2019). These mechanisms were not tested separately. The Clinical Reasoning Cycle supplied eight common headings for all activities and for assessment: situation, cues, interpretation, problems, goals, actions, evaluation and reflection (Levett-Jones et al., 2010).</w:t>
      </w:r>
    </w:p>
    <w:p>
      <w:pPr/>
      <w:r>
        <w:t>The unit covered the head and brain injury component of pediatric neurotrauma in children aged six months to 12 years. Content addressed developmentally appropriate neurological assessment, recognition of deterioration, oxygenation and circulation, prioritisation, escalation, reassessment and family communication. Materials were reviewed against pediatric head-injury and severe traumatic brain injury guidance, and actions were framed within the nursing responsibilities represented in the cases (Kochanek et al., 2019; National Institute for Health and Care Excellence, 2023; Chan et al., 2025). Fourteen learning objectives were mapped to the eight reasoning headings and to the assessment blueprints of all three outcome instruments. Scenarios followed the Healthcare Simulation Standards of Best Practice for simulation design (Watts et al., 2021).</w:t>
      </w:r>
    </w:p>
    <w:p>
      <w:pPr>
        <w:pStyle w:val="Heading2"/>
      </w:pPr>
      <w:r>
        <w:t>2.6 Cases and AI-generated maps</w:t>
      </w:r>
    </w:p>
    <w:p>
      <w:pPr/>
      <w:r>
        <w:t>Twenty-one fictional cases were developed: one dehydration orientation case for practising the arm-specific procedure, four neurotrauma index cases (one per teaching session), eight teaching-simulation variants (two per session) and eight assessment cases (four young-child and four school-age). Assessment cases were withheld from students, teaching facilitators and simulation instructors, and access was restricted to the assessment team. Each session's shared preparation package comprised narrated slides, a reading guide and an ungraded self-check quiz requiring approximately 60 minutes. It was released through the faculty learning-management system three days before each session and contained no strategy-specific map or worksheet.</w:t>
      </w:r>
    </w:p>
    <w:p>
      <w:pPr/>
      <w:r>
        <w:t>Two educators, a pediatric nursing assistant professor and a nursing education lecturer, neither of whom taught a study section, generated three candidate outlines for each index and orientation case (15 outputs). They used GPT-4o through a web interface on 5–8 January 2026 with default generation settings. Each generation used a separate temporary conversation with memory and custom instructions disabled. Inputs comprised the fictional case, learning objectives, the eight reasoning headings, a team-written guideline summary and formatting constraints: up to three hierarchical levels and short keyword nodes. The complete prompt text was retained. No identifiable patient or student data were entered. Each educator independently rated every candidate from 1 to 5 on accuracy, completeness, prioritisation and age appropriateness (total 4–20). The highest-scoring outline for each case was selected, with ties resolved by discussion; selected outlines scored 16 to 19. Selected outlines were formatted as hierarchical mind maps, and formatting changes were recorded separately from content changes.</w:t>
      </w:r>
    </w:p>
    <w:p>
      <w:pPr/>
      <w:r>
        <w:t>Three independent clinicians, a pediatric nursing professor, a pediatric critical care nurse specialist and a pediatric neurosurgeon, reviewed the selected maps for factual accuracy, age appropriateness, nursing scope, prioritisation, omissions and clarity. Each had at least ten years' relevant experience and no teaching or outcome-rating role. They independently recommended retention, modification, deletion or addition for each node and then resolved disagreements by consensus. Review occurred on 11–15 January, and final map content was frozen on 19 January 2026. Across the five maps, the reviewers deleted 19 AI-generated nodes. Of the 214 final nodes, 148 (69.2%) were unchanged AI content, 41 (19.2%) were modified AI content and 25 (11.7%) were expert additions. The same panel reviewed the facilitator feedback guides for all three arms, so that clinical accuracy was assured equally across strategies. Maps were labelled as prepared with AI assistance and clinically reviewed. Students received the reviewed maps and did not interact with AI during the intervention.</w:t>
      </w:r>
    </w:p>
    <w:p>
      <w:pPr>
        <w:pStyle w:val="Heading2"/>
      </w:pPr>
      <w:r>
        <w:t>2.7 Instructional delivery</w:t>
      </w:r>
    </w:p>
    <w:p>
      <w:pPr/>
      <w:r>
        <w:t>Sections received a 30-minute orientation on 15–17 February 2026, using the dehydration case to introduce the arm-specific procedure. Four weekly 180-minute sessions followed between 22 February and 17 March 2026, giving 750 contact minutes and approximately 240 preparation minutes in every arm. Each session comprised a readiness check (15 minutes), individual case work (30), group work (30), plenary feedback (15), simulation prebriefing (10), two simulation-and-debriefing runs (50), consolidation (20) and summary (10). Individual case work, group work and consolidation contained the arm-specific activities (Table 1); all other segments were common to all arms.</w:t>
      </w:r>
    </w:p>
    <w:p>
      <w:pPr/>
      <w:r>
        <w:t>The six groups of a section completed simulation concurrently in six rooms, each staffed by one simulation instructor. The six instructors were clinical demonstrators with at least three years of pediatric simulation experience who had completed a 40-hour simulation facilitator course. They rotated so that each taught groups in all three arms. Each run comprised a ten-minute scenario followed by a fifteen-minute PEARLS debriefing (Eppich and Cheng, 2015). Three students had active roles in one run and two in the other, giving each student one active role per session; observers used a structured observation guide. Maps and worksheets remained outside the simulation rooms, so simulation practice was identical across arms. Feedback in every arm addressed accurate cues, age-appropriate interpretation, prioritisation, safe actions and reassessment.</w:t>
      </w:r>
    </w:p>
    <w:p>
      <w:pPr>
        <w:pStyle w:val="Heading2"/>
      </w:pPr>
      <w:r>
        <w:t>2.8 Standardisation, masking, fidelity and contamination</w:t>
      </w:r>
    </w:p>
    <w:p>
      <w:pPr/>
      <w:r>
        <w:t>Facilitators received six hours of protocol training in two workshops, using session scripts and arm-specific facilitator guides. Simulation instructors received four hours of training in scenario operation and PEARLS debriefing. Eight standardised parents and four scenario operators received six hours of separate training on scripts, cue timing and scripted responses. Assessment staff were not informed of students' allocation.</w:t>
      </w:r>
    </w:p>
    <w:p>
      <w:pPr/>
      <w:r>
        <w:t>Students and facilitators knew the learning activity. Outcome raters were masked to strategy and occasion. An independent custodian retained the code key; recordings received neutral identifiers, date overlays were removed and rating order was randomised across strategies and occasions. Students were asked not to mention their learning activity during assessment, and raters documented any disclosure. The statistician worked with strategy labels coded A, B and C until the code key was released after the analysis plan was finalised.</w:t>
      </w:r>
    </w:p>
    <w:p>
      <w:pPr/>
      <w:r>
        <w:t>Printed materials were distributed and collected in each session, no electronic copies were issued, and all-arm access was provided on 9 April 2026 after follow-up. Attendance was recorded on session registers. Preparation engagement was taken from learning-management-system logs as viewing at least 80% of the narrated slides and completing the self-check quiz before the session. Active simulation roles and product submission were also recorded. Completion of instruction was defined as attendance at three or more of the four teaching sessions. At the follow-up visit, students reported cross-arm material use, outside AI use for this unit, additional tutoring and advance knowledge of assessment cases. These single yes-or-no items were analysed individually as implementation information and were not summed into a scale.</w:t>
      </w:r>
    </w:p>
    <w:p>
      <w:pPr/>
      <w:r>
        <w:t>All orientation and teaching sessions were audio-recorded. Eight sessions per arm (24 of 75) were selected by stratified random sampling across facilitators and session numbers. Two coders with no teaching role coded them using an 18-item fidelity checklist covering segment timing, delivery of the common feedback criteria, required arm components and the absence of cross-arm content. Eight sessions were coded by both coders. Their agreement across 144 checklist decisions was 95.1% (Cohen's kappa 0.79). Deviations were logged with date, section, nature and corrective action, and fidelity is reported by arm.</w:t>
      </w:r>
    </w:p>
    <w:p>
      <w:pPr>
        <w:pStyle w:val="Heading2"/>
      </w:pPr>
      <w:r>
        <w:t>2.9 Outcomes and assessment procedures</w:t>
      </w:r>
    </w:p>
    <w:p>
      <w:pPr/>
      <w:r>
        <w:t>The primary outcome was clinical reasoning performance, measured as the post-instruction PN-CRER occasion score. Secondary outcomes were knowledge (PNNKT) and procedural accuracy (PNPSC). Table 2 gives each measure, its score range, administration and timing. Baseline simulation and skills assessment occurred on 1–10 February 2026, followed by the knowledge test on 11 February. Post-instruction simulation and skills assessment occurred on 29 March–7 April, followed by the knowledge test on 8 April. Performance assessment took place 12–23 days after each student's final teaching session, and the knowledge test 22–24 days after it. There was no delayed retention assessment. In total, 1,758 case recordings (900 at baseline and 858 after instruction) and 879 procedural recordings were obtained.</w:t>
      </w:r>
    </w:p>
    <w:p>
      <w:pPr>
        <w:pStyle w:val="Heading3"/>
      </w:pPr>
      <w:r>
        <w:t>2.9.1 Simulation-based assessment</w:t>
      </w:r>
    </w:p>
    <w:p>
      <w:pPr/>
      <w:r>
        <w:t>At each occasion, students individually completed one young-child case (aged 9–18 months) and one school-age case (aged 5–8 years) from the eight-case assessment bank. Case assignment and order were randomised under constraints that prevented a student from meeting the same case twice and balanced case use within sections. The expert panel reviewed the cases for comparable severity, cue timing, decision points and critical actions. Each ten-minute scenario used a standardised parent, a simulated monitor and scripted clinician responses. Three deterioration triggers occurred at fixed times (minutes 3, 6 and 8), and responses to specified student actions followed the scenario script.</w:t>
      </w:r>
    </w:p>
    <w:p>
      <w:pPr/>
      <w:r>
        <w:t>Young-child cases used a high-fidelity infant simulator representing a 12-month-old child, and school-age cases used a high-fidelity pediatric simulator representing a five-year-old child; age, weight and equipment sizes were stated in each case and monitor parameters were set to age-appropriate values. Three findings could not be physically reproduced with sufficient fidelity: anterior fontanelle tension, pupillary asymmetry and reactivity, and abnormal posturing. They were presented as standardised verbal cues from the scenario operator immediately after the student performed the corresponding examination. A finding was therefore available only when it had been assessed, and the case key credited the examination rather than the cue. Equipment and cue presentation were identical for all arms.</w:t>
      </w:r>
    </w:p>
    <w:p>
      <w:pPr/>
      <w:r>
        <w:t>Each case was followed by a structured explanation of up to five minutes, prompted by six prerecorded neutral prompts in a fixed order, with English audio and Arabic text. Students responded in Arabic or English, and bilingual raters judged clinical content rather than language fluency. No maps, AI, notes or feedback were available. The procedural station followed the two cases during the same visit, and knowledge testing followed completion of all performance assessments to avoid cueing case responses. Assessments were video-recorded and did not contribute to course grades. All students signed an undertaking not to discuss assessment content.</w:t>
      </w:r>
    </w:p>
    <w:p>
      <w:pPr>
        <w:pStyle w:val="Heading3"/>
      </w:pPr>
      <w:r>
        <w:t>2.9.2 Pediatric Neurotrauma Clinical Reasoning Evaluation Rubric</w:t>
      </w:r>
    </w:p>
    <w:p>
      <w:pPr/>
      <w:r>
        <w:t>The investigator-developed PN-CRER contained eight domains corresponding to the Clinical Reasoning Cycle. Each domain was scored 0–3 against behavioural descriptors and case-specific keys: 0, no evidence; 1, limited or substantially incorrect evidence; 2, substantially correct but incomplete evidence; and 3, complete and accurate evidence meeting the keyed criteria. The scoring manual specified the evidence source for each domain:</w:t>
      </w:r>
    </w:p>
    <w:p>
      <w:pPr>
        <w:pStyle w:val="ListBullet"/>
      </w:pPr>
      <w:r>
        <w:t>Situation and cues: observed performance supplemented by the structured explanation.</w:t>
      </w:r>
    </w:p>
    <w:p>
      <w:pPr>
        <w:pStyle w:val="ListBullet"/>
      </w:pPr>
      <w:r>
        <w:t>Interpretation, problems, goals and reflection: the structured explanation.</w:t>
      </w:r>
    </w:p>
    <w:p>
      <w:pPr>
        <w:pStyle w:val="ListBullet"/>
      </w:pPr>
      <w:r>
        <w:t>Actions: observed performance only.</w:t>
      </w:r>
    </w:p>
    <w:p>
      <w:pPr>
        <w:pStyle w:val="ListBullet"/>
      </w:pPr>
      <w:r>
        <w:t>Evaluation: observed reassessment supplemented by the explanation.</w:t>
      </w:r>
    </w:p>
    <w:p>
      <w:pPr/>
      <w:r>
        <w:t>A keyed action that a student stated but did not perform could score no more than 1 in the actions domain. A keyed critical safety error capped the affected domain at 1. Domain scores summed to a case total of 0–24, and the mean of the two case totals formed the occasion score (0–24); higher scores indicated better assessed performance. PN-CRER was a new instrument; measurement properties published for the Clinical Reasoning Evaluation Simulation Tool were not attributed to it.</w:t>
      </w:r>
    </w:p>
    <w:p>
      <w:pPr>
        <w:pStyle w:val="Heading3"/>
      </w:pPr>
      <w:r>
        <w:t>2.9.3 Pediatric Neurotrauma Nursing Knowledge Test</w:t>
      </w:r>
    </w:p>
    <w:p>
      <w:pPr/>
      <w:r>
        <w:t>The investigator-developed PNNKT comprised two 40-item single-best-answer forms with four options per item. The forms were assembled from a piloted 96-item bank to a common blueprint matching curriculum content, cognitive level and item difficulty, following established item-writing principles (Haladyna et al., 2002). Students were randomly assigned to an A–B (225 students) or B–A (225 students) sequence, so no item was repeated for any student. Raw scores ranged from 0 to 40. Testing was proctored, computer-based and simultaneous in two adjacent halls, with a sixty-minute limit, and results were withheld until follow-up was complete.</w:t>
      </w:r>
    </w:p>
    <w:p>
      <w:pPr/>
      <w:r>
        <w:t>Random assignment of forms at baseline created a random-groups equating design (Kolen and Brennan, 2014). Form A was the reference form. Form B scores were placed on the Form A scale by linear equating, eA(x) = μA + (σA/σB)(x − μB), using the baseline random groups: Form A mean 22.00 (SD 7.73) and Form B mean 21.50 (SD 8.57). Calculated from unrounded values, the transformation was equated B = 0.902 × raw B + 2.611. It was applied unchanged to follow-up Form B scores, and Form A scores were not transformed. The transformation maps raw scores of 0–40 to 2.61–38.69, so no truncation was required. All knowledge analyses used reference-form scores, and the sensitivity analyses included test-form sequence as a covariate. At baseline, KR-20 was 0.87 for Form A and 0.89 for Form B.</w:t>
      </w:r>
    </w:p>
    <w:p>
      <w:pPr>
        <w:pStyle w:val="Heading3"/>
      </w:pPr>
      <w:r>
        <w:t>2.9.4 Pediatric Neurotrauma Procedural Skills Checklist</w:t>
      </w:r>
    </w:p>
    <w:p>
      <w:pPr/>
      <w:r>
        <w:t>The investigator-developed PNPSC contained fifteen items: hand hygiene and personal protective equipment; Pediatric Glasgow Coma Scale assessment; pupil size and reactivity assessment; vital signs with an age-appropriate blood-pressure cuff; pulse oximetry; oxygen administration by age-appropriate face mask; airway opening by jaw thrust with manual in-line cervical stabilisation; oropharyngeal suctioning; midline head positioning with the head of the bed elevated to 30 degrees; cervical collar sizing and application; capillary blood glucose measurement; anterior fontanelle assessment; limb movement and sensation assessment; recovery positioning for seizure safety; and a structured SBAR handover of neurological observations. Items were scored 0 for absent performance, 1 for incomplete or incorrect performance and 2 for correct performance, giving a total of 0–30. The ten-minute station used explicit task instructions and the same tasks on both occasions, so it assessed execution rather than selection of care priorities. Higher scores indicated more accurate procedural performance. Recordings were rated by masked raters.</w:t>
      </w:r>
    </w:p>
    <w:p>
      <w:pPr>
        <w:pStyle w:val="Heading2"/>
      </w:pPr>
      <w:r>
        <w:t>2.10 Instrument development and measurement evidence</w:t>
      </w:r>
    </w:p>
    <w:p>
      <w:pPr/>
      <w:r>
        <w:t>Instrument development followed an argument-based approach to validity. Evidence was organised by the scoring, generalisation and extrapolation inferences that link observed performance to the intended score interpretation (Kane, 2013; Cook et al., 2015). The values below are local evidence for group comparisons in this cohort, not general proof of instrument validity.</w:t>
      </w:r>
    </w:p>
    <w:p>
      <w:pPr>
        <w:pStyle w:val="Heading3"/>
      </w:pPr>
      <w:r>
        <w:t>2.10.1 Content review and translation</w:t>
      </w:r>
    </w:p>
    <w:p>
      <w:pPr/>
      <w:r>
        <w:t>Eight independent experts reviewed relevance, clarity, coverage, age appropriateness and assessment-case comparability in two rounds between 16 December 2025 and 8 January 2026. The panel comprised three pediatric nursing academics, two pediatric critical care nurse specialists, a pediatric neurosurgeon, a pediatric emergency physician and a nursing measurement specialist. They rated the 32 PN-CRER level descriptors (eight domains by four levels), the 96 PNNKT bank items, the 15 PNPSC items and the eight assessment cases. Relevance was rated on a four-point scale, with ratings of 3 or 4 counted as relevant. The item-level content validity index (I-CVI) was the proportion of experts rating an element relevant. Scale-level indices were calculated by the averaging method (S-CVI/Ave) and the universal-agreement method (S-CVI/UA), and a modified kappa adjusted each I-CVI for chance agreement (Lynn, 1986; Polit et al., 2007). With eight experts, the acceptability criteria were an I-CVI of at least 0.78 and an S-CVI/Ave of at least 0.90.</w:t>
      </w:r>
    </w:p>
    <w:p>
      <w:pPr/>
      <w:r>
        <w:t>In round one, 3 PN-CRER descriptors, 7 PNNKT items, 1 PNPSC item and 1 assessment case had an I-CVI of 0.75 or lower. They were revised and re-rated in round two. After round two, every element had an I-CVI of at least 0.88 (seven or eight of eight experts) and a modified kappa of at least 0.87. S-CVI/Ave and S-CVI/UA were as follows:</w:t>
      </w:r>
    </w:p>
    <w:p>
      <w:pPr>
        <w:pStyle w:val="ListBullet"/>
      </w:pPr>
      <w:r>
        <w:t>PN-CRER: S-CVI/Ave 0.97; S-CVI/UA 0.75.</w:t>
      </w:r>
    </w:p>
    <w:p>
      <w:pPr>
        <w:pStyle w:val="ListBullet"/>
      </w:pPr>
      <w:r>
        <w:t>PNNKT bank: S-CVI/Ave 0.97; S-CVI/UA 0.77.</w:t>
      </w:r>
    </w:p>
    <w:p>
      <w:pPr>
        <w:pStyle w:val="ListBullet"/>
      </w:pPr>
      <w:r>
        <w:t>PNPSC: S-CVI/Ave 0.96; S-CVI/UA 0.67.</w:t>
      </w:r>
    </w:p>
    <w:p>
      <w:pPr>
        <w:pStyle w:val="ListBullet"/>
      </w:pPr>
      <w:r>
        <w:t>Assessment cases: S-CVI/Ave 1.00; S-CVI/UA 1.00.</w:t>
      </w:r>
    </w:p>
    <w:p>
      <w:pPr/>
      <w:r>
        <w:t>All indices were computed directly from the original rating forms. Instructions and the bilingual prompts underwent independent forward translation by two translators, blinded back-translation, expert reconciliation and cognitive interviews with twelve fourth-year students (Beaton et al., 2000). The interviews led to clarification of three of the six prompts.</w:t>
      </w:r>
    </w:p>
    <w:p>
      <w:pPr>
        <w:pStyle w:val="Heading3"/>
      </w:pPr>
      <w:r>
        <w:t>2.10.2 Piloting</w:t>
      </w:r>
    </w:p>
    <w:p>
      <w:pPr/>
      <w:r>
        <w:t>External piloting on 18–22 January 2026 involved twenty-four fourth-year nursing students and eight nurses for performance assessment, 104 fourth-year volunteers for the knowledge bank and ten volunteers per arm for a teaching rehearsal. Pilot participants were not part of the study cohort, signed confidentiality undertakings and did not retain materials. Performance piloting examined cue delivery, timing, comprehension, scoring interpretation and score distributions; it led to adjustment of two cue timings and confirmed that the explanation could be completed within five minutes. Knowledge items were retained when their difficulty index was 0.30–0.80, their corrected point-biserial correlation was at least 0.20 and each distractor was chosen by at least 5% of examinees. Of the 96 items, 83 met these criteria, and the two forms were assembled from 80 of them. Pilot KR-20 was 0.87 for Form A and 0.91 for Form B, with mean item difficulty 0.62 and 0.63.</w:t>
      </w:r>
    </w:p>
    <w:p>
      <w:pPr>
        <w:pStyle w:val="Heading3"/>
      </w:pPr>
      <w:r>
        <w:t>2.10.3 Raters, rating design and agreement</w:t>
      </w:r>
    </w:p>
    <w:p>
      <w:pPr/>
      <w:r>
        <w:t>Four bilingual pediatric nursing lecturers, each with a master's degree and at least five years of clinical teaching experience and uninvolved in teaching and instrument development, completed 12 hours of rater training on 12–13 April 2026 using ten pilot benchmark recordings. Live rating began only after each rater reached the calibration criterion: an intraclass correlation of at least 0.80 with expert reference scores and at least 90% of domain scores within one point. One rater needed an additional calibration session to reach it. Rating took place from 14 April to 11 June 2026. Three primary raters scored recordings allocated at random within arm-by-occasion strata, and primary-rater scores were used in the primary analysis.</w:t>
      </w:r>
    </w:p>
    <w:p>
      <w:pPr/>
      <w:r>
        <w:t>A fourth rater independently scored 360 case recordings, 60 selected at random from each arm-by-occasion stratum. All four raters scored a common subset of 120 recordings from 60 students: ten students per stratum, each with both cases from one occasion. These recordings were fully crossed with raters, but students were incompletely crossed with the eight cases. For procedural performance, 225 recordings were independently double-rated by rotating pairs of primary raters (75 recordings per pair). A benchmark recording was inserted after every 40 recordings. Recalibration was triggered when a benchmark case total differed from the reference by more than two points; this occurred twice, and both occasions were documented.</w:t>
      </w:r>
    </w:p>
    <w:p>
      <w:pPr/>
      <w:r>
        <w:t>Agreement statistics were matched to the rating design and score unit (Koo and Li, 2016). Because the second rating in the monitoring sample was paired with different primary raters, agreement there was estimated with a one-way random-effects, absolute-agreement, single-rater intraclass correlation on case totals. The common subset used a two-way random-effects, absolute-agreement, single-rater intraclass correlation. Students contributed more than one recording, so 95% confidence intervals were obtained by cluster bootstrap resampling of students (2,000 resamples).</w:t>
      </w:r>
    </w:p>
    <w:p>
      <w:pPr/>
      <w:r>
        <w:t>Agreement on case totals was 0.87 (95% CI 0.84 to 0.89) in the 360-recording monitoring sample and 0.85 (95% CI 0.79 to 0.88) in the common subset. Across monitoring-sample domain scores, 54.3% of ratings agreed exactly and 98.1% agreed within one point. Procedural agreement on PNPSC totals, using the one-way model required by the rotating pairs, was 0.94 (95% CI 0.92 to 0.95).</w:t>
      </w:r>
    </w:p>
    <w:p>
      <w:pPr/>
      <w:r>
        <w:t>A generalisability study on the common subset estimated variance components by restricted maximum likelihood in a crossed random-effects model (Briesch et al., 2014). The model included students (p), cases (c), raters (r), student-by-case (pc), student-by-rater (pr), case-by-rater (cr) and residual (pcr,e) effects, which accommodates the incomplete crossing of students with cases. The relative coefficient for n′c cases and n′r raters was σ²(p) / [σ²(p) + σ²(pc)/n′c + σ²(pr)/n′r + σ²(pcr,e)/(n′c n′r)]. The dependability coefficient additionally included σ²(c)/n′c, σ²(r)/n′r and σ²(cr)/(n′c n′r) in the error term. The estimated variance components and their shares of total variance were:</w:t>
      </w:r>
    </w:p>
    <w:p>
      <w:pPr>
        <w:pStyle w:val="ListBullet"/>
      </w:pPr>
      <w:r>
        <w:t>students: 8.93 (55.6%)</w:t>
      </w:r>
    </w:p>
    <w:p>
      <w:pPr>
        <w:pStyle w:val="ListBullet"/>
      </w:pPr>
      <w:r>
        <w:t>student-by-case: 2.38 (14.8%)</w:t>
      </w:r>
    </w:p>
    <w:p>
      <w:pPr>
        <w:pStyle w:val="ListBullet"/>
      </w:pPr>
      <w:r>
        <w:t>residual: 2.08 (13.0%)</w:t>
      </w:r>
    </w:p>
    <w:p>
      <w:pPr>
        <w:pStyle w:val="ListBullet"/>
      </w:pPr>
      <w:r>
        <w:t>cases: 2.45 (15.3%)</w:t>
      </w:r>
    </w:p>
    <w:p>
      <w:pPr>
        <w:pStyle w:val="ListBullet"/>
      </w:pPr>
      <w:r>
        <w:t>raters: 0.09 (0.6%)</w:t>
      </w:r>
    </w:p>
    <w:p>
      <w:pPr>
        <w:pStyle w:val="ListBullet"/>
      </w:pPr>
      <w:r>
        <w:t>student-by-rater: 0.12 (0.8%)</w:t>
      </w:r>
    </w:p>
    <w:p>
      <w:pPr>
        <w:pStyle w:val="ListBullet"/>
      </w:pPr>
      <w:r>
        <w:t>case-by-rater: 0.00 (0.0%)</w:t>
      </w:r>
    </w:p>
    <w:p>
      <w:pPr/>
      <w:r>
        <w:t>For the operational design of two cases scored by one rater, the relative coefficient was 0.79 (95% CI 0.65 to 0.87) and the dependability coefficient was 0.71 (95% CI 0.54 to 0.79). Confidence intervals came from 200 student-level bootstrap refits. Cases accounted for 15.3% of variance, which supports modelling assessment case as a random effect. In a decision study, four cases scored by one rater would raise the relative coefficient to 0.88.</w:t>
      </w:r>
    </w:p>
    <w:p>
      <w:pPr/>
      <w:r>
        <w:t>For a separate convergent comparison, the Lasater Clinical Judgment Rubric (LCJR) was used with the author's permission (Lasater, 2007). The LCJR has eleven dimensions rated at four levels, giving totals of 11–44. Two further pediatric nursing faculty members, neither of whom scored PN-CRER, applied it. The primary LCJR rater scored 270 case recordings from 219 students, 45 selected at random from each arm-by-occasion stratum. The second rater independently scored 135 of them; LCJR agreement was 0.92 (95% CI 0.89 to 0.94). The protocol hypothesised a positive correlation of at least 0.50 between PN-CRER and LCJR case totals. Students were the sampling unit, and the Pearson correlation was 0.73 (95% cluster-bootstrap CI 0.67 to 0.78).</w:t>
      </w:r>
    </w:p>
    <w:p>
      <w:pPr>
        <w:pStyle w:val="Heading2"/>
      </w:pPr>
      <w:r>
        <w:t>2.11 Statistical analysis</w:t>
      </w:r>
    </w:p>
    <w:p>
      <w:pPr>
        <w:pStyle w:val="Heading3"/>
      </w:pPr>
      <w:r>
        <w:t>2.11.1 Estimands and contrasts</w:t>
      </w:r>
    </w:p>
    <w:p>
      <w:pPr/>
      <w:r>
        <w:t>The primary estimand was the adjusted difference in mean post-instruction PN-CRER occasion score between allocated strategies among first-time-enrolled third-year students in this cohort. It was defined regardless of attendance, cross-arm material use or outside AI use, which were handled by a treatment-policy strategy (International Council for Harmonisation, 2019). The principal contrast compared AI-generated with student-generated maps at a two-sided significance level of 0.05. The two comparisons with worksheets were supporting contrasts and were adjusted together using a multivariate-t, Dunnett-type procedure (Hothorn et al., 2008). Results are expressed as adjusted mean differences with 95% confidence intervals. Within-arm change tests were not used to establish between-arm differences.</w:t>
      </w:r>
    </w:p>
    <w:p>
      <w:pPr>
        <w:pStyle w:val="Heading3"/>
      </w:pPr>
      <w:r>
        <w:t>2.11.2 Primary analysis</w:t>
      </w:r>
    </w:p>
    <w:p>
      <w:pPr/>
      <w:r>
        <w:t>The primary linear mixed model analysed the primary raters' post-instruction case totals, with two observations per student. Because case assignment was balanced, the strategy contrasts are on the 0–24 occasion-score metric. Fixed effects were strategy; facilitator, the allocation stratum; baseline reasoning, defined as the mean of the student's two baseline case totals; GPA; baseline knowledge; English course grade; previous simulation sessions; previous mapping use; previous AI use; case age group; case order; and rater. The five allocation-balancing variables were therefore all included as adjustment variables. Random intercepts represented section, group within section, student and assessment case, with case crossed with student. Design-based random effects for section and group were retained irrespective of their estimated magnitude. Estimation used restricted maximum likelihood, with degrees of freedom approximated by the Kenward–Roger method, which is appropriate for analyses with few clusters (Kenward and Roger, 1997; Leyrat et al., 2018).</w:t>
      </w:r>
    </w:p>
    <w:p>
      <w:pPr/>
      <w:r>
        <w:t>Adjusted differences were also divided by the total standard deviation of post-instruction occasion scores, estimated from an unconditional multilevel model (Hedges, 2007), to give standardised effect sizes. Section and group intraclass correlations from the same model are reported to inform future studies; both were introduced in version 2 of the analysis plan.</w:t>
      </w:r>
    </w:p>
    <w:p>
      <w:pPr>
        <w:pStyle w:val="Heading3"/>
      </w:pPr>
      <w:r>
        <w:t>2.11.3 Secondary outcomes</w:t>
      </w:r>
    </w:p>
    <w:p>
      <w:pPr/>
      <w:r>
        <w:t>Knowledge and procedural scores were analysed in student-level linear mixed models with random intercepts for section and group within section. Each model adjusted for the corresponding baseline score, facilitator and the prognostic variables listed above; the knowledge model also included test-form sequence, and the procedural model included rater. Secondary comparisons were interpreted as supporting estimates without multiplicity adjustment.</w:t>
      </w:r>
    </w:p>
    <w:p>
      <w:pPr>
        <w:pStyle w:val="Heading3"/>
      </w:pPr>
      <w:r>
        <w:t>2.11.4 Missing data</w:t>
      </w:r>
    </w:p>
    <w:p>
      <w:pPr/>
      <w:r>
        <w:t>Students remained classified by their allocated strategy irrespective of attendance or contamination. All baseline outcomes and covariates were complete. Twenty-one students (4.7%) had no post-instruction assessment: six, eight and seven in the AI-generated, student-generated and worksheet arms (Figure 1). The primary likelihood analysis used all 429 observed post-instruction outcomes and is valid under a missing-at-random assumption conditional on the variables in the model. The two students who withdrew consented, under the terms of the consent form, to retention of data collected before withdrawal. Their baseline data were therefore retained, and no further data were collected from them.</w:t>
      </w:r>
    </w:p>
    <w:p>
      <w:pPr/>
      <w:r>
        <w:t>In a sensitivity analysis, 50 data sets were imputed by multilevel joint modelling, separately by arm, using the jomo and mitml packages. The imputation model included the analysis-model variables, section and group membership, baseline outcomes, attendance and preparation engagement. Estimates were combined by Rubin's rules. Departures from missing at random were then examined by delta adjustment, subtracting 0, 0.1, 0.2, 0.3, 0.4 and 0.5 standard deviations from imputed values in each arm separately (Cro et al., 2020).</w:t>
      </w:r>
    </w:p>
    <w:p>
      <w:pPr>
        <w:pStyle w:val="Heading3"/>
      </w:pPr>
      <w:r>
        <w:t>2.11.5 Sensitivity analyses</w:t>
      </w:r>
    </w:p>
    <w:p>
      <w:pPr/>
      <w:r>
        <w:t>The sensitivity analyses examined:</w:t>
      </w:r>
    </w:p>
    <w:p>
      <w:pPr>
        <w:pStyle w:val="ListBullet"/>
      </w:pPr>
      <w:r>
        <w:t>section-level estimates;</w:t>
      </w:r>
    </w:p>
    <w:p>
      <w:pPr>
        <w:pStyle w:val="ListBullet"/>
      </w:pPr>
      <w:r>
        <w:t>alternative rater aggregation, averaging both ratings where a recording was double-rated;</w:t>
      </w:r>
    </w:p>
    <w:p>
      <w:pPr>
        <w:pStyle w:val="ListBullet"/>
      </w:pPr>
      <w:r>
        <w:t>additional adjustment for timetable position (teaching day and afternoon section), teaching-to-assessment interval in days and clinical exposure to children with head injury between assessments;</w:t>
      </w:r>
    </w:p>
    <w:p>
      <w:pPr>
        <w:pStyle w:val="ListBullet"/>
      </w:pPr>
      <w:r>
        <w:t>restriction to the 420 students who completed instruction (141, 139 and 140 by arm);</w:t>
      </w:r>
    </w:p>
    <w:p>
      <w:pPr>
        <w:pStyle w:val="ListBullet"/>
      </w:pPr>
      <w:r>
        <w:t>restriction to students who reported no cross-arm material use and no outside AI use.</w:t>
      </w:r>
    </w:p>
    <w:p>
      <w:pPr/>
      <w:r>
        <w:t>Restricted analyses were interpreted as comparisons of selected subgroups rather than as estimates of the primary estimand.</w:t>
      </w:r>
    </w:p>
    <w:p>
      <w:pPr>
        <w:pStyle w:val="Heading3"/>
      </w:pPr>
      <w:r>
        <w:t>2.11.6 Model checking, descriptive analysis and software</w:t>
      </w:r>
    </w:p>
    <w:p>
      <w:pPr/>
      <w:r>
        <w:t>Baseline characteristics are summarised by arm with standardised mean differences; significance tests were not used for baseline comparisons. Residual distributions, heterogeneity of residual variance by arm, convergence and singular fits were examined. If the largest-to-smallest ratio of arm-specific residual variances exceeded 1.5, inference was repeated with cluster-robust (CR2) standard errors and Satterthwaite degrees of freedom at section level. Analyses used R version 4.3.1 (Bates et al., 2015) with the following packages: lme4 1.1-35, pbkrtest 0.5.2, emmeans 1.10.0, multcomp 1.4-25, jomo 2.7-6, mitml 0.4-5, clubSandwich 0.5.10 and boot 1.3-28. Estimates are interpreted as adjusted comparisons of instructional strategies within this cohort; nonrandom allocation and five sections per arm limit causal inference.</w:t>
      </w:r>
    </w:p>
    <w:p>
      <w:pPr>
        <w:pStyle w:val="Heading2"/>
      </w:pPr>
      <w:r>
        <w:t>2.12 Ethics</w:t>
      </w:r>
    </w:p>
    <w:p>
      <w:pPr/>
      <w:r>
        <w:t>The Ethics Committee of the Faculty of Nursing, Tanta University, approved the study on 15 December 2025 (EC-2025-089), and the study was conducted in accordance with the Declaration of Helsinki. Written consent covered research data and assessment recording; optional future use of recordings for rater training was consented separately, and 412 students agreed to it. An independent researcher held consent records, and teaching staff did not know who had consented. Participation had no effect on grades. Students could stop an assessment if distressed and were offered support by the faculty's student counselling unit. No assessment was stopped. All arms received all teaching materials after follow-up.</w:t>
      </w:r>
    </w:p>
    <w:p>
      <w:pPr>
        <w:pStyle w:val="Heading2"/>
      </w:pPr>
      <w:r>
        <w:t>2.13 Data management and availability of materials</w:t>
      </w:r>
    </w:p>
    <w:p>
      <w:pPr/>
      <w:r>
        <w:t>Coded data and recordings were stored on encrypted, access-controlled institutional systems, with the identity key held separately by the independent custodian. All scores were double-entered, and discrepancies were resolved against the source forms. The database was locked on 25 June 2026. Identifiable recordings were not entered into any AI system or included in data sharing, and data will be retained for five years after publication. The protocol, analysis-plan versions, allocation and analysis code, case scripts, reviewed maps and their change logs, generation prompts, original instrument forms and scoring keys are available from the corresponding author on reasonable request, subject to institutional requirements. The PN-CRER, PNNKT and PNPSC are investigator-developed instruments owned by the Faculty of Nursing, Tanta University, and the investigators. They are shared free of charge for non-commercial education and research under a material-transfer agreement.</w:t>
      </w:r>
    </w:p>
    <w:p>
      <w:pPr>
        <w:pStyle w:val="Heading1"/>
      </w:pPr>
      <w:r>
        <w:t>Tables</w:t>
      </w:r>
    </w:p>
    <w:p>
      <w:pPr>
        <w:pStyle w:val="Heading2"/>
      </w:pPr>
      <w:r>
        <w:t>Table 1 Comparison of the three instructional strategies</w:t>
      </w:r>
    </w:p>
    <w:tbl>
      <w:tblPr>
        <w:tblW w:type="dxa" w:w="9360"/>
        <w:tblLayout w:type="fixed"/>
        <w:tblLook w:firstColumn="1" w:firstRow="1" w:lastColumn="0" w:lastRow="0" w:noHBand="0" w:noVBand="1" w:val="04A0"/>
      </w:tblPr>
      <w:tblGrid>
        <w:gridCol w:w="1700"/>
        <w:gridCol w:w="2553"/>
        <w:gridCol w:w="2553"/>
        <w:gridCol w:w="2554"/>
      </w:tblGrid>
      <w:tr>
        <w:trPr>
          <w:tblHeader/>
        </w:trPr>
        <w:tc>
          <w:tcPr>
            <w:tcW w:type="dxa" w:w="17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Feature</w:t>
            </w:r>
          </w:p>
        </w:tc>
        <w:tc>
          <w:tcPr>
            <w:tcW w:type="dxa" w:w="2553"/>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AI-generated maps</w:t>
            </w:r>
          </w:p>
        </w:tc>
        <w:tc>
          <w:tcPr>
            <w:tcW w:type="dxa" w:w="2553"/>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Student-generated maps</w:t>
            </w:r>
          </w:p>
        </w:tc>
        <w:tc>
          <w:tcPr>
            <w:tcW w:type="dxa" w:w="2554"/>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Worksheets without maps</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Starting material</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Clinically reviewed AI-generated map of the index case</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Central topic and eight main branches; no completed content</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Eight linear case-analysis headings</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Individual case work (30 min)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Examine and annotate the map; justify priorities</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Select information and construct a scaffolded map</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Analyse information and justify priorities in writing</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Group work (30 min)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Revise the map and record reasons for each revision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Compare and consolidate maps; record revisions</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Consolidate written analysis; record reasons</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Clinical relationships</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Add and explain cue–problem–action links</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Construct and explain cue–problem–action links</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Explain relationships in text</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Consolidation (20 min)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Correct the map against plenary feedback; write a three-line priority summary</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Correct the group map against plenary feedback; write a three-line priority summary</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Correct the worksheet against plenary feedback; write a three-line priority summary</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Product collected</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Annotated and revised map</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Group-consolidated map</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Consolidated worksheet</w:t>
            </w:r>
          </w:p>
        </w:tc>
      </w:tr>
      <w:tr>
        <w:tc>
          <w:tcPr>
            <w:tcW w:type="dxa" w:w="17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Direct AI interaction</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None</w:t>
            </w:r>
          </w:p>
        </w:tc>
        <w:tc>
          <w:tcPr>
            <w:tcW w:type="dxa" w:w="2553"/>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None</w:t>
            </w:r>
          </w:p>
        </w:tc>
        <w:tc>
          <w:tcPr>
            <w:tcW w:type="dxa" w:w="2554"/>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None</w:t>
            </w:r>
          </w:p>
        </w:tc>
      </w:tr>
    </w:tbl>
    <w:p>
      <w:pPr/>
      <w:r>
        <w:rPr>
          <w:sz w:val="19"/>
        </w:rPr>
        <w:t>Common to all arms: flipped preparation (about 60 minutes per session), orientation (30 minutes), four 180-minute sessions, readiness check, plenary feedback using common criteria, simulation prebriefing, two simulation runs with PEARLS debriefing, summary, facilitators and simulation instructors. Materials were collected after each session and released to all arms on 9 April 2026. No maps, AI or notes were available during assessment. The comparison concerned representation source and learner activity together.</w:t>
      </w:r>
    </w:p>
    <w:p>
      <w:pPr>
        <w:pStyle w:val="Heading2"/>
      </w:pPr>
      <w:r>
        <w:t>Table 2 Outcomes, instruments and assessment schedule</w:t>
      </w:r>
    </w:p>
    <w:tbl>
      <w:tblPr>
        <w:tblW w:type="dxa" w:w="9360"/>
        <w:tblLayout w:type="fixed"/>
        <w:tblLook w:firstColumn="1" w:firstRow="1" w:lastColumn="0" w:lastRow="0" w:noHBand="0" w:noVBand="1" w:val="04A0"/>
      </w:tblPr>
      <w:tblGrid>
        <w:gridCol w:w="1350"/>
        <w:gridCol w:w="2500"/>
        <w:gridCol w:w="2310"/>
        <w:gridCol w:w="1600"/>
        <w:gridCol w:w="1600"/>
      </w:tblGrid>
      <w:tr>
        <w:trPr>
          <w:tblHeader/>
        </w:trPr>
        <w:tc>
          <w:tcPr>
            <w:tcW w:type="dxa" w:w="135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Outcome</w:t>
            </w:r>
          </w:p>
        </w:tc>
        <w:tc>
          <w:tcPr>
            <w:tcW w:type="dxa" w:w="25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Instrument and score</w:t>
            </w:r>
          </w:p>
        </w:tc>
        <w:tc>
          <w:tcPr>
            <w:tcW w:type="dxa" w:w="231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Administration and rating</w:t>
            </w:r>
          </w:p>
        </w:tc>
        <w:tc>
          <w:tcPr>
            <w:tcW w:type="dxa" w:w="16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Timing</w:t>
            </w:r>
          </w:p>
        </w:tc>
        <w:tc>
          <w:tcPr>
            <w:tcW w:type="dxa" w:w="1600"/>
            <w:tcBorders>
              <w:top w:val="single" w:sz="4" w:color="BFBFBF"/>
              <w:left w:val="single" w:sz="4" w:color="BFBFBF"/>
              <w:bottom w:val="single" w:sz="4" w:color="BFBFBF"/>
              <w:right w:val="single" w:sz="4" w:color="BFBFBF"/>
            </w:tcBorders>
            <w:shd w:val="clear" w:color="auto" w:fill="E8E8E8"/>
            <w:tcMar>
              <w:top w:w="70" w:type="dxa"/>
              <w:left w:w="70" w:type="dxa"/>
              <w:bottom w:w="70" w:type="dxa"/>
              <w:right w:w="70" w:type="dxa"/>
            </w:tcMar>
          </w:tcPr>
          <w:p>
            <w:pPr>
              <w:spacing w:after="20" w:line="240" w:lineRule="auto"/>
            </w:pPr>
            <w:r>
              <w:rPr>
                <w:b/>
                <w:sz w:val="19"/>
              </w:rPr>
              <w:t>Analysis</w:t>
            </w:r>
          </w:p>
        </w:tc>
      </w:tr>
      <w:tr>
        <w:tc>
          <w:tcPr>
            <w:tcW w:type="dxa" w:w="135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Primary: clinical reasoning</w:t>
            </w:r>
          </w:p>
        </w:tc>
        <w:tc>
          <w:tcPr>
            <w:tcW w:type="dxa" w:w="2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PN-CRER; eight domains scored 0–3 against case keys; case total 0–24; occasion score = mean of two cases (0–24)</w:t>
            </w:r>
          </w:p>
        </w:tc>
        <w:tc>
          <w:tcPr>
            <w:tcW w:type="dxa" w:w="231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Individual simulation (young-child and school-age case) with structured explanation; masked video rating; no instructional aids</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1–10 February and 29 March–7 April 2026</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Case-level linear mixed model; adjusted mean difference</w:t>
            </w:r>
          </w:p>
        </w:tc>
      </w:tr>
      <w:tr>
        <w:tc>
          <w:tcPr>
            <w:tcW w:type="dxa" w:w="135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Secondary: knowledge</w:t>
            </w:r>
          </w:p>
        </w:tc>
        <w:tc>
          <w:tcPr>
            <w:tcW w:type="dxa" w:w="2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PNNKT; two 40-item four-option forms; raw 0–40; Form B equated to the Form A metric</w:t>
            </w:r>
          </w:p>
        </w:tc>
        <w:tc>
          <w:tcPr>
            <w:tcW w:type="dxa" w:w="231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Proctored 60-minute computer test after performance assessments; random form sequence</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11 February and 8 April 2026</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Student-level linear mixed model</w:t>
            </w:r>
          </w:p>
        </w:tc>
      </w:tr>
      <w:tr>
        <w:tc>
          <w:tcPr>
            <w:tcW w:type="dxa" w:w="135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Secondary: procedural accuracy</w:t>
            </w:r>
          </w:p>
        </w:tc>
        <w:tc>
          <w:tcPr>
            <w:tcW w:type="dxa" w:w="2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PNPSC; fifteen tasks scored 0–2; total 0–30</w:t>
            </w:r>
          </w:p>
        </w:tc>
        <w:tc>
          <w:tcPr>
            <w:tcW w:type="dxa" w:w="231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Ten-minute instructed-task station; masked video rating</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Same visit as the reasoning cases</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Student-level linear mixed model</w:t>
            </w:r>
          </w:p>
        </w:tc>
      </w:tr>
      <w:tr>
        <w:tc>
          <w:tcPr>
            <w:tcW w:type="dxa" w:w="135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Implementation</w:t>
            </w:r>
          </w:p>
        </w:tc>
        <w:tc>
          <w:tcPr>
            <w:tcW w:type="dxa" w:w="25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Attendance; preparation engagement; active simulation roles; product submission; 18-item fidelity checklist; single-item contamination reports</w:t>
            </w:r>
          </w:p>
        </w:tc>
        <w:tc>
          <w:tcPr>
            <w:tcW w:type="dxa" w:w="231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Session registers, learning-management-system logs and audio-recorded sessions coded by independent coders</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Throughout teaching; contamination items at follow-up</w:t>
            </w:r>
          </w:p>
        </w:tc>
        <w:tc>
          <w:tcPr>
            <w:tcW w:type="dxa" w:w="1600"/>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pPr>
            <w:r>
              <w:rPr>
                <w:sz w:val="19"/>
              </w:rPr>
              <w:t>Descriptive by arm</w:t>
            </w:r>
          </w:p>
        </w:tc>
      </w:tr>
    </w:tbl>
    <w:p>
      <w:pPr/>
      <w:r>
        <w:rPr>
          <w:sz w:val="19"/>
        </w:rPr>
        <w:t>PN-CRER, Pediatric Neurotrauma Clinical Reasoning Evaluation Rubric; PNNKT, Pediatric Neurotrauma Nursing Knowledge Test; PNPSC, Pediatric Neurotrauma Procedural Skills Checklist. No delayed retention assessment was conducted.</w:t>
      </w:r>
    </w:p>
    <w:p>
      <w:pPr>
        <w:pStyle w:val="Heading1"/>
      </w:pPr>
      <w:r>
        <w:t>Figure</w:t>
      </w:r>
    </w:p>
    <w:p>
      <w:pPr>
        <w:pStyle w:val="Heading2"/>
      </w:pPr>
      <w:r>
        <w:t>Figure 1 Participant flow through the three-arm quasi-experimental study</w:t>
      </w:r>
    </w:p>
    <w:p>
      <w:r>
        <w:drawing>
          <wp:inline xmlns:a="http://schemas.openxmlformats.org/drawingml/2006/main" xmlns:pic="http://schemas.openxmlformats.org/drawingml/2006/picture">
            <wp:extent cx="5760720" cy="5550475"/>
            <wp:docPr id="1" name="Picture 1"/>
            <wp:cNvGraphicFramePr>
              <a:graphicFrameLocks noChangeAspect="1"/>
            </wp:cNvGraphicFramePr>
            <a:graphic>
              <a:graphicData uri="http://schemas.openxmlformats.org/drawingml/2006/picture">
                <pic:pic>
                  <pic:nvPicPr>
                    <pic:cNvPr id="0" name="fig1_sim.png"/>
                    <pic:cNvPicPr/>
                  </pic:nvPicPr>
                  <pic:blipFill>
                    <a:blip r:embed="rId48"/>
                    <a:stretch>
                      <a:fillRect/>
                    </a:stretch>
                  </pic:blipFill>
                  <pic:spPr>
                    <a:xfrm>
                      <a:off x="0" y="0"/>
                      <a:ext cx="5760720" cy="5550475"/>
                    </a:xfrm>
                    <a:prstGeom prst="rect"/>
                  </pic:spPr>
                </pic:pic>
              </a:graphicData>
            </a:graphic>
          </wp:inline>
        </w:drawing>
      </w:r>
    </w:p>
    <w:p>
      <w:pPr/>
      <w:r>
        <w:rPr>
          <w:sz w:val="19"/>
        </w:rPr>
        <w:t>All fifteen sections remained in the study. Allocation was nonrandom. The attendance threshold described completion of instruction and did not exclude students from the allocated-strategy analysis. Twenty-one students lacked post-instruction assessment: illness (8), holiday travel (7), clinical-placement conflict (4) and withdrawal (2). The 429 students with follow-up supplied the observed post-instruction outcomes; all 450 allocated students were included in the imputation sensitivity analysis.</w:t>
      </w:r>
    </w:p>
    <w:p>
      <w:pPr>
        <w:pStyle w:val="Heading1"/>
      </w:pPr>
      <w:r>
        <w:t>Declaration of generative AI use in manuscript preparation</w:t>
      </w:r>
    </w:p>
    <w:p>
      <w:pPr/>
      <w:r>
        <w:t>During preparation of this manuscript, the authors used ChatGPT (OpenAI) and Claude (Anthropic) to assist with organisation, language revision and checking of methodological reporting. The authors reviewed and edited all material, verified the study records and references, and take full responsibility for the content of the publication. This declaration is separate from the GPT-4o use described in Section 2.6, which formed part of the intervention.</w:t>
      </w:r>
    </w:p>
    <w:p>
      <w:pPr>
        <w:pStyle w:val="Heading1"/>
      </w:pPr>
      <w:r>
        <w:t>References</w:t>
      </w:r>
    </w:p>
    <w:p>
      <w:pPr>
        <w:ind w:left="432" w:hanging="432"/>
      </w:pPr>
      <w:r>
        <w:t>Akutay, S., Yüceler Kaçmaz, H., Kahraman, H., 2024. The effect of artificial intelligence supported case analysis on nursing students' case management performance and satisfaction: A randomized controlled trial. Nurse Education in Practice 80, 104142. https://doi.org/10.1016/j.nepr.2024.104142</w:t>
      </w:r>
    </w:p>
    <w:p>
      <w:pPr>
        <w:ind w:left="432" w:hanging="432"/>
      </w:pPr>
      <w:r>
        <w:t>Arkan, B., Erbay Dallı, Ö., Varol, B., 2025. The impact of ChatGPT training in the nursing process on nursing students' problem-solving skills, attitudes towards artificial intelligence, competency, and satisfaction levels: Single-blind randomized controlled study. Nurse Education Today 152, 106765. https://doi.org/10.1016/j.nedt.2025.106765</w:t>
      </w:r>
    </w:p>
    <w:p>
      <w:pPr>
        <w:ind w:left="432" w:hanging="432"/>
      </w:pPr>
      <w:r>
        <w:t>Bates, D., Mächler, M., Bolker, B., Walker, S., 2015. Fitting linear mixed-effects models using lme4. Journal of Statistical Software 67(1), 1–48. https://doi.org/10.18637/jss.v067.i01</w:t>
      </w:r>
    </w:p>
    <w:p>
      <w:pPr>
        <w:ind w:left="432" w:hanging="432"/>
      </w:pPr>
      <w:r>
        <w:t>Bayzat, C., Dinc, L., 2025. Turkish adaptation of the clinical reasoning evaluation simulation tool (CREST-TR): a validity and reliability study. BMC Nursing 24, 819. https://doi.org/10.1186/s12912-025-03503-0</w:t>
      </w:r>
    </w:p>
    <w:p>
      <w:pPr>
        <w:ind w:left="432" w:hanging="432"/>
      </w:pPr>
      <w:r>
        <w:t>Beaton, D.E., Bombardier, C., Guillemin, F., Ferraz, M.B., 2000. Guidelines for the process of cross-cultural adaptation of self-report measures. Spine 25, 3186–3191. https://doi.org/10.1097/00007632-200012150-00014</w:t>
      </w:r>
    </w:p>
    <w:p>
      <w:pPr>
        <w:ind w:left="432" w:hanging="432"/>
      </w:pPr>
      <w:r>
        <w:t>Briesch, A.M., Swaminathan, H., Welsh, M., Chafouleas, S.M., 2014. Generalizability theory: a practical guide to study design, implementation, and interpretation. Journal of School Psychology 52(1), 13–35. https://doi.org/10.1016/j.jsp.2013.11.008</w:t>
      </w:r>
    </w:p>
    <w:p>
      <w:pPr>
        <w:ind w:left="432" w:hanging="432"/>
      </w:pPr>
      <w:r>
        <w:t>Chan, K., Farrell, C.A., Chauvin-Kimoff, L., 2025. Management of the paediatric patient with acute head trauma. Paediatrics &amp; Child Health 30, 641–647. https://doi.org/10.1093/pch/pxaf032</w:t>
      </w:r>
    </w:p>
    <w:p>
      <w:pPr>
        <w:ind w:left="432" w:hanging="432"/>
      </w:pPr>
      <w:r>
        <w:t>Chang, C.-Y., Su, W.-S., 2025. The effect of a generative AI-based teaching strategy on building students' competency. Journal of Nursing Education 64(6), 346–355. https://doi.org/10.3928/01484834-20250129-05</w:t>
      </w:r>
    </w:p>
    <w:p>
      <w:pPr>
        <w:ind w:left="432" w:hanging="432"/>
      </w:pPr>
      <w:r>
        <w:t>Chen, T.-Y., Hung, C.-C., 2025. An integrated self-regulated learning and flipped classroom approach for teaching nursing skills to undergraduate nursing students: A randomized controlled study. Nurse Education in Practice 87, 104445. https://doi.org/10.1016/j.nepr.2025.104445</w:t>
      </w:r>
    </w:p>
    <w:p>
      <w:pPr>
        <w:ind w:left="432" w:hanging="432"/>
      </w:pPr>
      <w:r>
        <w:t>Cheng, A., Kessler, D., Mackinnon, R., Chang, T.P., Nadkarni, V.M., Hunt, E.A., Duval-Arnould, J., Lin, Y., Cook, D.A., Pusic, M., Hui, J., Moher, D., Egger, M., Auerbach, M., 2016. Reporting guidelines for health care simulation research: extensions to the CONSORT and STROBE statements. Advances in Simulation 1, 25. https://doi.org/10.1186/s41077-016-0025-y</w:t>
      </w:r>
    </w:p>
    <w:p>
      <w:pPr>
        <w:ind w:left="432" w:hanging="432"/>
      </w:pPr>
      <w:r>
        <w:t>Chiannilkulchai, N., Thongpo, P., 2026. Effect of online flipped classroom and case-based learning approaches on nursing students' training in primary survey for neurotrauma care: a quasi-experimental study. BMC Medical Education. https://doi.org/10.1186/s12909-026-10226-6</w:t>
      </w:r>
    </w:p>
    <w:p>
      <w:pPr>
        <w:ind w:left="432" w:hanging="432"/>
      </w:pPr>
      <w:r>
        <w:t>Cook, D.A., Brydges, R., Ginsburg, S., Hatala, R., 2015. A contemporary approach to validity arguments: a practical guide to Kane's framework. Medical Education 49(6), 560–575. https://doi.org/10.1111/medu.12678</w:t>
      </w:r>
    </w:p>
    <w:p>
      <w:pPr>
        <w:ind w:left="432" w:hanging="432"/>
      </w:pPr>
      <w:r>
        <w:t>Cro, S., Morris, T.P., Kenward, M.G., Carpenter, J.R., 2020. Sensitivity analysis for clinical trials with missing continuous outcome data using controlled multiple imputation: A practical guide. Statistics in Medicine 39(21), 2815–2842. https://doi.org/10.1002/sim.8569</w:t>
      </w:r>
    </w:p>
    <w:p>
      <w:pPr>
        <w:ind w:left="432" w:hanging="432"/>
      </w:pPr>
      <w:r>
        <w:t>Des Jarlais, D.C., Lyles, C., Crepaz, N., TREND Group, 2004. Improving the reporting quality of nonrandomized evaluations of behavioral and public health interventions: the TREND statement. American Journal of Public Health 94, 361–366. https://doi.org/10.2105/AJPH.94.3.361</w:t>
      </w:r>
    </w:p>
    <w:p>
      <w:pPr>
        <w:ind w:left="432" w:hanging="432"/>
      </w:pPr>
      <w:r>
        <w:t>Dwiarini, M., Hwang, G.-J., Chang, C.-Y., 2026. Effects of a generative AI-assisted ADPIE Framework on critical thinking, learning self-efficacy, and clinical reasoning in nursing education: a quasi-experimental study. BMC Nursing 25, 779. https://doi.org/10.1186/s12912-026-04840-4</w:t>
      </w:r>
    </w:p>
    <w:p>
      <w:pPr>
        <w:ind w:left="432" w:hanging="432"/>
      </w:pPr>
      <w:r>
        <w:t>Eppich, W., Cheng, A., 2015. Promoting Excellence and Reflective Learning in Simulation (PEARLS): development and rationale for a blended approach to health care simulation debriefing. Simulation in Healthcare 10, 106–115. https://doi.org/10.1097/SIH.0000000000000072</w:t>
      </w:r>
    </w:p>
    <w:p>
      <w:pPr>
        <w:ind w:left="432" w:hanging="432"/>
      </w:pPr>
      <w:r>
        <w:t>Fan, Y., Tang, L., Le, H., Shen, K., Tan, S., Zhao, Y., Shen, Y., Li, X., Gašević, D., 2025. Beware of metacognitive laziness: Effects of generative artificial intelligence on learning motivation, processes, and performance. British Journal of Educational Technology 56(2), 489–530. https://doi.org/10.1111/bjet.13544</w:t>
      </w:r>
    </w:p>
    <w:p>
      <w:pPr>
        <w:ind w:left="432" w:hanging="432"/>
      </w:pPr>
      <w:r>
        <w:t>Fiorella, L., Mayer, R.E., 2016. Eight ways to promote generative learning. Educational Psychology Review 28(4), 717–741. https://doi.org/10.1007/s10648-015-9348-9</w:t>
      </w:r>
    </w:p>
    <w:p>
      <w:pPr>
        <w:ind w:left="432" w:hanging="432"/>
      </w:pPr>
      <w:r>
        <w:t>Haladyna, T.M., Downing, S.M., Rodriguez, M.C., 2002. A review of multiple-choice item-writing guidelines for classroom assessment. Applied Measurement in Education 15, 309–333. https://doi.org/10.1207/S15324818AME1503_5</w:t>
      </w:r>
    </w:p>
    <w:p>
      <w:pPr>
        <w:ind w:left="432" w:hanging="432"/>
      </w:pPr>
      <w:r>
        <w:t>Hedges, L.V., 2007. Effect sizes in cluster-randomized designs. Journal of Educational and Behavioral Statistics 32(4), 341–370. https://doi.org/10.3102/1076998606298043</w:t>
      </w:r>
    </w:p>
    <w:p>
      <w:pPr>
        <w:ind w:left="432" w:hanging="432"/>
      </w:pPr>
      <w:r>
        <w:t>Hoffmann, T.C., Glasziou, P.P., Boutron, I., et al., 2014. Better reporting of interventions: template for intervention description and replication (TIDieR) checklist and guide. BMJ 348, g1687. https://doi.org/10.1136/bmj.g1687</w:t>
      </w:r>
    </w:p>
    <w:p>
      <w:pPr>
        <w:ind w:left="432" w:hanging="432"/>
      </w:pPr>
      <w:r>
        <w:t>Hothorn, T., Bretz, F., Westfall, P., 2008. Simultaneous inference in general parametric models. Biometrical Journal 50(3), 346–363. https://doi.org/10.1002/bimj.200810425</w:t>
      </w:r>
    </w:p>
    <w:p>
      <w:pPr>
        <w:ind w:left="432" w:hanging="432"/>
      </w:pPr>
      <w:r>
        <w:t>Ibrahim, R.K., Hendy, A., 2026. The role of digital mind maps in boosting creativity and critical thinking among nursing students: a quasi-experimental study. Teaching and Learning in Nursing 21(2), e525–e533. https://doi.org/10.1016/j.teln.2025.10.026</w:t>
      </w:r>
    </w:p>
    <w:p>
      <w:pPr>
        <w:ind w:left="432" w:hanging="432"/>
      </w:pPr>
      <w:r>
        <w:t>International Council for Harmonisation of Technical Requirements for Pharmaceuticals for Human Use, 2019. Addendum on estimands and sensitivity analysis in clinical trials to the guideline on statistical principles for clinical trials, E9(R1). ICH, Geneva. https://database.ich.org/sites/default/files/E9-R1_Step4_Guideline_2019_1203.pdf</w:t>
      </w:r>
    </w:p>
    <w:p>
      <w:pPr>
        <w:ind w:left="432" w:hanging="432"/>
      </w:pPr>
      <w:r>
        <w:t>Kane, M.T., 2013. Validating the interpretations and uses of test scores. Journal of Educational Measurement 50, 1–73. https://doi.org/10.1111/jedm.12000</w:t>
      </w:r>
    </w:p>
    <w:p>
      <w:pPr>
        <w:ind w:left="432" w:hanging="432"/>
      </w:pPr>
      <w:r>
        <w:t>Kenward, M.G., Roger, J.H., 1997. Small sample inference for fixed effects from restricted maximum likelihood. Biometrics 53, 983–997. https://doi.org/10.2307/2533558</w:t>
      </w:r>
    </w:p>
    <w:p>
      <w:pPr>
        <w:ind w:left="432" w:hanging="432"/>
      </w:pPr>
      <w:r>
        <w:t>Khanna, S.K., Kumar, A., Katiyar, A.K., Mishra, K., 2025. Clinical profile, management, and outcome of pediatric neurotrauma: a multicentric observational study. Journal of Trauma and Injury 38, 22–31. https://doi.org/10.20408/jti.2024.0080</w:t>
      </w:r>
    </w:p>
    <w:p>
      <w:pPr>
        <w:ind w:left="432" w:hanging="432"/>
      </w:pPr>
      <w:r>
        <w:t>Kochanek, P.M., Tasker, R.C., Carney, N., et al., 2019. Guidelines for the Management of Pediatric Severe Traumatic Brain Injury, Third Edition: Update of the Brain Trauma Foundation Guidelines. Pediatric Critical Care Medicine 20(3S Suppl 1), S1–S82. https://doi.org/10.1097/PCC.0000000000001735</w:t>
      </w:r>
    </w:p>
    <w:p>
      <w:pPr>
        <w:ind w:left="432" w:hanging="432"/>
      </w:pPr>
      <w:r>
        <w:t>Kolen, M.J., Brennan, R.L., 2014. Test Equating, Scaling, and Linking: Methods and Practices, third ed. Springer, New York. https://doi.org/10.1007/978-1-4939-0317-7</w:t>
      </w:r>
    </w:p>
    <w:p>
      <w:pPr>
        <w:ind w:left="432" w:hanging="432"/>
      </w:pPr>
      <w:r>
        <w:t>Koo, T.K., Li, M.Y., 2016. A guideline of selecting and reporting intraclass correlation coefficients for reliability research. Journal of Chiropractic Medicine 15, 155–163. https://doi.org/10.1016/j.jcm.2016.02.012</w:t>
      </w:r>
    </w:p>
    <w:p>
      <w:pPr>
        <w:ind w:left="432" w:hanging="432"/>
      </w:pPr>
      <w:r>
        <w:t>Lasater, K., 2007. Clinical judgment development: using simulation to create an assessment rubric. Journal of Nursing Education 46(11), 496–503. https://doi.org/10.3928/01484834-20071101-04</w:t>
      </w:r>
    </w:p>
    <w:p>
      <w:pPr>
        <w:ind w:left="432" w:hanging="432"/>
      </w:pPr>
      <w:r>
        <w:t>Lenski, S., Elsner, S., Großschedl, J., 2022. Comparing construction and study of concept maps – An intervention study on learning outcome, self-evaluation and enjoyment through training and learning. Frontiers in Education 7, 892312. https://doi.org/10.3389/feduc.2022.892312</w:t>
      </w:r>
    </w:p>
    <w:p>
      <w:pPr>
        <w:ind w:left="432" w:hanging="432"/>
      </w:pPr>
      <w:r>
        <w:t>Levett-Jones, T., Hoffman, K., Dempsey, J., Jeong, S.Y.-S., Noble, D., Norton, C.A., Roche, J., Hickey, N., 2010. The 'five rights' of clinical reasoning: an educational model to enhance nursing students' ability to identify and manage clinically 'at risk' patients. Nurse Education Today 30, 515–520. https://doi.org/10.1016/j.nedt.2009.10.020</w:t>
      </w:r>
    </w:p>
    <w:p>
      <w:pPr>
        <w:ind w:left="432" w:hanging="432"/>
      </w:pPr>
      <w:r>
        <w:t>Leyrat, C., Morgan, K.E., Leurent, B., Kahan, B.C., 2018. Cluster randomized trials with a small number of clusters: which analyses should be used?. International Journal of Epidemiology 47, 321–331. https://doi.org/10.1093/ije/dyx169</w:t>
      </w:r>
    </w:p>
    <w:p>
      <w:pPr>
        <w:ind w:left="432" w:hanging="432"/>
      </w:pPr>
      <w:r>
        <w:t>Liaw, S.Y., Rashasegaran, A., Wong, L.F., Deneen, C.C., Cooper, S., Levett-Jones, T., Goh, H.S., Ignacio, J., 2018. Development and psychometric testing of a Clinical Reasoning Evaluation Simulation Tool (CREST) for assessing nursing students' abilities to recognize and respond to clinical deterioration. Nurse Education Today 62, 74–79. https://doi.org/10.1016/j.nedt.2017.12.009</w:t>
      </w:r>
    </w:p>
    <w:p>
      <w:pPr>
        <w:ind w:left="432" w:hanging="432"/>
      </w:pPr>
      <w:r>
        <w:t>Liaw, S.Y., Scherpbier, A., Rethans, J.-J., Klainin-Yobas, P., 2012. Assessment for simulation learning outcomes: a comparison of knowledge and self-reported confidence with observed clinical performance. Nurse Education Today 32, e35–e39. https://doi.org/10.1016/j.nedt.2011.10.006</w:t>
      </w:r>
    </w:p>
    <w:p>
      <w:pPr>
        <w:ind w:left="432" w:hanging="432"/>
      </w:pPr>
      <w:r>
        <w:t>Lynn, M.R., 1986. Determination and quantification of content validity. Nursing Research 35(6), 382–385. https://doi.org/10.1097/00006199-198611000-00017</w:t>
      </w:r>
    </w:p>
    <w:p>
      <w:pPr>
        <w:ind w:left="432" w:hanging="432"/>
      </w:pPr>
      <w:r>
        <w:t>Mesk, Z., Qtait, M., Alqaissi, N., Amro, A., Asafrah, M., Zeedat, F., Zeedat, H., Daoud, M., Asafrah, D., Hmedat, N., 2026. Effectiveness of mind mapping in undergraduate nursing education: A quasi-experimental study. SAGE Open Medicine 14, 20503121261462854. https://doi.org/10.1177/20503121261462854</w:t>
      </w:r>
    </w:p>
    <w:p>
      <w:pPr>
        <w:ind w:left="432" w:hanging="432"/>
      </w:pPr>
      <w:r>
        <w:t>National Institute for Health and Care Excellence, 2023. Head injury: assessment and early management. NICE guideline NG232. https://www.nice.org.uk/guidance/ng232</w:t>
      </w:r>
    </w:p>
    <w:p>
      <w:pPr>
        <w:ind w:left="432" w:hanging="432"/>
      </w:pPr>
      <w:r>
        <w:t>Phillips, A.C., Lewis, L.K., McEvoy, M.P., Galipeau, J., Glasziou, P., Moher, D., Tilson, J.K., Williams, M.T., 2016. Development and validation of the guideline for reporting evidence-based practice educational interventions and teaching (GREET). BMC Medical Education 16, 237. https://doi.org/10.1186/s12909-016-0759-1</w:t>
      </w:r>
    </w:p>
    <w:p>
      <w:pPr>
        <w:ind w:left="432" w:hanging="432"/>
      </w:pPr>
      <w:r>
        <w:t>Polit, D.F., Beck, C.T., Owen, S.V., 2007. Is the CVI an acceptable indicator of content validity? Appraisal and recommendations. Research in Nursing &amp; Health 30, 459–467. https://doi.org/10.1002/nur.20199</w:t>
      </w:r>
    </w:p>
    <w:p>
      <w:pPr>
        <w:ind w:left="432" w:hanging="432"/>
      </w:pPr>
      <w:r>
        <w:t>Shin, H., De Gagne, J.C., Kim, S.S., Hong, M., 2024. The impact of artificial intelligence-assisted learning on nursing students' ethical decision-making and clinical reasoning in pediatric care: A quasi-experimental study. CIN: Computers, Informatics, Nursing 42(10), 704–711. https://doi.org/10.1097/CIN.0000000000001177</w:t>
      </w:r>
    </w:p>
    <w:p>
      <w:pPr>
        <w:ind w:left="432" w:hanging="432"/>
      </w:pPr>
      <w:r>
        <w:t>Sweller, J., van Merriënboer, J.J.G., Paas, F., 2019. Cognitive architecture and instructional design: 20 years later. Educational Psychology Review 31, 261–292. https://doi.org/10.1007/s10648-019-09465-5</w:t>
      </w:r>
    </w:p>
    <w:p>
      <w:pPr>
        <w:ind w:left="432" w:hanging="432"/>
      </w:pPr>
      <w:r>
        <w:t>Wang, L., Wang, Y., Wang, X., Xue, C., 2023. Effects of mind mapping based on standardized patient program in patient education among postgraduate nursing students in clinical setting. BMC Medical Education 23, 982. https://doi.org/10.1186/s12909-023-04944-4</w:t>
      </w:r>
    </w:p>
    <w:p>
      <w:pPr>
        <w:ind w:left="432" w:hanging="432"/>
      </w:pPr>
      <w:r>
        <w:t>Watts, P.I., et al., 2021. Healthcare Simulation Standards of Best Practice: Simulation design. Clinical Simulation in Nursing 58, 14–21. https://doi.org/10.1016/j.ecns.2021.08.009</w:t>
      </w:r>
    </w:p>
    <w:p>
      <w:pPr>
        <w:ind w:left="432" w:hanging="432"/>
      </w:pPr>
      <w:r>
        <w:t>Yang, K.-H., Chen, H., Liu, C.-J., Zhang, F.-F., Jiang, X.-L., 2022. Effects of reflective learning based on visual mind mapping in the fundamentals of nursing course: A quasi-experimental study. Nurse Education Today 119, 105566. https://doi.org/10.1016/j.nedt.2022.105566</w:t>
      </w:r>
    </w:p>
    <w:sectPr w:rsidR="00FC693F" w:rsidRPr="0006063C" w:rsidSect="00034616">
      <w:footerReference w:type="default" r:id="rId9"/>
      <w:headerReference w:type="default" r:id="rId47"/>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9C0006"/>
        <w:sz w:val="16"/>
      </w:rPr>
      <w:t>SIMULATED TEACHING EXEMPLAR: fictitious data, not for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b w:val="0"/>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b w:val="0"/>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b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b w:val="0"/>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b w:val="0"/>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b w:val="0"/>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b w:val="0"/>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4" w:lineRule="auto"/>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b w:val="0"/>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b w:val="0"/>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b w:val="0"/>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b w:val="0"/>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b w:val="0"/>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b w:val="0"/>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b w:val="0"/>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b w:val="0"/>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b w:val="0"/>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b w:val="0"/>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b w:val="0"/>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b w:val="0"/>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b w:val="0"/>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b w:val="0"/>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b w:val="0"/>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b w:val="0"/>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val="0"/>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b w:val="0"/>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i.org/10.1016/j.nepr.2024.104142" TargetMode="External"/><Relationship Id="rId12" Type="http://schemas.openxmlformats.org/officeDocument/2006/relationships/hyperlink" Target="https://doi.org/10.1016/j.nedt.2025.106765" TargetMode="External"/><Relationship Id="rId13" Type="http://schemas.openxmlformats.org/officeDocument/2006/relationships/hyperlink" Target="https://doi.org/10.1186/s12912-025-03503-0" TargetMode="External"/><Relationship Id="rId14" Type="http://schemas.openxmlformats.org/officeDocument/2006/relationships/hyperlink" Target="https://doi.org/10.1097/00007632-200012150-00014" TargetMode="External"/><Relationship Id="rId15" Type="http://schemas.openxmlformats.org/officeDocument/2006/relationships/hyperlink" Target="https://doi.org/10.1093/pch/pxaf032" TargetMode="External"/><Relationship Id="rId16" Type="http://schemas.openxmlformats.org/officeDocument/2006/relationships/hyperlink" Target="https://doi.org/10.3928/01484834-20250129-05" TargetMode="External"/><Relationship Id="rId17" Type="http://schemas.openxmlformats.org/officeDocument/2006/relationships/hyperlink" Target="https://doi.org/10.1016/j.nepr.2025.104445" TargetMode="External"/><Relationship Id="rId18" Type="http://schemas.openxmlformats.org/officeDocument/2006/relationships/hyperlink" Target="https://doi.org/10.1186/s41077-016-0025-y" TargetMode="External"/><Relationship Id="rId19" Type="http://schemas.openxmlformats.org/officeDocument/2006/relationships/hyperlink" Target="https://doi.org/10.1186/s12909-026-10226-6" TargetMode="External"/><Relationship Id="rId20" Type="http://schemas.openxmlformats.org/officeDocument/2006/relationships/hyperlink" Target="https://doi.org/10.2105/AJPH.94.3.361" TargetMode="External"/><Relationship Id="rId21" Type="http://schemas.openxmlformats.org/officeDocument/2006/relationships/hyperlink" Target="https://doi.org/10.1186/s12912-026-04840-4" TargetMode="External"/><Relationship Id="rId22" Type="http://schemas.openxmlformats.org/officeDocument/2006/relationships/hyperlink" Target="https://doi.org/10.1097/SIH.0000000000000072" TargetMode="External"/><Relationship Id="rId23" Type="http://schemas.openxmlformats.org/officeDocument/2006/relationships/hyperlink" Target="https://doi.org/10.1111/bjet.13544" TargetMode="External"/><Relationship Id="rId24" Type="http://schemas.openxmlformats.org/officeDocument/2006/relationships/hyperlink" Target="https://doi.org/10.1007/s10648-015-9348-9" TargetMode="External"/><Relationship Id="rId25" Type="http://schemas.openxmlformats.org/officeDocument/2006/relationships/hyperlink" Target="https://doi.org/10.1207/S15324818AME1503_5" TargetMode="External"/><Relationship Id="rId26" Type="http://schemas.openxmlformats.org/officeDocument/2006/relationships/hyperlink" Target="https://doi.org/10.1136/bmj.g1687" TargetMode="External"/><Relationship Id="rId27" Type="http://schemas.openxmlformats.org/officeDocument/2006/relationships/hyperlink" Target="https://doi.org/10.1016/j.teln.2025.10.026" TargetMode="External"/><Relationship Id="rId28" Type="http://schemas.openxmlformats.org/officeDocument/2006/relationships/hyperlink" Target="https://doi.org/10.1111/jedm.12000" TargetMode="External"/><Relationship Id="rId29" Type="http://schemas.openxmlformats.org/officeDocument/2006/relationships/hyperlink" Target="https://doi.org/10.2307/2533558" TargetMode="External"/><Relationship Id="rId30" Type="http://schemas.openxmlformats.org/officeDocument/2006/relationships/hyperlink" Target="https://doi.org/10.20408/jti.2024.0080" TargetMode="External"/><Relationship Id="rId31" Type="http://schemas.openxmlformats.org/officeDocument/2006/relationships/hyperlink" Target="https://doi.org/10.1097/PCC.0000000000001735" TargetMode="External"/><Relationship Id="rId32" Type="http://schemas.openxmlformats.org/officeDocument/2006/relationships/hyperlink" Target="https://doi.org/10.1007/978-1-4939-0317-7" TargetMode="External"/><Relationship Id="rId33" Type="http://schemas.openxmlformats.org/officeDocument/2006/relationships/hyperlink" Target="https://doi.org/10.1016/j.jcm.2016.02.012" TargetMode="External"/><Relationship Id="rId34" Type="http://schemas.openxmlformats.org/officeDocument/2006/relationships/hyperlink" Target="https://doi.org/10.3928/01484834-20071101-04" TargetMode="External"/><Relationship Id="rId35" Type="http://schemas.openxmlformats.org/officeDocument/2006/relationships/hyperlink" Target="https://doi.org/10.3389/feduc.2022.892312" TargetMode="External"/><Relationship Id="rId36" Type="http://schemas.openxmlformats.org/officeDocument/2006/relationships/hyperlink" Target="https://doi.org/10.1016/j.nedt.2009.10.020" TargetMode="External"/><Relationship Id="rId37" Type="http://schemas.openxmlformats.org/officeDocument/2006/relationships/hyperlink" Target="https://doi.org/10.1093/ije/dyx169" TargetMode="External"/><Relationship Id="rId38" Type="http://schemas.openxmlformats.org/officeDocument/2006/relationships/hyperlink" Target="https://doi.org/10.1016/j.nedt.2017.12.009" TargetMode="External"/><Relationship Id="rId39" Type="http://schemas.openxmlformats.org/officeDocument/2006/relationships/hyperlink" Target="https://doi.org/10.1016/j.nedt.2011.10.006" TargetMode="External"/><Relationship Id="rId40" Type="http://schemas.openxmlformats.org/officeDocument/2006/relationships/hyperlink" Target="https://doi.org/10.1177/20503121261462854" TargetMode="External"/><Relationship Id="rId41" Type="http://schemas.openxmlformats.org/officeDocument/2006/relationships/hyperlink" Target="https://www.nice.org.uk/guidance/ng232" TargetMode="External"/><Relationship Id="rId42" Type="http://schemas.openxmlformats.org/officeDocument/2006/relationships/hyperlink" Target="https://doi.org/10.1002/nur.20199" TargetMode="External"/><Relationship Id="rId43" Type="http://schemas.openxmlformats.org/officeDocument/2006/relationships/hyperlink" Target="https://doi.org/10.1097/CIN.0000000000001177" TargetMode="External"/><Relationship Id="rId44" Type="http://schemas.openxmlformats.org/officeDocument/2006/relationships/hyperlink" Target="https://doi.org/10.1007/s10648-019-09465-5" TargetMode="External"/><Relationship Id="rId45" Type="http://schemas.openxmlformats.org/officeDocument/2006/relationships/hyperlink" Target="https://doi.org/10.1186/s12909-023-04944-4" TargetMode="External"/><Relationship Id="rId46" Type="http://schemas.openxmlformats.org/officeDocument/2006/relationships/hyperlink" Target="https://doi.org/10.1016/j.nedt.2022.105566" TargetMode="External"/><Relationship Id="rId47" Type="http://schemas.openxmlformats.org/officeDocument/2006/relationships/header" Target="header1.xml"/><Relationship Id="rId4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