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0"/>
          <w:szCs w:val="20"/>
        </w:rPr>
        <w:t xml:space="preserve">RESPONSE TO COMMENTARY</w:t>
      </w:r>
    </w:p>
    <w:p>
      <w:pPr>
        <w:spacing w:after="240" w:line="360"/>
      </w:pPr>
      <w:r>
        <w:rPr>
          <w:rFonts w:ascii="Times New Roman" w:cs="Times New Roman" w:eastAsia="Times New Roman" w:hAnsi="Times New Roman"/>
          <w:b/>
          <w:bCs/>
          <w:sz w:val="32"/>
          <w:szCs w:val="32"/>
        </w:rPr>
        <w:t xml:space="preserve">Reading the Patient, Evaluating the System: Nurses’ Trust and Reliance in AI-Assisted Early Warning</w:t>
      </w:r>
    </w:p>
    <w:p>
      <w:pPr>
        <w:spacing w:after="120" w:line="360"/>
      </w:pPr>
      <w:r>
        <w:rPr>
          <w:rFonts w:ascii="Times New Roman" w:cs="Times New Roman" w:eastAsia="Times New Roman" w:hAnsi="Times New Roman"/>
          <w:sz w:val="24"/>
          <w:szCs w:val="24"/>
        </w:rPr>
        <w:t xml:space="preserve">Osama Mohamed Elsayed Ramadan</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Reda Samy</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rPr>
        <w:t xml:space="preserve">Ghada Elsaid Ali Elsayed</w:t>
      </w:r>
      <w:r>
        <w:rPr>
          <w:rFonts w:ascii="Times New Roman" w:cs="Times New Roman" w:eastAsia="Times New Roman" w:hAnsi="Times New Roman"/>
          <w:sz w:val="24"/>
          <w:szCs w:val="24"/>
          <w:vertAlign w:val="superscript"/>
        </w:rPr>
        <w:t xml:space="preserve">3,4</w:t>
      </w:r>
    </w:p>
    <w:p>
      <w:pPr>
        <w:spacing w:after="60" w:line="276"/>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Department of Maternal and Child Health Nursing, College of Nursing, Jouf University, Sakaka, Saudi Arabia</w:t>
      </w:r>
    </w:p>
    <w:p>
      <w:pPr>
        <w:spacing w:after="60" w:line="276"/>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Medical Surgical Nursing, College of Nursing, Jouf University, Sakaka, Saudi Arabia</w:t>
      </w:r>
    </w:p>
    <w:p>
      <w:pPr>
        <w:spacing w:after="60" w:line="276"/>
      </w:pP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Department of Community and Mental Health Nursing, College of Nursing, Najran University, Najran, Saudi Arabia</w:t>
      </w:r>
    </w:p>
    <w:p>
      <w:pPr>
        <w:spacing w:after="60" w:line="276"/>
      </w:pP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Health Research Centre, Najran University, Najran, Saudi Arabia</w:t>
      </w:r>
    </w:p>
    <w:p>
      <w:pPr>
        <w:spacing w:after="120" w:before="0" w:line="360"/>
        <w:jc w:val="left"/>
      </w:pPr>
      <w:r>
        <w:rPr>
          <w:rFonts w:ascii="Times New Roman" w:cs="Times New Roman" w:eastAsia="Times New Roman" w:hAnsi="Times New Roman"/>
          <w:b w:val="false"/>
          <w:bCs w:val="false"/>
          <w:sz w:val="20"/>
          <w:szCs w:val="20"/>
        </w:rPr>
        <w:t xml:space="preserve">*Corresponding author: Osama Mohamed Elsayed Ramadan, Department of Maternal and Child Health Nursing, College of Nursing, Jouf University, Sakaka, Saudi Arabia. Email: omramadan@ju.edu.sa</w:t>
      </w:r>
    </w:p>
    <w:p>
      <w:pPr>
        <w:spacing w:after="120" w:before="0" w:line="360"/>
        <w:jc w:val="left"/>
      </w:pPr>
      <w:r>
        <w:rPr>
          <w:rFonts w:ascii="Times New Roman" w:cs="Times New Roman" w:eastAsia="Times New Roman" w:hAnsi="Times New Roman"/>
          <w:b w:val="false"/>
          <w:bCs w:val="false"/>
          <w:i/>
          <w:iCs/>
          <w:sz w:val="20"/>
          <w:szCs w:val="20"/>
        </w:rPr>
        <w:t xml:space="preserve">Response to a commentary on Samy et al., Nursing in Critical Care 2026;31(5):e70620. doi:10.1111/nicc.70620</w:t>
      </w:r>
    </w:p>
    <w:p>
      <w:pPr>
        <w:spacing w:after="240" w:before="0" w:line="360"/>
        <w:jc w:val="left"/>
      </w:pPr>
      <w:r>
        <w:rPr>
          <w:rFonts w:ascii="Times New Roman" w:cs="Times New Roman" w:eastAsia="Times New Roman" w:hAnsi="Times New Roman"/>
          <w:b w:val="false"/>
          <w:bCs w:val="false"/>
          <w:sz w:val="20"/>
          <w:szCs w:val="20"/>
        </w:rPr>
        <w:t xml:space="preserve">Word count: 1469 words (main text including headings; excluding title, author details, end statements and references). Title: 14 words.</w:t>
      </w:r>
    </w:p>
    <w:p>
      <w:pPr>
        <w:keepNext/>
        <w:spacing w:after="120" w:before="240" w:line="360"/>
      </w:pPr>
      <w:r>
        <w:rPr>
          <w:rFonts w:ascii="Times New Roman" w:cs="Times New Roman" w:eastAsia="Times New Roman" w:hAnsi="Times New Roman"/>
          <w:b/>
          <w:bCs/>
          <w:sz w:val="24"/>
          <w:szCs w:val="24"/>
        </w:rPr>
        <w:t xml:space="preserve">1 | INTRODUCTION</w:t>
      </w:r>
    </w:p>
    <w:p>
      <w:pPr>
        <w:spacing w:after="200" w:before="0" w:line="360"/>
        <w:jc w:val="both"/>
      </w:pPr>
      <w:r>
        <w:rPr>
          <w:rFonts w:ascii="Times New Roman" w:cs="Times New Roman" w:eastAsia="Times New Roman" w:hAnsi="Times New Roman"/>
          <w:b w:val="false"/>
          <w:bCs w:val="false"/>
          <w:sz w:val="24"/>
          <w:szCs w:val="24"/>
        </w:rPr>
        <w:t xml:space="preserve">We thank the authors of the commentary “Calibrated to what? Feedback asymmetry and the limits of experiential trust in AI-assisted early warning” for their close reading of our study,</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and for recognising that our identification of silent override “deserves the governance attention” we called for. They accept that interviews “capture well how nurses make sense of their reliance”; their concern is “one inferential step: from nurses’ accounts of trust to the claim that this trust is calibrated”. We agree that reported adjustment of trust does not establish accurate calibration. Equally, understanding how nurses interpret alerts and negotiate responsibility contributes distinctly to the safe use of AI.</w:t>
      </w:r>
    </w:p>
    <w:p>
      <w:pPr>
        <w:keepNext/>
        <w:spacing w:after="120" w:before="240" w:line="360"/>
      </w:pPr>
      <w:r>
        <w:rPr>
          <w:rFonts w:ascii="Times New Roman" w:cs="Times New Roman" w:eastAsia="Times New Roman" w:hAnsi="Times New Roman"/>
          <w:b/>
          <w:bCs/>
          <w:sz w:val="24"/>
          <w:szCs w:val="24"/>
        </w:rPr>
        <w:t xml:space="preserve">2 | WHAT INTERVIEWS CAN ESTABLISH, AND WHAT WE CLAIMED</w:t>
      </w:r>
    </w:p>
    <w:p>
      <w:pPr>
        <w:spacing w:after="200" w:before="0" w:line="360"/>
        <w:jc w:val="both"/>
      </w:pPr>
      <w:r>
        <w:rPr>
          <w:rFonts w:ascii="Times New Roman" w:cs="Times New Roman" w:eastAsia="Times New Roman" w:hAnsi="Times New Roman"/>
          <w:b w:val="false"/>
          <w:bCs w:val="false"/>
          <w:sz w:val="24"/>
          <w:szCs w:val="24"/>
        </w:rPr>
        <w:t xml:space="preserve">Our study used Interpretive Description, an approach designed to generate practice-relevant understanding of clinical phenomena.</w:t>
      </w:r>
      <w:r>
        <w:rPr>
          <w:rFonts w:ascii="Times New Roman" w:cs="Times New Roman" w:eastAsia="Times New Roman" w:hAnsi="Times New Roman"/>
          <w:b w:val="false"/>
          <w:bCs w:val="false"/>
          <w:sz w:val="24"/>
          <w:szCs w:val="24"/>
          <w:vertAlign w:val="superscript"/>
        </w:rPr>
        <w:t xml:space="preserve">2</w:t>
      </w:r>
      <w:r>
        <w:rPr>
          <w:rFonts w:ascii="Times New Roman" w:cs="Times New Roman" w:eastAsia="Times New Roman" w:hAnsi="Times New Roman"/>
          <w:b w:val="false"/>
          <w:bCs w:val="false"/>
          <w:sz w:val="24"/>
          <w:szCs w:val="24"/>
        </w:rPr>
        <w:t xml:space="preserve"> Automation bias theory “sensitised the study”</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in Blumer’s terms, it served as a sensitising concept, suggesting “directions along which to look” rather than “prescriptions of what to see”.</w:t>
      </w:r>
      <w:r>
        <w:rPr>
          <w:rFonts w:ascii="Times New Roman" w:cs="Times New Roman" w:eastAsia="Times New Roman" w:hAnsi="Times New Roman"/>
          <w:b w:val="false"/>
          <w:bCs w:val="false"/>
          <w:sz w:val="24"/>
          <w:szCs w:val="24"/>
          <w:vertAlign w:val="superscript"/>
        </w:rPr>
        <w:t xml:space="preserve">3</w:t>
      </w:r>
      <w:r>
        <w:rPr>
          <w:rFonts w:ascii="Times New Roman" w:cs="Times New Roman" w:eastAsia="Times New Roman" w:hAnsi="Times New Roman"/>
          <w:b w:val="false"/>
          <w:bCs w:val="false"/>
          <w:sz w:val="24"/>
          <w:szCs w:val="24"/>
        </w:rPr>
        <w:t xml:space="preserve"> We agree that automation bias is identified through the omission and commission errors it produces.</w:t>
      </w:r>
      <w:r>
        <w:rPr>
          <w:rFonts w:ascii="Times New Roman" w:cs="Times New Roman" w:eastAsia="Times New Roman" w:hAnsi="Times New Roman"/>
          <w:b w:val="false"/>
          <w:bCs w:val="false"/>
          <w:sz w:val="24"/>
          <w:szCs w:val="24"/>
          <w:vertAlign w:val="superscript"/>
        </w:rPr>
        <w:t xml:space="preserve">4</w:t>
      </w:r>
      <w:r>
        <w:rPr>
          <w:rFonts w:ascii="Times New Roman" w:cs="Times New Roman" w:eastAsia="Times New Roman" w:hAnsi="Times New Roman"/>
          <w:b w:val="false"/>
          <w:bCs w:val="false"/>
          <w:sz w:val="24"/>
          <w:szCs w:val="24"/>
        </w:rPr>
        <w:t xml:space="preserve"> Our interviews explored participants’ accounts of reliance and professional judgement; they did not independently establish the occurrence, frequency or consequences of automation-induced errors. What participants described was the pull towards the aid, including an early period of “giving the score more authority than their own assessment” and “an uneasy tendency to wait for the alert rather than lead surveillance”</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our title’s “experiences of automation bias” should be read as that pull.</w:t>
      </w:r>
    </w:p>
    <w:p>
      <w:pPr>
        <w:spacing w:after="200" w:before="0" w:line="360"/>
        <w:jc w:val="both"/>
      </w:pPr>
      <w:r>
        <w:rPr>
          <w:rFonts w:ascii="Times New Roman" w:cs="Times New Roman" w:eastAsia="Times New Roman" w:hAnsi="Times New Roman"/>
          <w:b w:val="false"/>
          <w:bCs w:val="false"/>
          <w:sz w:val="24"/>
          <w:szCs w:val="24"/>
        </w:rPr>
        <w:t xml:space="preserve">We also agree that calibration, in Lee and See’s sense, is the correspondence between trust and the automation’s capabilities,</w:t>
      </w:r>
      <w:r>
        <w:rPr>
          <w:rFonts w:ascii="Times New Roman" w:cs="Times New Roman" w:eastAsia="Times New Roman" w:hAnsi="Times New Roman"/>
          <w:b w:val="false"/>
          <w:bCs w:val="false"/>
          <w:sz w:val="24"/>
          <w:szCs w:val="24"/>
          <w:vertAlign w:val="superscript"/>
        </w:rPr>
        <w:t xml:space="preserve">5</w:t>
      </w:r>
      <w:r>
        <w:rPr>
          <w:rFonts w:ascii="Times New Roman" w:cs="Times New Roman" w:eastAsia="Times New Roman" w:hAnsi="Times New Roman"/>
          <w:b w:val="false"/>
          <w:bCs w:val="false"/>
          <w:sz w:val="24"/>
          <w:szCs w:val="24"/>
        </w:rPr>
        <w:t xml:space="preserve"> and that interviews alone cannot establish it. Our statement that trust was “actively calibrated through experience” suggests more than our design supports.</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More precisely, participants described adjusting their trust through experience; the accuracy of those adjustments was not evaluated. Our Limitations drew a related line, asking that self-reported ‘calibrated trust’ be read as “considered self-understanding rather than as a verified description of in-the-moment behaviour”.</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Likewise, “correctly dismissing” should read as dismissing an alert the nurse judged unhelpful, and junior nurses’ “greater tendency towards early overreliance” summarised accounts, not measured rates.</w:t>
      </w:r>
      <w:r>
        <w:rPr>
          <w:rFonts w:ascii="Times New Roman" w:cs="Times New Roman" w:eastAsia="Times New Roman" w:hAnsi="Times New Roman"/>
          <w:b w:val="false"/>
          <w:bCs w:val="false"/>
          <w:sz w:val="24"/>
          <w:szCs w:val="24"/>
          <w:vertAlign w:val="superscript"/>
        </w:rPr>
        <w:t xml:space="preserve">1</w:t>
      </w:r>
    </w:p>
    <w:p>
      <w:pPr>
        <w:spacing w:after="200" w:before="0" w:line="360"/>
        <w:jc w:val="both"/>
      </w:pPr>
      <w:r>
        <w:rPr>
          <w:rFonts w:ascii="Times New Roman" w:cs="Times New Roman" w:eastAsia="Times New Roman" w:hAnsi="Times New Roman"/>
          <w:b w:val="false"/>
          <w:bCs w:val="false"/>
          <w:sz w:val="24"/>
          <w:szCs w:val="24"/>
        </w:rPr>
        <w:t xml:space="preserve">Lee and See also distinguish trust, an attitude, from reliance, a behaviour.</w:t>
      </w:r>
      <w:r>
        <w:rPr>
          <w:rFonts w:ascii="Times New Roman" w:cs="Times New Roman" w:eastAsia="Times New Roman" w:hAnsi="Times New Roman"/>
          <w:b w:val="false"/>
          <w:bCs w:val="false"/>
          <w:sz w:val="24"/>
          <w:szCs w:val="24"/>
          <w:vertAlign w:val="superscript"/>
        </w:rPr>
        <w:t xml:space="preserve">5</w:t>
      </w:r>
      <w:r>
        <w:rPr>
          <w:rFonts w:ascii="Times New Roman" w:cs="Times New Roman" w:eastAsia="Times New Roman" w:hAnsi="Times New Roman"/>
          <w:b w:val="false"/>
          <w:bCs w:val="false"/>
          <w:sz w:val="24"/>
          <w:szCs w:val="24"/>
        </w:rPr>
        <w:t xml:space="preserve"> Participants described trust that was differentiated rather than global (“I trust it more for certain patients and less for others”, P14),</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but differentiation is not calibration: trust can be differentiated wrongly. Self-report is an established measure of trust as an attitude</w:t>
      </w:r>
      <w:r>
        <w:rPr>
          <w:rFonts w:ascii="Times New Roman" w:cs="Times New Roman" w:eastAsia="Times New Roman" w:hAnsi="Times New Roman"/>
          <w:b w:val="false"/>
          <w:bCs w:val="false"/>
          <w:sz w:val="24"/>
          <w:szCs w:val="24"/>
          <w:vertAlign w:val="superscript"/>
        </w:rPr>
        <w:t xml:space="preserve">6</w:t>
      </w:r>
      <w:r>
        <w:rPr>
          <w:rFonts w:ascii="Times New Roman" w:cs="Times New Roman" w:eastAsia="Times New Roman" w:hAnsi="Times New Roman"/>
          <w:b w:val="false"/>
          <w:bCs w:val="false"/>
          <w:sz w:val="24"/>
          <w:szCs w:val="24"/>
        </w:rPr>
        <w:t xml:space="preserve">; judging whether trust or reliance is appropriate requires reference data and, for reliance, behavioural data.</w:t>
      </w:r>
    </w:p>
    <w:p>
      <w:pPr>
        <w:spacing w:after="200" w:before="0" w:line="360"/>
        <w:jc w:val="both"/>
      </w:pPr>
      <w:r>
        <w:rPr>
          <w:rFonts w:ascii="Times New Roman" w:cs="Times New Roman" w:eastAsia="Times New Roman" w:hAnsi="Times New Roman"/>
          <w:b w:val="false"/>
          <w:bCs w:val="false"/>
          <w:sz w:val="24"/>
          <w:szCs w:val="24"/>
        </w:rPr>
        <w:t xml:space="preserve">The commentators rightly invoke Nisbett and Wilson, whose critique concerned access to the processes that produce judgements rather than to mental contents.</w:t>
      </w:r>
      <w:r>
        <w:rPr>
          <w:rFonts w:ascii="Times New Roman" w:cs="Times New Roman" w:eastAsia="Times New Roman" w:hAnsi="Times New Roman"/>
          <w:b w:val="false"/>
          <w:bCs w:val="false"/>
          <w:sz w:val="24"/>
          <w:szCs w:val="24"/>
          <w:vertAlign w:val="superscript"/>
        </w:rPr>
        <w:t xml:space="preserve">7</w:t>
      </w:r>
      <w:r>
        <w:rPr>
          <w:rFonts w:ascii="Times New Roman" w:cs="Times New Roman" w:eastAsia="Times New Roman" w:hAnsi="Times New Roman"/>
          <w:b w:val="false"/>
          <w:bCs w:val="false"/>
          <w:sz w:val="24"/>
          <w:szCs w:val="24"/>
        </w:rPr>
        <w:t xml:space="preserve"> It applies fully to participants’ explanations of why they trusted, which therefore cannot evidence calibration. Our other claims rest on episodes, reported practices and meanings that no audit log records: what senior nurses teach (“the algorithm is one voice”, P19), how override was framed (“I have to be able to explain it”, P06), and when risk felt shared or “entirely personal” (P05).</w:t>
      </w:r>
      <w:r>
        <w:rPr>
          <w:rFonts w:ascii="Times New Roman" w:cs="Times New Roman" w:eastAsia="Times New Roman" w:hAnsi="Times New Roman"/>
          <w:b w:val="false"/>
          <w:bCs w:val="false"/>
          <w:sz w:val="24"/>
          <w:szCs w:val="24"/>
          <w:vertAlign w:val="superscript"/>
        </w:rPr>
        <w:t xml:space="preserve">1</w:t>
      </w:r>
    </w:p>
    <w:p>
      <w:pPr>
        <w:spacing w:after="200" w:before="0" w:line="360"/>
        <w:jc w:val="both"/>
      </w:pPr>
      <w:r>
        <w:rPr>
          <w:rFonts w:ascii="Times New Roman" w:cs="Times New Roman" w:eastAsia="Times New Roman" w:hAnsi="Times New Roman"/>
          <w:b w:val="false"/>
          <w:bCs w:val="false"/>
          <w:sz w:val="24"/>
          <w:szCs w:val="24"/>
        </w:rPr>
        <w:t xml:space="preserve">We also accept that the foundational accounts the commentators cite are already dynamic,</w:t>
      </w:r>
      <w:r>
        <w:rPr>
          <w:rFonts w:ascii="Times New Roman" w:cs="Times New Roman" w:eastAsia="Times New Roman" w:hAnsi="Times New Roman"/>
          <w:b w:val="false"/>
          <w:bCs w:val="false"/>
          <w:sz w:val="24"/>
          <w:szCs w:val="24"/>
          <w:vertAlign w:val="superscript"/>
        </w:rPr>
        <w:t xml:space="preserve">4,5</w:t>
      </w:r>
      <w:r>
        <w:rPr>
          <w:rFonts w:ascii="Times New Roman" w:cs="Times New Roman" w:eastAsia="Times New Roman" w:hAnsi="Times New Roman"/>
          <w:b w:val="false"/>
          <w:bCs w:val="false"/>
          <w:sz w:val="24"/>
          <w:szCs w:val="24"/>
        </w:rPr>
        <w:t xml:space="preserve"> and that our phrase “complicate prevailing accounts” overstated the contrast. Our contribution is to give nursing content to the organisational and cultural context within which Lee and See place trust</w:t>
      </w:r>
      <w:r>
        <w:rPr>
          <w:rFonts w:ascii="Times New Roman" w:cs="Times New Roman" w:eastAsia="Times New Roman" w:hAnsi="Times New Roman"/>
          <w:b w:val="false"/>
          <w:bCs w:val="false"/>
          <w:sz w:val="24"/>
          <w:szCs w:val="24"/>
          <w:vertAlign w:val="superscript"/>
        </w:rPr>
        <w:t xml:space="preserve">5</w:t>
      </w:r>
      <w:r>
        <w:rPr>
          <w:rFonts w:ascii="Times New Roman" w:cs="Times New Roman" w:eastAsia="Times New Roman" w:hAnsi="Times New Roman"/>
          <w:b w:val="false"/>
          <w:bCs w:val="false"/>
          <w:sz w:val="24"/>
          <w:szCs w:val="24"/>
        </w:rPr>
        <w:t xml:space="preserve">: collegial support, hierarchy, institutional ambivalence and documentation burden.</w:t>
      </w:r>
    </w:p>
    <w:p>
      <w:pPr>
        <w:keepNext/>
        <w:spacing w:after="120" w:before="240" w:line="360"/>
      </w:pPr>
      <w:r>
        <w:rPr>
          <w:rFonts w:ascii="Times New Roman" w:cs="Times New Roman" w:eastAsia="Times New Roman" w:hAnsi="Times New Roman"/>
          <w:b/>
          <w:bCs/>
          <w:sz w:val="24"/>
          <w:szCs w:val="24"/>
        </w:rPr>
        <w:t xml:space="preserve">3 | FEEDBACK ASYMMETRY</w:t>
      </w:r>
    </w:p>
    <w:p>
      <w:pPr>
        <w:spacing w:after="200" w:before="0" w:line="360"/>
        <w:jc w:val="both"/>
      </w:pPr>
      <w:r>
        <w:rPr>
          <w:rFonts w:ascii="Times New Roman" w:cs="Times New Roman" w:eastAsia="Times New Roman" w:hAnsi="Times New Roman"/>
          <w:b w:val="false"/>
          <w:bCs w:val="false"/>
          <w:sz w:val="24"/>
          <w:szCs w:val="24"/>
        </w:rPr>
        <w:t xml:space="preserve">The commentators offer a “complementary reading” of the trajectory we described, and we accept it as such. It exposes a gap: we noted that omission-type vulnerability is “unlikely to become visible until a deterioration is missed”,</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but did not follow that point through to how trust is learned. Their reading, like ours, interprets the same accounts, though it draws on established research on learning from feedback; our interviews cannot show how far each explains the trajectory.</w:t>
      </w:r>
    </w:p>
    <w:p>
      <w:pPr>
        <w:spacing w:after="200" w:before="0" w:line="360"/>
        <w:jc w:val="both"/>
      </w:pPr>
      <w:r>
        <w:rPr>
          <w:rFonts w:ascii="Times New Roman" w:cs="Times New Roman" w:eastAsia="Times New Roman" w:hAnsi="Times New Roman"/>
          <w:b w:val="false"/>
          <w:bCs w:val="false"/>
          <w:sz w:val="24"/>
          <w:szCs w:val="24"/>
        </w:rPr>
        <w:t xml:space="preserve">Feedback about correctness is incomplete in both directions, though not equally. As the commentators note, an alert followed by no deterioration may reflect successful intervention rather than a false alarm, and deterioration that nurses recognise can make an absent warning visible. Participants described occasions when their assessment suggested deterioration that the score did not adequately reflect (“The score was fine, but I knew something was wrong”, P09).</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These accounts illustrate perceived discordance, rather than independently verified model misses; P14’s sense of knowing “when it would miss” is likewise perceived, not verified. Misses shared by nurse and model may remain unrecognised, and duration of exposure alone does not show whether feedback was complete enough to evaluate the system’s reliability. This strengthens our argument that surveillance skills “must be deliberately taught, practised and protected”</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if surveillance erodes into alert-dependence, missed deterioration may go not only undetected but unlearned. Yet knowledge gained through surveillance and pooled through “peer exchange”</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shares the same asymmetry; nurse-facing performance reports, as the commentators propose, may help address it, provided outcomes are soundly ascertained and interpreted.</w:t>
      </w:r>
    </w:p>
    <w:p>
      <w:pPr>
        <w:spacing w:after="200" w:before="0" w:line="360"/>
        <w:jc w:val="both"/>
      </w:pPr>
      <w:r>
        <w:rPr>
          <w:rFonts w:ascii="Times New Roman" w:cs="Times New Roman" w:eastAsia="Times New Roman" w:hAnsi="Times New Roman"/>
          <w:b w:val="false"/>
          <w:bCs w:val="false"/>
          <w:sz w:val="24"/>
          <w:szCs w:val="24"/>
        </w:rPr>
        <w:t xml:space="preserve">Algorithm aversion was demonstrated where people could choose whether to rely on an algorithm after seeing it err</w:t>
      </w:r>
      <w:r>
        <w:rPr>
          <w:rFonts w:ascii="Times New Roman" w:cs="Times New Roman" w:eastAsia="Times New Roman" w:hAnsi="Times New Roman"/>
          <w:b w:val="false"/>
          <w:bCs w:val="false"/>
          <w:sz w:val="24"/>
          <w:szCs w:val="24"/>
          <w:vertAlign w:val="superscript"/>
        </w:rPr>
        <w:t xml:space="preserve">8</w:t>
      </w:r>
      <w:r>
        <w:rPr>
          <w:rFonts w:ascii="Times New Roman" w:cs="Times New Roman" w:eastAsia="Times New Roman" w:hAnsi="Times New Roman"/>
          <w:b w:val="false"/>
          <w:bCs w:val="false"/>
          <w:sz w:val="24"/>
          <w:szCs w:val="24"/>
        </w:rPr>
        <w:t xml:space="preserve">; our participants’ discretion was constrained, though not absent. P17’s account illustrates the commentators’ point about salient, apparently false alarms, yet the nurse “still had to process the escalation because the alert existed”.</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A log may show that escalation without revealing whether it reflected trust, uncertainty or institutional pressure; the account suggests compliance without trust. Conversely, an unrecorded override leaves no rationale to review against what happened next, and P16’s certainty that an alert was “not real”</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is the kind of confidence that, as the commentators argue, incomplete feedback can sustain. Silent override thus adds an organisational layer to their feedback asymmetry.</w:t>
      </w:r>
    </w:p>
    <w:p>
      <w:pPr>
        <w:keepNext/>
        <w:spacing w:after="120" w:before="240" w:line="360"/>
      </w:pPr>
      <w:r>
        <w:rPr>
          <w:rFonts w:ascii="Times New Roman" w:cs="Times New Roman" w:eastAsia="Times New Roman" w:hAnsi="Times New Roman"/>
          <w:b/>
          <w:bCs/>
          <w:sz w:val="24"/>
          <w:szCs w:val="24"/>
        </w:rPr>
        <w:t xml:space="preserve">4 | BEDSIDE JUDGEMENT AND INDEPENDENT EVALUATION</w:t>
      </w:r>
    </w:p>
    <w:p>
      <w:pPr>
        <w:spacing w:after="200" w:before="0" w:line="360"/>
        <w:jc w:val="both"/>
      </w:pPr>
      <w:r>
        <w:rPr>
          <w:rFonts w:ascii="Times New Roman" w:cs="Times New Roman" w:eastAsia="Times New Roman" w:hAnsi="Times New Roman"/>
          <w:b w:val="false"/>
          <w:bCs w:val="false"/>
          <w:sz w:val="24"/>
          <w:szCs w:val="24"/>
        </w:rPr>
        <w:t xml:space="preserve">Participants described weighing alerts against the patient in front of them (“I look at my patient”, P03),</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consistent with Tanner’s conclusion that “sound clinical judgment rests to some degree on knowing the patient”.</w:t>
      </w:r>
      <w:r>
        <w:rPr>
          <w:rFonts w:ascii="Times New Roman" w:cs="Times New Roman" w:eastAsia="Times New Roman" w:hAnsi="Times New Roman"/>
          <w:b w:val="false"/>
          <w:bCs w:val="false"/>
          <w:sz w:val="24"/>
          <w:szCs w:val="24"/>
          <w:vertAlign w:val="superscript"/>
        </w:rPr>
        <w:t xml:space="preserve">9</w:t>
      </w:r>
      <w:r>
        <w:rPr>
          <w:rFonts w:ascii="Times New Roman" w:cs="Times New Roman" w:eastAsia="Times New Roman" w:hAnsi="Times New Roman"/>
          <w:b w:val="false"/>
          <w:bCs w:val="false"/>
          <w:sz w:val="24"/>
          <w:szCs w:val="24"/>
        </w:rPr>
        <w:t xml:space="preserve"> As the commentators argue, nurse and model can agree and both be wrong, and an assessment anchored by the alert cannot independently check it. We add a structural reason: the model analyses the same “routinely documented vital signs and laboratory parameters”</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that inform the nurse’s assessment, so the two are not fully independent, and clinicians report judging a model’s accuracy partly by its concordance with their own impressions.</w:t>
      </w:r>
      <w:r>
        <w:rPr>
          <w:rFonts w:ascii="Times New Roman" w:cs="Times New Roman" w:eastAsia="Times New Roman" w:hAnsi="Times New Roman"/>
          <w:b w:val="false"/>
          <w:bCs w:val="false"/>
          <w:sz w:val="24"/>
          <w:szCs w:val="24"/>
          <w:vertAlign w:val="superscript"/>
        </w:rPr>
        <w:t xml:space="preserve">10</w:t>
      </w:r>
      <w:r>
        <w:rPr>
          <w:rFonts w:ascii="Times New Roman" w:cs="Times New Roman" w:eastAsia="Times New Roman" w:hAnsi="Times New Roman"/>
          <w:b w:val="false"/>
          <w:bCs w:val="false"/>
          <w:sz w:val="24"/>
          <w:szCs w:val="24"/>
        </w:rPr>
        <w:t xml:space="preserve"> Establishing whether trust and reliance correspond to the system’s performance requires an independent reference, such as outcome-linked evaluation that includes missed events.</w:t>
      </w:r>
    </w:p>
    <w:p>
      <w:pPr>
        <w:spacing w:after="200" w:before="0" w:line="360"/>
        <w:jc w:val="both"/>
      </w:pPr>
      <w:r>
        <w:rPr>
          <w:rFonts w:ascii="Times New Roman" w:cs="Times New Roman" w:eastAsia="Times New Roman" w:hAnsi="Times New Roman"/>
          <w:b w:val="false"/>
          <w:bCs w:val="false"/>
          <w:sz w:val="24"/>
          <w:szCs w:val="24"/>
        </w:rPr>
        <w:t xml:space="preserve">Our article reported no local performance estimates, and we did not audit the model’s proprietary characteristics.</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As the commentators note, the validation they cite concerned another, sepsis-specific model</w:t>
      </w:r>
      <w:r>
        <w:rPr>
          <w:rFonts w:ascii="Times New Roman" w:cs="Times New Roman" w:eastAsia="Times New Roman" w:hAnsi="Times New Roman"/>
          <w:b w:val="false"/>
          <w:bCs w:val="false"/>
          <w:sz w:val="24"/>
          <w:szCs w:val="24"/>
          <w:vertAlign w:val="superscript"/>
        </w:rPr>
        <w:t xml:space="preserve">11</w:t>
      </w:r>
      <w:r>
        <w:rPr>
          <w:rFonts w:ascii="Times New Roman" w:cs="Times New Roman" w:eastAsia="Times New Roman" w:hAnsi="Times New Roman"/>
          <w:b w:val="false"/>
          <w:bCs w:val="false"/>
          <w:sz w:val="24"/>
          <w:szCs w:val="24"/>
        </w:rPr>
        <w:t xml:space="preserve">; its estimates do not describe our participants’ deterioration model, but its lesson, independent local validation, transfers. Local evaluation should specify outcomes, prediction horizons and alert thresholds, account for the effects of clinical intervention, and be made known to nurses.</w:t>
      </w:r>
    </w:p>
    <w:p>
      <w:pPr>
        <w:keepNext/>
        <w:spacing w:after="120" w:before="240" w:line="360"/>
      </w:pPr>
      <w:r>
        <w:rPr>
          <w:rFonts w:ascii="Times New Roman" w:cs="Times New Roman" w:eastAsia="Times New Roman" w:hAnsi="Times New Roman"/>
          <w:b/>
          <w:bCs/>
          <w:sz w:val="24"/>
          <w:szCs w:val="24"/>
        </w:rPr>
        <w:t xml:space="preserve">5 | ACCOUNTABILITY AND EVALUATION</w:t>
      </w:r>
    </w:p>
    <w:p>
      <w:pPr>
        <w:spacing w:after="200" w:before="0" w:line="360"/>
        <w:jc w:val="both"/>
      </w:pPr>
      <w:r>
        <w:rPr>
          <w:rFonts w:ascii="Times New Roman" w:cs="Times New Roman" w:eastAsia="Times New Roman" w:hAnsi="Times New Roman"/>
          <w:b w:val="false"/>
          <w:bCs w:val="false"/>
          <w:sz w:val="24"/>
          <w:szCs w:val="24"/>
        </w:rPr>
        <w:t xml:space="preserve">Our proposed override field was a governance recommendation, not a tested intervention or a claim that overrides were safe. We accept the commentators’ warning that a field required only for overrides could “make acceptance the implicit default and attach friction to disagreement alone”, a risk our article raised only generally.</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Acceptance and disagreement deserve comparable scrutiny. Accountability should consider the information available at the time of the decision alongside independent review of subsequent outcomes, rather than conformity with the algorithm alone. We therefore welcome symmetric capture from system logs, linking alerts, and periods without alerts, to nurses’ responses and to independently ascertained deterioration. Logs still need interpretive categories: a log may show that no escalation was recorded, not whether the alert was assessed and judged wrong or never read; our single-click acknowledgement, extended to every alert, could partly capture this distinction.</w:t>
      </w:r>
      <w:r>
        <w:rPr>
          <w:rFonts w:ascii="Times New Roman" w:cs="Times New Roman" w:eastAsia="Times New Roman" w:hAnsi="Times New Roman"/>
          <w:b w:val="false"/>
          <w:bCs w:val="false"/>
          <w:sz w:val="24"/>
          <w:szCs w:val="24"/>
          <w:vertAlign w:val="superscript"/>
        </w:rPr>
        <w:t xml:space="preserve">1</w:t>
      </w:r>
    </w:p>
    <w:p>
      <w:pPr>
        <w:spacing w:after="200" w:before="0" w:line="360"/>
        <w:jc w:val="both"/>
      </w:pPr>
      <w:r>
        <w:rPr>
          <w:rFonts w:ascii="Times New Roman" w:cs="Times New Roman" w:eastAsia="Times New Roman" w:hAnsi="Times New Roman"/>
          <w:b w:val="false"/>
          <w:bCs w:val="false"/>
          <w:sz w:val="24"/>
          <w:szCs w:val="24"/>
        </w:rPr>
        <w:t xml:space="preserve">The commentators’ call for “behavioural designs that observe judgement with and without the system” goes further than our proposal to link accounts with audit data.</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Where a deployed system cannot ethically be withheld, simulation and vignettes are feasible. The vignette trial they cite warns against relying on explanations: image-based explanations did not mitigate the harm of systematically biased predictions among clinicians,</w:t>
      </w:r>
      <w:r>
        <w:rPr>
          <w:rFonts w:ascii="Times New Roman" w:cs="Times New Roman" w:eastAsia="Times New Roman" w:hAnsi="Times New Roman"/>
          <w:b w:val="false"/>
          <w:bCs w:val="false"/>
          <w:sz w:val="24"/>
          <w:szCs w:val="24"/>
          <w:vertAlign w:val="superscript"/>
        </w:rPr>
        <w:t xml:space="preserve">12</w:t>
      </w:r>
      <w:r>
        <w:rPr>
          <w:rFonts w:ascii="Times New Roman" w:cs="Times New Roman" w:eastAsia="Times New Roman" w:hAnsi="Times New Roman"/>
          <w:b w:val="false"/>
          <w:bCs w:val="false"/>
          <w:sz w:val="24"/>
          <w:szCs w:val="24"/>
        </w:rPr>
        <w:t xml:space="preserve"> although its relevance to nursing surveillance is untested. Our findings suggest what to test: discordant alerts (P09), alarms after suctioning (P17), and complex cases, for which P05 reported trusting the system less.</w:t>
      </w:r>
      <w:r>
        <w:rPr>
          <w:rFonts w:ascii="Times New Roman" w:cs="Times New Roman" w:eastAsia="Times New Roman" w:hAnsi="Times New Roman"/>
          <w:b w:val="false"/>
          <w:bCs w:val="false"/>
          <w:sz w:val="24"/>
          <w:szCs w:val="24"/>
          <w:vertAlign w:val="superscript"/>
        </w:rPr>
        <w:t xml:space="preserve">1</w:t>
      </w:r>
      <w:r>
        <w:rPr>
          <w:rFonts w:ascii="Times New Roman" w:cs="Times New Roman" w:eastAsia="Times New Roman" w:hAnsi="Times New Roman"/>
          <w:b w:val="false"/>
          <w:bCs w:val="false"/>
          <w:sz w:val="24"/>
          <w:szCs w:val="24"/>
        </w:rPr>
        <w:t xml:space="preserve"> Comparing nurses’ trust across patient groups with group-specific false-alarm rates and independently ascertained misses, separating those nurses recognised from those they did not, could show whether differentiated trust tracks reliability or only visible errors. Such studies should distinguish nurses’ self-confidence, reported trust and observed reliance.</w:t>
      </w:r>
    </w:p>
    <w:p>
      <w:pPr>
        <w:spacing w:after="200" w:before="0" w:line="360"/>
        <w:jc w:val="both"/>
      </w:pPr>
      <w:r>
        <w:rPr>
          <w:rFonts w:ascii="Times New Roman" w:cs="Times New Roman" w:eastAsia="Times New Roman" w:hAnsi="Times New Roman"/>
          <w:b w:val="false"/>
          <w:bCs w:val="false"/>
          <w:sz w:val="24"/>
          <w:szCs w:val="24"/>
        </w:rPr>
        <w:t xml:space="preserve">The commentators ask the right question: “Calibrated to what?” Bedside assessment guides the immediate clinical response; independent, outcome-linked evaluation establishes whether trust and reliance correspond to system performance. Our study illuminates nurses’ interpretations and the organisational conditions shaping their responses. The commentary identifies the complementary evidence needed to evaluate their appropriateness.</w:t>
      </w:r>
    </w:p>
    <w:p>
      <w:pPr>
        <w:keepNext/>
        <w:spacing w:after="120" w:before="240" w:line="360"/>
      </w:pPr>
      <w:r>
        <w:rPr>
          <w:rFonts w:ascii="Times New Roman" w:cs="Times New Roman" w:eastAsia="Times New Roman" w:hAnsi="Times New Roman"/>
          <w:b/>
          <w:bCs/>
          <w:sz w:val="22"/>
          <w:szCs w:val="22"/>
        </w:rPr>
        <w:t xml:space="preserve">CONFLICT OF INTEREST</w:t>
      </w:r>
    </w:p>
    <w:p>
      <w:pPr>
        <w:spacing w:after="120" w:before="0" w:line="360"/>
        <w:jc w:val="both"/>
      </w:pPr>
      <w:r>
        <w:rPr>
          <w:rFonts w:ascii="Times New Roman" w:cs="Times New Roman" w:eastAsia="Times New Roman" w:hAnsi="Times New Roman"/>
          <w:b w:val="false"/>
          <w:bCs w:val="false"/>
          <w:sz w:val="22"/>
          <w:szCs w:val="22"/>
        </w:rPr>
        <w:t xml:space="preserve">The authors wrote the study discussed in the commentary to which this article responds. They declare no other conflicts of interest.</w:t>
      </w:r>
    </w:p>
    <w:p>
      <w:pPr>
        <w:keepNext/>
        <w:spacing w:after="120" w:before="240" w:line="360"/>
      </w:pPr>
      <w:r>
        <w:rPr>
          <w:rFonts w:ascii="Times New Roman" w:cs="Times New Roman" w:eastAsia="Times New Roman" w:hAnsi="Times New Roman"/>
          <w:b/>
          <w:bCs/>
          <w:sz w:val="22"/>
          <w:szCs w:val="22"/>
        </w:rPr>
        <w:t xml:space="preserve">FUNDING</w:t>
      </w:r>
    </w:p>
    <w:p>
      <w:pPr>
        <w:spacing w:after="120" w:before="0" w:line="360"/>
        <w:jc w:val="both"/>
      </w:pPr>
      <w:r>
        <w:rPr>
          <w:rFonts w:ascii="Times New Roman" w:cs="Times New Roman" w:eastAsia="Times New Roman" w:hAnsi="Times New Roman"/>
          <w:b w:val="false"/>
          <w:bCs w:val="false"/>
          <w:sz w:val="22"/>
          <w:szCs w:val="22"/>
        </w:rPr>
        <w:t xml:space="preserve">This response received no specific funding.</w:t>
      </w:r>
    </w:p>
    <w:p>
      <w:pPr>
        <w:keepNext/>
        <w:spacing w:after="120" w:before="240" w:line="360"/>
      </w:pPr>
      <w:r>
        <w:rPr>
          <w:rFonts w:ascii="Times New Roman" w:cs="Times New Roman" w:eastAsia="Times New Roman" w:hAnsi="Times New Roman"/>
          <w:b/>
          <w:bCs/>
          <w:sz w:val="22"/>
          <w:szCs w:val="22"/>
        </w:rPr>
        <w:t xml:space="preserve">DATA AVAILABILITY STATEMENT</w:t>
      </w:r>
    </w:p>
    <w:p>
      <w:pPr>
        <w:spacing w:after="120" w:before="0" w:line="360"/>
        <w:jc w:val="both"/>
      </w:pPr>
      <w:r>
        <w:rPr>
          <w:rFonts w:ascii="Times New Roman" w:cs="Times New Roman" w:eastAsia="Times New Roman" w:hAnsi="Times New Roman"/>
          <w:b w:val="false"/>
          <w:bCs w:val="false"/>
          <w:sz w:val="22"/>
          <w:szCs w:val="22"/>
        </w:rPr>
        <w:t xml:space="preserve">Data sharing is not applicable to this article as no new data were created or analysed. Participant quotations are reproduced from the published study.</w:t>
      </w:r>
      <w:r>
        <w:rPr>
          <w:rFonts w:ascii="Times New Roman" w:cs="Times New Roman" w:eastAsia="Times New Roman" w:hAnsi="Times New Roman"/>
          <w:b w:val="false"/>
          <w:bCs w:val="false"/>
          <w:sz w:val="22"/>
          <w:szCs w:val="22"/>
          <w:vertAlign w:val="superscript"/>
        </w:rPr>
        <w:t xml:space="preserve">1</w:t>
      </w:r>
    </w:p>
    <w:p>
      <w:pPr>
        <w:keepNext/>
        <w:spacing w:after="120" w:before="240" w:line="360"/>
      </w:pPr>
      <w:r>
        <w:rPr>
          <w:rFonts w:ascii="Times New Roman" w:cs="Times New Roman" w:eastAsia="Times New Roman" w:hAnsi="Times New Roman"/>
          <w:b/>
          <w:bCs/>
          <w:sz w:val="24"/>
          <w:szCs w:val="24"/>
        </w:rPr>
        <w:t xml:space="preserve">REFERENCES</w:t>
      </w:r>
    </w:p>
    <w:p>
      <w:pPr>
        <w:spacing w:after="100" w:before="0" w:line="276"/>
        <w:ind w:left="400" w:hanging="400"/>
        <w:jc w:val="left"/>
      </w:pPr>
      <w:r>
        <w:rPr>
          <w:rFonts w:ascii="Times New Roman" w:cs="Times New Roman" w:eastAsia="Times New Roman" w:hAnsi="Times New Roman"/>
          <w:b w:val="false"/>
          <w:bCs w:val="false"/>
          <w:sz w:val="22"/>
          <w:szCs w:val="22"/>
        </w:rPr>
        <w:t xml:space="preserve">1. Samy R, Ramadan OME, Elsayed GEA. Trusting the algorithm or trusting the nurse? Critical care nurses’ experiences of automation bias and professional autonomy in AI-assisted early warning. Nursing in Critical Care. 2026;31(5):e70620. doi:10.1111/nicc.70620</w:t>
      </w:r>
    </w:p>
    <w:p>
      <w:pPr>
        <w:spacing w:after="100" w:before="0" w:line="276"/>
        <w:ind w:left="400" w:hanging="400"/>
        <w:jc w:val="left"/>
      </w:pPr>
      <w:r>
        <w:rPr>
          <w:rFonts w:ascii="Times New Roman" w:cs="Times New Roman" w:eastAsia="Times New Roman" w:hAnsi="Times New Roman"/>
          <w:b w:val="false"/>
          <w:bCs w:val="false"/>
          <w:sz w:val="22"/>
          <w:szCs w:val="22"/>
        </w:rPr>
        <w:t xml:space="preserve">2. Thorne S. Interpretive Description: Qualitative Research for Applied Practice. 2nd ed. New York: Routledge; 2016.</w:t>
      </w:r>
    </w:p>
    <w:p>
      <w:pPr>
        <w:spacing w:after="100" w:before="0" w:line="276"/>
        <w:ind w:left="400" w:hanging="400"/>
        <w:jc w:val="left"/>
      </w:pPr>
      <w:r>
        <w:rPr>
          <w:rFonts w:ascii="Times New Roman" w:cs="Times New Roman" w:eastAsia="Times New Roman" w:hAnsi="Times New Roman"/>
          <w:b w:val="false"/>
          <w:bCs w:val="false"/>
          <w:sz w:val="22"/>
          <w:szCs w:val="22"/>
        </w:rPr>
        <w:t xml:space="preserve">3. Blumer H. What is wrong with social theory? American Sociological Review. 1954;19(1):3-10.</w:t>
      </w:r>
    </w:p>
    <w:p>
      <w:pPr>
        <w:spacing w:after="100" w:before="0" w:line="276"/>
        <w:ind w:left="400" w:hanging="400"/>
        <w:jc w:val="left"/>
      </w:pPr>
      <w:r>
        <w:rPr>
          <w:rFonts w:ascii="Times New Roman" w:cs="Times New Roman" w:eastAsia="Times New Roman" w:hAnsi="Times New Roman"/>
          <w:b w:val="false"/>
          <w:bCs w:val="false"/>
          <w:sz w:val="22"/>
          <w:szCs w:val="22"/>
        </w:rPr>
        <w:t xml:space="preserve">4. Parasuraman R, Manzey DH. Complacency and bias in human use of automation: an attentional integration. Human Factors. 2010;52(3):381-410. doi:10.1177/0018720810376055</w:t>
      </w:r>
    </w:p>
    <w:p>
      <w:pPr>
        <w:spacing w:after="100" w:before="0" w:line="276"/>
        <w:ind w:left="400" w:hanging="400"/>
        <w:jc w:val="left"/>
      </w:pPr>
      <w:r>
        <w:rPr>
          <w:rFonts w:ascii="Times New Roman" w:cs="Times New Roman" w:eastAsia="Times New Roman" w:hAnsi="Times New Roman"/>
          <w:b w:val="false"/>
          <w:bCs w:val="false"/>
          <w:sz w:val="22"/>
          <w:szCs w:val="22"/>
        </w:rPr>
        <w:t xml:space="preserve">5. Lee JD, See KA. Trust in automation: designing for appropriate reliance. Human Factors. 2004;46(1):50-80. doi:10.1518/hfes.46.1.50_30392</w:t>
      </w:r>
    </w:p>
    <w:p>
      <w:pPr>
        <w:spacing w:after="100" w:before="0" w:line="276"/>
        <w:ind w:left="400" w:hanging="400"/>
        <w:jc w:val="left"/>
      </w:pPr>
      <w:r>
        <w:rPr>
          <w:rFonts w:ascii="Times New Roman" w:cs="Times New Roman" w:eastAsia="Times New Roman" w:hAnsi="Times New Roman"/>
          <w:b w:val="false"/>
          <w:bCs w:val="false"/>
          <w:sz w:val="22"/>
          <w:szCs w:val="22"/>
        </w:rPr>
        <w:t xml:space="preserve">6. Kohn SC, de Visser EJ, Wiese E, Lee YC, Shaw TH. Measurement of trust in automation: a narrative review and reference guide. Frontiers in Psychology. 2021;12:604977. doi:10.3389/fpsyg.2021.604977</w:t>
      </w:r>
    </w:p>
    <w:p>
      <w:pPr>
        <w:spacing w:after="100" w:before="0" w:line="276"/>
        <w:ind w:left="400" w:hanging="400"/>
        <w:jc w:val="left"/>
      </w:pPr>
      <w:r>
        <w:rPr>
          <w:rFonts w:ascii="Times New Roman" w:cs="Times New Roman" w:eastAsia="Times New Roman" w:hAnsi="Times New Roman"/>
          <w:b w:val="false"/>
          <w:bCs w:val="false"/>
          <w:sz w:val="22"/>
          <w:szCs w:val="22"/>
        </w:rPr>
        <w:t xml:space="preserve">7. Nisbett RE, Wilson TD. Telling more than we can know: verbal reports on mental processes. Psychological Review. 1977;84(3):231-259. doi:10.1037/0033-295X.84.3.231</w:t>
      </w:r>
    </w:p>
    <w:p>
      <w:pPr>
        <w:spacing w:after="100" w:before="0" w:line="276"/>
        <w:ind w:left="400" w:hanging="400"/>
        <w:jc w:val="left"/>
      </w:pPr>
      <w:r>
        <w:rPr>
          <w:rFonts w:ascii="Times New Roman" w:cs="Times New Roman" w:eastAsia="Times New Roman" w:hAnsi="Times New Roman"/>
          <w:b w:val="false"/>
          <w:bCs w:val="false"/>
          <w:sz w:val="22"/>
          <w:szCs w:val="22"/>
        </w:rPr>
        <w:t xml:space="preserve">8. Dietvorst BJ, Simmons JP, Massey C. Algorithm aversion: people erroneously avoid algorithms after seeing them err. Journal of Experimental Psychology: General. 2015;144(1):114-126. doi:10.1037/xge0000033</w:t>
      </w:r>
    </w:p>
    <w:p>
      <w:pPr>
        <w:spacing w:after="100" w:before="0" w:line="276"/>
        <w:ind w:left="400" w:hanging="400"/>
        <w:jc w:val="left"/>
      </w:pPr>
      <w:r>
        <w:rPr>
          <w:rFonts w:ascii="Times New Roman" w:cs="Times New Roman" w:eastAsia="Times New Roman" w:hAnsi="Times New Roman"/>
          <w:b w:val="false"/>
          <w:bCs w:val="false"/>
          <w:sz w:val="22"/>
          <w:szCs w:val="22"/>
        </w:rPr>
        <w:t xml:space="preserve">9. Tanner CA. Thinking like a nurse: a research-based model of clinical judgment in nursing. Journal of Nursing Education. 2006;45(6):204-211. doi:10.3928/01484834-20060601-04</w:t>
      </w:r>
    </w:p>
    <w:p>
      <w:pPr>
        <w:spacing w:after="100" w:before="0" w:line="276"/>
        <w:ind w:left="400" w:hanging="400"/>
        <w:jc w:val="left"/>
      </w:pPr>
      <w:r>
        <w:rPr>
          <w:rFonts w:ascii="Times New Roman" w:cs="Times New Roman" w:eastAsia="Times New Roman" w:hAnsi="Times New Roman"/>
          <w:b w:val="false"/>
          <w:bCs w:val="false"/>
          <w:sz w:val="22"/>
          <w:szCs w:val="22"/>
        </w:rPr>
        <w:t xml:space="preserve">10. Schwartz JM, George M, Rossetti SC, et al. Factors influencing clinician trust in predictive clinical decision support systems for in-hospital deterioration: qualitative descriptive study. JMIR Human Factors. 2022;9(2):e33960. doi:10.2196/33960</w:t>
      </w:r>
    </w:p>
    <w:p>
      <w:pPr>
        <w:spacing w:after="100" w:before="0" w:line="276"/>
        <w:ind w:left="400" w:hanging="400"/>
        <w:jc w:val="left"/>
      </w:pPr>
      <w:r>
        <w:rPr>
          <w:rFonts w:ascii="Times New Roman" w:cs="Times New Roman" w:eastAsia="Times New Roman" w:hAnsi="Times New Roman"/>
          <w:b w:val="false"/>
          <w:bCs w:val="false"/>
          <w:sz w:val="22"/>
          <w:szCs w:val="22"/>
        </w:rPr>
        <w:t xml:space="preserve">11. Wong A, Otles E, Donnelly JP, et al. External validation of a widely implemented proprietary sepsis prediction model in hospitalized patients. JAMA Internal Medicine. 2021;181(8):1065-1070. doi:10.1001/jamainternmed.2021.2626</w:t>
      </w:r>
    </w:p>
    <w:p>
      <w:pPr>
        <w:spacing w:after="100" w:before="0" w:line="276"/>
        <w:ind w:left="400" w:hanging="400"/>
        <w:jc w:val="left"/>
      </w:pPr>
      <w:r>
        <w:rPr>
          <w:rFonts w:ascii="Times New Roman" w:cs="Times New Roman" w:eastAsia="Times New Roman" w:hAnsi="Times New Roman"/>
          <w:b w:val="false"/>
          <w:bCs w:val="false"/>
          <w:sz w:val="22"/>
          <w:szCs w:val="22"/>
        </w:rPr>
        <w:t xml:space="preserve">12. Jabbour S, Fouhey D, Shepard S, et al. Measuring the impact of AI in the diagnosis of hospitalized patients: a randomized clinical vignette survey study. JAMA. 2023;330(23):2275-2284. doi:10.1001/jama.2023.22295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Patient, Evaluating the System: Nurses’ Trust and Reliance in AI-Assisted Early Warning</dc:title>
  <dc:creator>Osama Mohamed Elsayed Ramadan</dc:creator>
  <cp:lastModifiedBy>Un-named</cp:lastModifiedBy>
  <cp:revision>1</cp:revision>
  <dcterms:created xsi:type="dcterms:W3CDTF">2026-10-09T06:27:04.750Z</dcterms:created>
  <dcterms:modified xsi:type="dcterms:W3CDTF">2026-10-09T06:27:04.752Z</dcterms:modified>
</cp:coreProperties>
</file>

<file path=docProps/custom.xml><?xml version="1.0" encoding="utf-8"?>
<Properties xmlns="http://schemas.openxmlformats.org/officeDocument/2006/custom-properties" xmlns:vt="http://schemas.openxmlformats.org/officeDocument/2006/docPropsVTypes"/>
</file>