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rmaalweb"/>
        <w:spacing w:after="40"/>
      </w:pPr>
      <w:r>
        <w:rPr>
          <w:rFonts w:ascii="Times New Roman" w:hAnsi="Times New Roman"/>
          <w:b/>
          <w:i w:val="0"/>
          <w:sz w:val="24"/>
        </w:rPr>
        <w:t>Supplementary File 2</w:t>
      </w:r>
    </w:p>
    <w:p>
      <w:pPr>
        <w:pStyle w:val="Normaalweb"/>
        <w:spacing w:after="40"/>
      </w:pPr>
      <w:r>
        <w:rPr>
          <w:rFonts w:ascii="Times New Roman" w:hAnsi="Times New Roman"/>
          <w:b/>
          <w:i w:val="0"/>
          <w:sz w:val="24"/>
        </w:rPr>
        <w:t>Qualitative reporting map: COREQ items and RTARG considerations</w:t>
      </w:r>
    </w:p>
    <w:p>
      <w:pPr>
        <w:pStyle w:val="Normaalweb"/>
        <w:spacing w:after="120"/>
      </w:pPr>
      <w:r>
        <w:rPr>
          <w:rFonts w:ascii="Times New Roman" w:hAnsi="Times New Roman"/>
          <w:b w:val="0"/>
          <w:i/>
          <w:sz w:val="22"/>
        </w:rPr>
        <w:t>Who Holds the Holders? Leadership and Collective Resilience Among Neonatal Intensive Care Nurses: A Participatory Photovoice Study</w:t>
      </w:r>
    </w:p>
    <w:p>
      <w:pPr>
        <w:pStyle w:val="Normaalweb"/>
        <w:spacing w:after="120"/>
      </w:pPr>
      <w:r>
        <w:rPr>
          <w:rFonts w:ascii="Times New Roman" w:hAnsi="Times New Roman"/>
          <w:b w:val="0"/>
          <w:i w:val="0"/>
          <w:sz w:val="22"/>
        </w:rPr>
        <w:t>This map locates where each of the 32 Consolidated Criteria for Reporting Qualitative Research (COREQ) items is addressed [29] and where the manuscript reflects the Reflexive Thematic Analysis Reporting Guidelines (RTARG) [28]. Locations refer to section headings, which remain stable across layouts. Where an item is not applicable to reflexive thematic analysis, or is not reported, this is stated rather than inferred. The map supports navigation; it does not score reporting quality.</w:t>
      </w:r>
    </w:p>
    <w:p>
      <w:pPr>
        <w:pStyle w:val="Heading2"/>
        <w:spacing w:after="80"/>
      </w:pPr>
      <w:r>
        <w:rPr>
          <w:rFonts w:ascii="Times New Roman" w:hAnsi="Times New Roman"/>
          <w:b/>
          <w:i w:val="0"/>
        </w:rPr>
        <w:t>COREQ items</w:t>
      </w:r>
    </w:p>
    <w:tbl>
      <w:tblPr>
        <w:tblW w:type="auto" w:w="0"/>
        <w:tblLayout w:type="fixed"/>
        <w:tblLook w:firstColumn="1" w:firstRow="1" w:lastColumn="0" w:lastRow="0" w:noHBand="0" w:noVBand="1" w:val="04A0"/>
      </w:tblPr>
      <w:tblGrid>
        <w:gridCol w:w="624"/>
        <w:gridCol w:w="2268"/>
        <w:gridCol w:w="5669"/>
      </w:tblGrid>
      <w:tr>
        <w:tc>
          <w:tcPr>
            <w:tcW w:type="dxa" w:w="624"/>
            <w:tcBorders>
              <w:top w:val="single" w:sz="8" w:space="0" w:color="000000"/>
              <w:left w:val="nil"/>
              <w:bottom w:val="single" w:sz="6" w:space="0" w:color="000000"/>
              <w:right w:val="nil"/>
            </w:tcBorders>
          </w:tcPr>
          <w:p>
            <w:pPr>
              <w:spacing w:after="20" w:before="20"/>
            </w:pPr>
            <w:r/>
            <w:r>
              <w:rPr>
                <w:rFonts w:ascii="Times New Roman" w:hAnsi="Times New Roman"/>
                <w:b/>
                <w:i w:val="0"/>
                <w:sz w:val="19"/>
              </w:rPr>
              <w:t>No.</w:t>
            </w:r>
          </w:p>
        </w:tc>
        <w:tc>
          <w:tcPr>
            <w:tcW w:type="dxa" w:w="2268"/>
            <w:tcBorders>
              <w:top w:val="single" w:sz="8" w:space="0" w:color="000000"/>
              <w:left w:val="nil"/>
              <w:bottom w:val="single" w:sz="6" w:space="0" w:color="000000"/>
              <w:right w:val="nil"/>
            </w:tcBorders>
          </w:tcPr>
          <w:p>
            <w:pPr>
              <w:spacing w:after="20" w:before="20"/>
            </w:pPr>
            <w:r/>
            <w:r>
              <w:rPr>
                <w:rFonts w:ascii="Times New Roman" w:hAnsi="Times New Roman"/>
                <w:b/>
                <w:i w:val="0"/>
                <w:sz w:val="19"/>
              </w:rPr>
              <w:t>COREQ item</w:t>
            </w:r>
          </w:p>
        </w:tc>
        <w:tc>
          <w:tcPr>
            <w:tcW w:type="dxa" w:w="5669"/>
            <w:tcBorders>
              <w:top w:val="single" w:sz="8" w:space="0" w:color="000000"/>
              <w:left w:val="nil"/>
              <w:bottom w:val="single" w:sz="6" w:space="0" w:color="000000"/>
              <w:right w:val="nil"/>
            </w:tcBorders>
          </w:tcPr>
          <w:p>
            <w:pPr>
              <w:spacing w:after="20" w:before="20"/>
            </w:pPr>
            <w:r/>
            <w:r>
              <w:rPr>
                <w:rFonts w:ascii="Times New Roman" w:hAnsi="Times New Roman"/>
                <w:b/>
                <w:i w:val="0"/>
                <w:sz w:val="19"/>
              </w:rPr>
              <w:t>Where reported and how addressed</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val="0"/>
                <w:sz w:val="19"/>
              </w:rPr>
              <w:t>Domain 1: Research team and reflexivity</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Personal characteristics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Interviewer or facilitator</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interviews were conducted by the lead researcher and a second interviewer; in each group session one researcher facilitated and another took field notes; the leader dialogue was facilitated by a researcher with a second taking field notes (Supplementary File 1, S1.9). Roles, rather than named authors, are reported.</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Credentials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lead researcher PhD, RN; second interviewer MSN, RN.</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3</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Occupation</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2.10: nursing academic; neonatal nurse educator and doctoral candidate; other analytic contributors with nursing leadership or qualitative research expertise.</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4</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Gender</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and 2.10: lead researcher male; second interviewer female; sample predominantly female (Table 1).</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5</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Experience and training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and 2.10: both interviewers trained in qualitative interviewing; lead researcher with eight years of neonatal intensive care experience.</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Relationship with participants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6</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Relationship established</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and 2.10: no researcher held a managerial or appraisal role in participating units; the second interviewer had previously worked in one unit, so the lead researcher conducted all interviews there. Other prior relationships are not reported.</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7</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Participant knowledge of the interviewer</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Supplementary File 1, S1.3 and S1.7: orientation and interview openings introduced the study aims, the research team, voluntary participation and direct contact with researchers.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8</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Interviewer characteristics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2.10: gender of the lead interviewer relative to the sample, clinical familiarity, academic status, the team’s prior Saudi NICU research [1,2,18] and holding-based assumptions are reported, with an example of how reflexive work changed interpretation.</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val="0"/>
                <w:sz w:val="19"/>
              </w:rPr>
              <w:t>Domain 2: Study design</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Theoretical framework</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9</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Methodological orientation and theory</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2.1–2.2: participatory photovoice; critical–constructionist orientation; reflexive thematic analysis; nested holding as a sensitising concept rather than a coding framework.</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Participant selection</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10</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Sampling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2.4: purposive maximum-variation sampling using a matrix of unit, experience, role, shift pattern, nationality and language (Supplementary File 1, S1.12).</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11</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Method of approach</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2.5: clinical nurse educators without supervisory responsibility circulated invitations through meetings, posters and email; interested nurses contacted the research team directly. All encounters were by video call (Methods 2.6).</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12</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Sample size</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2.4, Findings 3.1 and Table 1: 25 nurses (seven in Unit A, six in each other unit); six nurse leaders took part only in the leader dialogue.</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13</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Non-participation</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2.5: of 31 nurses expressing interest, six declined (four because of workload, two because of reluctance to photograph at work); all 25 consenting nurses remained in the study.</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Setting</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14</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Setting of data collection</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2.3 and 2.6: four Level III NICUs; interviews by video call, off duty, in a private location; group sessions and leader dialogue by video call.</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15</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Presence of non-participants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interviews were individual; group sessions involved unit participants and researchers; nurse leaders were present only in the leader dialogue.</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16</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Description of sample</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Table 1: unit, gender, age, qualification, NICU experience, role, shift pattern, nationality, interview language and leader-dialogue attendance.</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Data collection</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17</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Interview guide</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Supplementary File 1, S1.5–S1.9: prompts, caption form, interview guide with adapted SHOWeD questions, group and leader-dialogue guides. Arabic and English materials were checked for clarity with two NICU nurses who did not take part (S1.13); guide revisions were documented in the audit trail (Methods 2.9).</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18</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Repeat interviews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each nurse was interviewed once; each unit group met twice, and 12 nurses also attended the leader dialogue.</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19</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Audio/visual recording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interviews, group sessions and the leader dialogue were audio-recorded with consent; photographs were research data and are not reproduced.</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20</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Field notes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Supplementary File 1, S1.11: field notes after each encounter formed part of the analytic dataset.</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21</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Duration</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2.6: orientation 45 minutes; interviews 46–88 minutes (mean 63); group sessions 70–95 minutes; leader dialogue 105 minutes.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22</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Data saturation</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2.4: not applicable as a criterion for reflexive thematic analysis; sample adequacy was judged using information power [22,23].</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23</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Transcripts returned</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Not reported. Provisional interpretations, rather than transcripts, were discussed in each unit’s second group session and in the leader dialogue (Methods 2.9).</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val="0"/>
                <w:sz w:val="19"/>
              </w:rPr>
              <w:t>Domain 3: Analysis and findings</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Data analysis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24</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Number of data coders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2.8: two coders (the lead researcher and the second interviewer), with analytic discussions exploring alternative readings; intercoder agreement was not calculated, consistent with reflexive thematic analysis.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25</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Description of the coding tree</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Table 2 presents the central organising concept, themes and subthemes; a fixed codebook is not claimed.</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26</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Derivation of themes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2.2 and 2.8: themes were developed abductively from the data in dialogue with the sensitising concept, as patterns of shared meaning across sources rather than predetermined categories.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27</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Software</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2.7: NVivo 14 (Lumivero) supported data organisation.</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28</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Participant checking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2.8–2.9: nurses’ reflections on provisional interpretations were treated as further data rather than verification.</w:t>
            </w:r>
          </w:p>
        </w:tc>
      </w:tr>
      <w:tr>
        <w:tc>
          <w:tcPr>
            <w:tcW w:type="dxa" w:w="9072"/>
            <w:gridSpan w:val="3"/>
            <w:tcBorders>
              <w:top w:val="nil"/>
              <w:left w:val="nil"/>
              <w:bottom w:val="single" w:sz="2" w:space="0" w:color="BFBFBF"/>
              <w:right w:val="nil"/>
            </w:tcBorders>
          </w:tcPr>
          <w:p>
            <w:pPr>
              <w:spacing w:after="20" w:before="20"/>
            </w:pPr>
            <w:r/>
            <w:r>
              <w:rPr>
                <w:rFonts w:ascii="Times New Roman" w:hAnsi="Times New Roman"/>
                <w:b/>
                <w:i/>
                <w:sz w:val="19"/>
              </w:rPr>
              <w:t>Reporting</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29</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Quotations presented</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Findings 3.2–3.5 and Table 2: quotations identified by participant code and role, leaders by L1–L6 and Arabic translations by Ar; unit attributions omitted, and nurses’ leader-dialogue remarks and one other quotation given without code or role, to reduce deductive disclosure (Methods 2.11).</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30</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Data and findings consistent</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Findings 3.2–3.5 and Table 2: interpretations are presented with supporting quotations and contributing data sources.</w:t>
            </w:r>
          </w:p>
        </w:tc>
      </w:tr>
      <w:tr>
        <w:tc>
          <w:tcPr>
            <w:tcW w:type="dxa" w:w="624"/>
            <w:tcBorders>
              <w:top w:val="nil"/>
              <w:left w:val="nil"/>
              <w:bottom w:val="single" w:sz="2" w:space="0" w:color="BFBFBF"/>
              <w:right w:val="nil"/>
            </w:tcBorders>
          </w:tcPr>
          <w:p>
            <w:pPr>
              <w:spacing w:after="20" w:before="20"/>
            </w:pPr>
            <w:r/>
            <w:r>
              <w:rPr>
                <w:rFonts w:ascii="Times New Roman" w:hAnsi="Times New Roman"/>
                <w:b w:val="0"/>
                <w:i w:val="0"/>
                <w:sz w:val="19"/>
              </w:rPr>
              <w:t>31</w:t>
            </w:r>
          </w:p>
        </w:tc>
        <w:tc>
          <w:tcPr>
            <w:tcW w:type="dxa" w:w="2268"/>
            <w:tcBorders>
              <w:top w:val="nil"/>
              <w:left w:val="nil"/>
              <w:bottom w:val="single" w:sz="2" w:space="0" w:color="BFBFBF"/>
              <w:right w:val="nil"/>
            </w:tcBorders>
          </w:tcPr>
          <w:p>
            <w:pPr>
              <w:spacing w:after="20" w:before="20"/>
            </w:pPr>
            <w:r/>
            <w:r>
              <w:rPr>
                <w:rFonts w:ascii="Times New Roman" w:hAnsi="Times New Roman"/>
                <w:b w:val="0"/>
                <w:i w:val="0"/>
                <w:sz w:val="19"/>
              </w:rPr>
              <w:t>Clarity of major themes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Findings 3.2: holding by substitution as the central organising concept, with three themes.</w:t>
            </w:r>
          </w:p>
        </w:tc>
      </w:tr>
      <w:tr>
        <w:tc>
          <w:tcPr>
            <w:tcW w:type="dxa" w:w="624"/>
            <w:tcBorders>
              <w:top w:val="nil"/>
              <w:left w:val="nil"/>
              <w:bottom w:val="single" w:sz="8" w:space="0" w:color="000000"/>
              <w:right w:val="nil"/>
            </w:tcBorders>
          </w:tcPr>
          <w:p>
            <w:pPr>
              <w:spacing w:after="20" w:before="20"/>
            </w:pPr>
            <w:r/>
            <w:r>
              <w:rPr>
                <w:rFonts w:ascii="Times New Roman" w:hAnsi="Times New Roman"/>
                <w:b w:val="0"/>
                <w:i w:val="0"/>
                <w:sz w:val="19"/>
              </w:rPr>
              <w:t>32</w:t>
            </w:r>
          </w:p>
        </w:tc>
        <w:tc>
          <w:tcPr>
            <w:tcW w:type="dxa" w:w="2268"/>
            <w:tcBorders>
              <w:top w:val="nil"/>
              <w:left w:val="nil"/>
              <w:bottom w:val="single" w:sz="8" w:space="0" w:color="000000"/>
              <w:right w:val="nil"/>
            </w:tcBorders>
          </w:tcPr>
          <w:p>
            <w:pPr>
              <w:spacing w:after="20" w:before="20"/>
            </w:pPr>
            <w:r/>
            <w:r>
              <w:rPr>
                <w:rFonts w:ascii="Times New Roman" w:hAnsi="Times New Roman"/>
                <w:b w:val="0"/>
                <w:i w:val="0"/>
                <w:sz w:val="19"/>
              </w:rPr>
              <w:t>Clarity of minor themes</w:t>
            </w:r>
          </w:p>
        </w:tc>
        <w:tc>
          <w:tcPr>
            <w:tcW w:type="dxa" w:w="5669"/>
            <w:tcBorders>
              <w:top w:val="nil"/>
              <w:left w:val="nil"/>
              <w:bottom w:val="single" w:sz="8" w:space="0" w:color="000000"/>
              <w:right w:val="nil"/>
            </w:tcBorders>
          </w:tcPr>
          <w:p>
            <w:pPr>
              <w:spacing w:after="20" w:before="20"/>
            </w:pPr>
            <w:r/>
            <w:r>
              <w:rPr>
                <w:rFonts w:ascii="Times New Roman" w:hAnsi="Times New Roman"/>
                <w:b w:val="0"/>
                <w:i w:val="0"/>
                <w:sz w:val="19"/>
              </w:rPr>
              <w:t>Findings 3.3–3.5 and Table 2: ten subthemes, including divergent accounts of exclusion, unheld charge nurses and conditional trust.</w:t>
            </w:r>
          </w:p>
        </w:tc>
      </w:tr>
    </w:tbl>
    <w:p>
      <w:pPr>
        <w:pStyle w:val="Normaalweb"/>
        <w:spacing w:after="80"/>
      </w:pPr>
      <w:r>
        <w:rPr>
          <w:rFonts w:ascii="Times New Roman" w:hAnsi="Times New Roman"/>
          <w:b w:val="0"/>
          <w:i w:val="0"/>
        </w:rPr>
      </w:r>
    </w:p>
    <w:p>
      <w:pPr>
        <w:pStyle w:val="Heading2"/>
        <w:spacing w:after="80"/>
      </w:pPr>
      <w:r>
        <w:rPr>
          <w:rFonts w:ascii="Times New Roman" w:hAnsi="Times New Roman"/>
          <w:b/>
          <w:i w:val="0"/>
        </w:rPr>
        <w:t>RTARG considerations</w:t>
      </w:r>
    </w:p>
    <w:tbl>
      <w:tblPr>
        <w:tblW w:type="auto" w:w="0"/>
        <w:tblLook w:firstColumn="1" w:firstRow="1" w:lastColumn="0" w:lastRow="0" w:noHBand="0" w:noVBand="1" w:val="04A0"/>
      </w:tblPr>
      <w:tblGrid>
        <w:gridCol w:w="2891"/>
        <w:gridCol w:w="5669"/>
      </w:tblGrid>
      <w:tr>
        <w:tc>
          <w:tcPr>
            <w:tcW w:type="dxa" w:w="2891"/>
            <w:tcBorders>
              <w:top w:val="single" w:sz="8" w:space="0" w:color="000000"/>
              <w:left w:val="nil"/>
              <w:bottom w:val="single" w:sz="6" w:space="0" w:color="000000"/>
              <w:right w:val="nil"/>
            </w:tcBorders>
          </w:tcPr>
          <w:p>
            <w:pPr>
              <w:spacing w:after="20" w:before="20"/>
            </w:pPr>
            <w:r/>
            <w:r>
              <w:rPr>
                <w:rFonts w:ascii="Times New Roman" w:hAnsi="Times New Roman"/>
                <w:b/>
                <w:i w:val="0"/>
                <w:sz w:val="19"/>
              </w:rPr>
              <w:t>Consideration</w:t>
            </w:r>
          </w:p>
        </w:tc>
        <w:tc>
          <w:tcPr>
            <w:tcW w:type="dxa" w:w="5669"/>
            <w:tcBorders>
              <w:top w:val="single" w:sz="8" w:space="0" w:color="000000"/>
              <w:left w:val="nil"/>
              <w:bottom w:val="single" w:sz="6" w:space="0" w:color="000000"/>
              <w:right w:val="nil"/>
            </w:tcBorders>
          </w:tcPr>
          <w:p>
            <w:pPr>
              <w:spacing w:after="20" w:before="20"/>
            </w:pPr>
            <w:r/>
            <w:r>
              <w:rPr>
                <w:rFonts w:ascii="Times New Roman" w:hAnsi="Times New Roman"/>
                <w:b/>
                <w:i w:val="0"/>
                <w:sz w:val="19"/>
              </w:rPr>
              <w:t>Where reported and how addressed</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Type of thematic analysis and paradigm</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2.1: reflexive thematic analysis within a critical–constructionist orientation [20].</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Use of theory</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2.2: nested holding as a sensitising concept that shaped prompts and guides; coding remained open beyond it.</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Orientation to data and focus of coding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2.2 and 2.8: open coding with abductive engagement with the sensitising concept; semantic and latent meanings.</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Analytic process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2.8: recursive phases; corpus composition; coding from English translations with Arabic originals revisited; development of the central organising concept.</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Researcher subjectivity</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2.10: reflexive journals and positioning; Discussion 4.5 on theory-consistent interpretation and theme structure.</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Quality practices coherent with reflexive thematic analysis</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2.4, 2.8 and 2.9: information power rather than saturation; no intercoder agreement; participant reflections treated as data; audit trail for transparency.</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Themes as patterns of shared meaning</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2.8, Findings 3.2 and Table 2: central organising concept; themes not allocated to research questions; leader-dialogue outputs distinguished from thematic interpretation within 3.5.2.</w:t>
            </w:r>
          </w:p>
        </w:tc>
      </w:tr>
      <w:tr>
        <w:tc>
          <w:tcPr>
            <w:tcW w:type="dxa" w:w="2891"/>
            <w:tcBorders>
              <w:top w:val="nil"/>
              <w:left w:val="nil"/>
              <w:bottom w:val="single" w:sz="2" w:space="0" w:color="BFBFBF"/>
              <w:right w:val="nil"/>
            </w:tcBorders>
          </w:tcPr>
          <w:p>
            <w:pPr>
              <w:spacing w:after="20" w:before="20"/>
            </w:pPr>
            <w:r/>
            <w:r>
              <w:rPr>
                <w:rFonts w:ascii="Times New Roman" w:hAnsi="Times New Roman"/>
                <w:b w:val="0"/>
                <w:i w:val="0"/>
                <w:sz w:val="19"/>
              </w:rPr>
              <w:t>Cross-language and visual data</w:t>
            </w:r>
          </w:p>
        </w:tc>
        <w:tc>
          <w:tcPr>
            <w:tcW w:type="dxa" w:w="5669"/>
            <w:tcBorders>
              <w:top w:val="nil"/>
              <w:left w:val="nil"/>
              <w:bottom w:val="single" w:sz="2" w:space="0" w:color="BFBFBF"/>
              <w:right w:val="nil"/>
            </w:tcBorders>
          </w:tcPr>
          <w:p>
            <w:pPr>
              <w:spacing w:after="20" w:before="20"/>
            </w:pPr>
            <w:r/>
            <w:r>
              <w:rPr>
                <w:rFonts w:ascii="Times New Roman" w:hAnsi="Times New Roman"/>
                <w:b w:val="0"/>
                <w:i w:val="0"/>
                <w:sz w:val="19"/>
              </w:rPr>
              <w:t>Methods 2.7, 2.8 and 2.11; Supplementary File 1, S1.13: transcription, translation review, glosses and de-identifying brackets; photographs interpreted through participants’ accounts and not reproduced.</w:t>
            </w:r>
          </w:p>
        </w:tc>
      </w:tr>
      <w:tr>
        <w:tc>
          <w:tcPr>
            <w:tcW w:type="dxa" w:w="2891"/>
            <w:tcBorders>
              <w:top w:val="nil"/>
              <w:left w:val="nil"/>
              <w:bottom w:val="single" w:sz="8" w:space="0" w:color="000000"/>
              <w:right w:val="nil"/>
            </w:tcBorders>
          </w:tcPr>
          <w:p>
            <w:pPr>
              <w:spacing w:after="20" w:before="20"/>
            </w:pPr>
            <w:r/>
            <w:r>
              <w:rPr>
                <w:rFonts w:ascii="Times New Roman" w:hAnsi="Times New Roman"/>
                <w:b w:val="0"/>
                <w:i w:val="0"/>
                <w:sz w:val="19"/>
              </w:rPr>
              <w:t>Contextualised interpretation and limits</w:t>
            </w:r>
          </w:p>
        </w:tc>
        <w:tc>
          <w:tcPr>
            <w:tcW w:type="dxa" w:w="5669"/>
            <w:tcBorders>
              <w:top w:val="nil"/>
              <w:left w:val="nil"/>
              <w:bottom w:val="single" w:sz="8" w:space="0" w:color="000000"/>
              <w:right w:val="nil"/>
            </w:tcBorders>
          </w:tcPr>
          <w:p>
            <w:pPr>
              <w:spacing w:after="20" w:before="20"/>
            </w:pPr>
            <w:r/>
            <w:r>
              <w:rPr>
                <w:rFonts w:ascii="Times New Roman" w:hAnsi="Times New Roman"/>
                <w:b w:val="0"/>
                <w:i w:val="0"/>
                <w:sz w:val="19"/>
              </w:rPr>
              <w:t>Discussion 4.4–4.5 and Conclusion: priorities distinguished from implemented change; no causal or outcome claims.</w:t>
            </w:r>
          </w:p>
        </w:tc>
      </w:tr>
    </w:tbl>
    <w:p>
      <w:pPr>
        <w:pStyle w:val="Normaalweb"/>
        <w:spacing w:after="80"/>
      </w:pPr>
      <w:r>
        <w:rPr>
          <w:rFonts w:ascii="Times New Roman" w:hAnsi="Times New Roman"/>
          <w:b w:val="0"/>
          <w:i w:val="0"/>
        </w:rPr>
      </w:r>
    </w:p>
    <w:p>
      <w:pPr>
        <w:pStyle w:val="Heading2"/>
        <w:spacing w:after="80"/>
      </w:pPr>
      <w:r>
        <w:rPr>
          <w:rFonts w:ascii="Times New Roman" w:hAnsi="Times New Roman"/>
          <w:b/>
          <w:i w:val="0"/>
        </w:rPr>
        <w:t>Reporting guidance</w:t>
      </w:r>
    </w:p>
    <w:p>
      <w:pPr>
        <w:pStyle w:val="Normaalweb"/>
        <w:spacing w:after="120"/>
      </w:pPr>
      <w:r>
        <w:rPr>
          <w:rFonts w:ascii="Times New Roman" w:hAnsi="Times New Roman"/>
          <w:b w:val="0"/>
          <w:i w:val="0"/>
          <w:sz w:val="20"/>
        </w:rPr>
        <w:t>Tong A, Sainsbury P, Craig J. Consolidated criteria for reporting qualitative research (COREQ): a 32-item checklist for interviews and focus groups. Int J Qual Health Care. 2007;19(6):349-57. https://doi.org/10.1093/intqhc/mzm042.</w:t>
      </w:r>
    </w:p>
    <w:p>
      <w:pPr>
        <w:pStyle w:val="Normaalweb"/>
        <w:spacing w:after="120"/>
      </w:pPr>
      <w:r>
        <w:rPr>
          <w:rFonts w:ascii="Times New Roman" w:hAnsi="Times New Roman"/>
          <w:b w:val="0"/>
          <w:i w:val="0"/>
          <w:sz w:val="20"/>
        </w:rPr>
        <w:t>Braun V, Clarke V. Supporting best practice in reflexive thematic analysis reporting in Palliative Medicine: A review of published research and introduction to the Reflexive Thematic Analysis Reporting Guidelines (RTARG). Palliat Med. 2024;38(6):608-16. https://doi.org/10.1177/02692163241234800.</w:t>
      </w:r>
    </w:p>
    <w:p>
      <w:pPr>
        <w:pStyle w:val="Normaalweb"/>
        <w:spacing w:after="120"/>
      </w:pPr>
      <w:r>
        <w:rPr>
          <w:rFonts w:ascii="Times New Roman" w:hAnsi="Times New Roman"/>
          <w:b w:val="0"/>
          <w:i/>
          <w:sz w:val="20"/>
        </w:rPr>
        <w:t>Bracketed numbers refer to the manuscript reference list.</w:t>
      </w:r>
    </w:p>
    <w:sectPr w:rsidR="005E76A9" w:rsidRPr="001C69AD">
      <w:headerReference w:type="default" r:id="rId9"/>
      <w:footerReference w:type="default" r:id="rI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1428"/>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link w:val="NormaalwebChar"/>
    <w:uiPriority w:val="99"/>
    <w:unhideWhenUsed/>
    <w:rsid w:val="001A2E22"/>
    <w:pPr>
      <w:spacing w:before="100" w:beforeAutospacing="1" w:after="100" w:afterAutospacing="1" w:line="240" w:lineRule="auto"/>
    </w:pPr>
    <w:rPr>
      <w:rFonts w:ascii="Times New Roman" w:eastAsia="Times New Roman" w:hAnsi="Times New Roman" w:cs="Times New Roman"/>
      <w:color w:val="000000"/>
      <w:kern w:val="0"/>
      <w:sz w:val="24"/>
      <w:szCs w:val="24"/>
      <w:lang w:eastAsia="nl-BE"/>
      <w14:ligatures w14:val="none"/>
    </w:rPr>
  </w:style>
  <w:style w:type="character" w:styleId="Hyperlink">
    <w:name w:val="Hyperlink"/>
    <w:basedOn w:val="Standaardalinea-lettertype"/>
    <w:uiPriority w:val="99"/>
    <w:unhideWhenUsed/>
    <w:rsid w:val="001A2E22"/>
    <w:rPr>
      <w:color w:val="0000FF"/>
      <w:u w:val="single"/>
    </w:rPr>
  </w:style>
  <w:style w:type="paragraph" w:styleId="Revisie">
    <w:name w:val="Revision"/>
    <w:hidden/>
    <w:uiPriority w:val="99"/>
    <w:semiHidden/>
    <w:rsid w:val="00C119ED"/>
    <w:pPr>
      <w:spacing w:after="0" w:line="240" w:lineRule="auto"/>
    </w:pPr>
  </w:style>
  <w:style w:type="character" w:styleId="Verwijzingopmerking">
    <w:name w:val="annotation reference"/>
    <w:basedOn w:val="Standaardalinea-lettertype"/>
    <w:uiPriority w:val="99"/>
    <w:semiHidden/>
    <w:unhideWhenUsed/>
    <w:rsid w:val="003E3C8B"/>
    <w:rPr>
      <w:sz w:val="16"/>
      <w:szCs w:val="16"/>
    </w:rPr>
  </w:style>
  <w:style w:type="paragraph" w:styleId="Tekstopmerking">
    <w:name w:val="annotation text"/>
    <w:basedOn w:val="Standaard"/>
    <w:link w:val="TekstopmerkingChar"/>
    <w:uiPriority w:val="99"/>
    <w:unhideWhenUsed/>
    <w:rsid w:val="003E3C8B"/>
    <w:pPr>
      <w:spacing w:line="240" w:lineRule="auto"/>
    </w:pPr>
    <w:rPr>
      <w:sz w:val="20"/>
      <w:szCs w:val="20"/>
    </w:rPr>
  </w:style>
  <w:style w:type="character" w:customStyle="1" w:styleId="TekstopmerkingChar">
    <w:name w:val="Tekst opmerking Char"/>
    <w:basedOn w:val="Standaardalinea-lettertype"/>
    <w:link w:val="Tekstopmerking"/>
    <w:uiPriority w:val="99"/>
    <w:rsid w:val="003E3C8B"/>
    <w:rPr>
      <w:sz w:val="20"/>
      <w:szCs w:val="20"/>
    </w:rPr>
  </w:style>
  <w:style w:type="paragraph" w:styleId="Onderwerpvanopmerking">
    <w:name w:val="annotation subject"/>
    <w:basedOn w:val="Tekstopmerking"/>
    <w:next w:val="Tekstopmerking"/>
    <w:link w:val="OnderwerpvanopmerkingChar"/>
    <w:uiPriority w:val="99"/>
    <w:semiHidden/>
    <w:unhideWhenUsed/>
    <w:rsid w:val="003E3C8B"/>
    <w:rPr>
      <w:b/>
      <w:bCs/>
    </w:rPr>
  </w:style>
  <w:style w:type="character" w:customStyle="1" w:styleId="OnderwerpvanopmerkingChar">
    <w:name w:val="Onderwerp van opmerking Char"/>
    <w:basedOn w:val="TekstopmerkingChar"/>
    <w:link w:val="Onderwerpvanopmerking"/>
    <w:uiPriority w:val="99"/>
    <w:semiHidden/>
    <w:rsid w:val="003E3C8B"/>
    <w:rPr>
      <w:b/>
      <w:bCs/>
      <w:sz w:val="20"/>
      <w:szCs w:val="20"/>
    </w:rPr>
  </w:style>
  <w:style w:type="paragraph" w:customStyle="1" w:styleId="EndNoteBibliographyTitle">
    <w:name w:val="EndNote Bibliography Title"/>
    <w:basedOn w:val="Standaard"/>
    <w:link w:val="EndNoteBibliographyTitleChar"/>
    <w:rsid w:val="00BB082E"/>
    <w:pPr>
      <w:spacing w:after="0"/>
      <w:jc w:val="center"/>
    </w:pPr>
    <w:rPr>
      <w:rFonts w:ascii="Calibri" w:hAnsi="Calibri" w:cs="Calibri"/>
      <w:noProof/>
      <w:lang w:val="en-US"/>
    </w:rPr>
  </w:style>
  <w:style w:type="character" w:customStyle="1" w:styleId="NormaalwebChar">
    <w:name w:val="Normaal (web) Char"/>
    <w:basedOn w:val="Standaardalinea-lettertype"/>
    <w:link w:val="Norma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Standaard"/>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alwebChar"/>
    <w:link w:val="EndNoteBibliography"/>
    <w:rsid w:val="00BB082E"/>
    <w:rPr>
      <w:rFonts w:ascii="Calibri" w:eastAsia="Times New Roman" w:hAnsi="Calibri" w:cs="Calibri"/>
      <w:noProof/>
      <w:kern w:val="0"/>
      <w:sz w:val="24"/>
      <w:szCs w:val="24"/>
      <w:lang w:val="en-US" w:eastAsia="nl-BE"/>
      <w14:ligatures w14:val="none"/>
    </w:rPr>
  </w:style>
  <w:style w:type="character" w:styleId="Onopgelostemelding">
    <w:name w:val="Unresolved Mention"/>
    <w:basedOn w:val="Standaardalinea-lettertype"/>
    <w:uiPriority w:val="99"/>
    <w:semiHidden/>
    <w:unhideWhenUsed/>
    <w:rsid w:val="005B5753"/>
    <w:rPr>
      <w:color w:val="605E5C"/>
      <w:shd w:val="clear" w:color="auto" w:fill="E1DFDD"/>
    </w:rPr>
  </w:style>
  <w:style w:type="paragraph" w:styleId="Lijstalinea">
    <w:name w:val="List Paragraph"/>
    <w:basedOn w:val="Standaard"/>
    <w:uiPriority w:val="34"/>
    <w:qFormat/>
    <w:rsid w:val="00EB2145"/>
    <w:pPr>
      <w:ind w:left="720"/>
      <w:contextualSpacing/>
    </w:pPr>
  </w:style>
  <w:style w:type="character" w:styleId="GevolgdeHyperlink">
    <w:name w:val="FollowedHyperlink"/>
    <w:basedOn w:val="Standaardalinea-lettertype"/>
    <w:uiPriority w:val="99"/>
    <w:semiHidden/>
    <w:unhideWhenUsed/>
    <w:rsid w:val="00C0769C"/>
    <w:rPr>
      <w:color w:val="954F72" w:themeColor="followedHyperlink"/>
      <w:u w:val="single"/>
    </w:rPr>
  </w:style>
  <w:style w:type="paragraph" w:customStyle="1" w:styleId="Title">
    <w:name w:val="Title"/>
    <w:rPr>
      <w:rFonts w:ascii="Times New Roman" w:hAnsi="Times New Roman"/>
      <w:color w:val="000000"/>
    </w:rPr>
  </w:style>
  <w:style w:type="paragraph" w:customStyle="1" w:styleId="Heading1">
    <w:name w:val="heading 1"/>
    <w:rPr>
      <w:rFonts w:ascii="Times New Roman" w:hAnsi="Times New Roman"/>
      <w:color w:val="000000"/>
    </w:rPr>
  </w:style>
  <w:style w:type="paragraph" w:customStyle="1" w:styleId="Heading2">
    <w:name w:val="heading 2"/>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393</Words>
  <Characters>2162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dc:creator>
  <cp:keywords/>
  <dc:description/>
  <cp:lastModifiedBy>Osama Mohamed Elsayed Ramadan</cp:lastModifiedBy>
  <dcterms:created xsi:type="dcterms:W3CDTF">2026-10-28T00:00:00Z</dcterms:created>
  <dcterms:modified xsi:type="dcterms:W3CDTF">2026-10-28T00:00:00Z</dcterms:modified>
</cp:coreProperties>
</file>