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60e14a4fb1ef1da30d8d212e16fe0645e61cc9"/>
    <w:p>
      <w:pPr>
        <w:pStyle w:val="Heading1"/>
      </w:pPr>
      <w:r>
        <w:t xml:space="preserve">Simulated training example: Methods section</w:t>
      </w:r>
    </w:p>
    <w:p>
      <w:pPr>
        <w:pStyle w:val="BlockText"/>
      </w:pPr>
      <w:r>
        <w:rPr>
          <w:bCs/>
          <w:b/>
        </w:rPr>
        <w:t xml:space="preserve">SIMULATED TRAINING EXAMPLE. ALL DATA ARE FICTIONAL.</w:t>
      </w:r>
      <w:r>
        <w:t xml:space="preserve"> </w:t>
      </w:r>
      <w:r>
        <w:t xml:space="preserve">This worked example shows how a complete, internally consistent Methods section for an Interpretive Description study reads. The researchers ("NR" and "PR"), ethics committees, approval references, counts, durations and events are invented for teaching. It is not a report of any real study and must not be submitted or cited as one.</w:t>
      </w:r>
    </w:p>
    <w:p>
      <w:r>
        <w:pict>
          <v:rect style="width:0;height:1.5pt" o:hralign="center" o:hrstd="t" o:hr="t"/>
        </w:pict>
      </w:r>
    </w:p>
    <w:bookmarkEnd w:id="20"/>
    <w:bookmarkStart w:id="40" w:name="X13a0e8c10c405dd53d0e570bcbfcb0c8de7ee9e"/>
    <w:p>
      <w:pPr>
        <w:pStyle w:val="Heading1"/>
      </w:pPr>
      <w:r>
        <w:t xml:space="preserve">2. Methods</w:t>
      </w:r>
    </w:p>
    <w:bookmarkStart w:id="21" w:name="Xf269d188e8623975748b88a370ac803ed3b327b"/>
    <w:p>
      <w:pPr>
        <w:pStyle w:val="Heading2"/>
      </w:pPr>
      <w:r>
        <w:t xml:space="preserve">2.1 Research design and methodological orientation</w:t>
      </w:r>
    </w:p>
    <w:p>
      <w:pPr>
        <w:pStyle w:val="FirstParagraph"/>
      </w:pPr>
      <w:r>
        <w:t xml:space="preserve">This study used Interpretive Description, a qualitative methodology developed within nursing to generate contextually grounded knowledge for practice (Thorne, 2025). It suited a question about how mobilisation decisions are reasoned about in routine postnatal care, because it aims for interpretations that clinicians can recognise and use. It also allows existing disciplinary knowledge to frame the inquiry without determining its findings.</w:t>
      </w:r>
    </w:p>
    <w:p>
      <w:pPr>
        <w:pStyle w:val="BodyText"/>
      </w:pPr>
      <w:r>
        <w:t xml:space="preserve">Consistent with this interpretive orientation, participants' accounts were treated as situated explanations of how decisions were made and revised, rather than as objective records of events. The study therefore did not assess whether individual encounters were clinically appropriate.</w:t>
      </w:r>
    </w:p>
    <w:p>
      <w:pPr>
        <w:pStyle w:val="BodyText"/>
      </w:pPr>
      <w:r>
        <w:t xml:space="preserve">Relational autonomy (Entwistle et al., 2010; Stoljar and Mackenzie, 2023) and Figure 1 sensitised the inquiry. They directed attention to the information women received, how they expressed preferences, their requests for assistance or reassessment, and constraints on their participation. They did not provide codes or expected findings. The distinctions shown in Figure 1 were tested against the data during analysis (Section 2.6).</w:t>
      </w:r>
    </w:p>
    <w:p>
      <w:pPr>
        <w:pStyle w:val="BodyText"/>
      </w:pPr>
      <w:r>
        <w:t xml:space="preserve">The phenomenon was reported decisions about first assisted mobilisation and subsequent progression during the initial postoperative admission. The activities included were changing position, sitting on the edge of the bed, transferring, standing and walking. Readiness appraisals, decisions and reconsideration were defined as in Section 1.</w:t>
      </w:r>
    </w:p>
    <w:p>
      <w:pPr>
        <w:pStyle w:val="BodyText"/>
      </w:pPr>
      <w:r>
        <w:t xml:space="preserve">The study is reported according to the Consolidated Criteria for Reporting Qualitative Research (COREQ; Tong et al., 2007). The completed checklist is provided in Supplementary File S2.</w:t>
      </w:r>
    </w:p>
    <w:bookmarkEnd w:id="21"/>
    <w:bookmarkStart w:id="22" w:name="Xd514ec84cfa406741dae23a85ea3c8d78ee6da6"/>
    <w:p>
      <w:pPr>
        <w:pStyle w:val="Heading2"/>
      </w:pPr>
      <w:r>
        <w:t xml:space="preserve">2.2 Study setting and mobilisation care pathways</w:t>
      </w:r>
    </w:p>
    <w:p>
      <w:pPr>
        <w:pStyle w:val="FirstParagraph"/>
      </w:pPr>
      <w:r>
        <w:t xml:space="preserve">The study took place in a northern region of Saudi Arabia. Saudi public hospitals are being organised into regional health clusters under the Health Holding Company (Health Holding Company, n.d.), and private hospitals operate alongside this system. Nurses, midwives and physiotherapists are registered as distinct professions by the Saudi Commission for Health Specialties (SCFHS).</w:t>
      </w:r>
    </w:p>
    <w:p>
      <w:pPr>
        <w:pStyle w:val="BodyText"/>
      </w:pPr>
      <w:r>
        <w:t xml:space="preserve">Three hospitals took part:</w:t>
      </w:r>
    </w:p>
    <w:p>
      <w:pPr>
        <w:numPr>
          <w:ilvl w:val="0"/>
          <w:numId w:val="1001"/>
        </w:numPr>
        <w:pStyle w:val="Compact"/>
      </w:pPr>
      <w:r>
        <w:rPr>
          <w:bCs/>
          <w:b/>
        </w:rPr>
        <w:t xml:space="preserve">Hospitals A and B</w:t>
      </w:r>
      <w:r>
        <w:t xml:space="preserve"> </w:t>
      </w:r>
      <w:r>
        <w:t xml:space="preserve">were government hospitals within the regional health cluster.</w:t>
      </w:r>
    </w:p>
    <w:p>
      <w:pPr>
        <w:numPr>
          <w:ilvl w:val="0"/>
          <w:numId w:val="1001"/>
        </w:numPr>
        <w:pStyle w:val="Compact"/>
      </w:pPr>
      <w:r>
        <w:rPr>
          <w:bCs/>
          <w:b/>
        </w:rPr>
        <w:t xml:space="preserve">Hospital C</w:t>
      </w:r>
      <w:r>
        <w:t xml:space="preserve"> </w:t>
      </w:r>
      <w:r>
        <w:t xml:space="preserve">was a private regional hospital outside the cluster.</w:t>
      </w:r>
    </w:p>
    <w:p>
      <w:pPr>
        <w:pStyle w:val="FirstParagraph"/>
      </w:pPr>
      <w:r>
        <w:t xml:space="preserve">All three provided emergency obstetric surgery and had postnatal wards. After surgery, women recovered in the post-anaesthesia care unit and were then transferred to the postnatal ward, where first assisted mobilisation and progression took place. Postnatal ward care was provided by registered nurses working in maternity care, referred to here as maternity nurses. Midwives worked in labour and delivery units and did not provide routine postnatal ward care at any site. Midwives were therefore not recruited.</w:t>
      </w:r>
    </w:p>
    <w:p>
      <w:pPr>
        <w:pStyle w:val="BodyText"/>
      </w:pPr>
      <w:r>
        <w:t xml:space="preserve">The pathway followed the same sequence at all three sites:</w:t>
      </w:r>
    </w:p>
    <w:p>
      <w:pPr>
        <w:numPr>
          <w:ilvl w:val="0"/>
          <w:numId w:val="1002"/>
        </w:numPr>
        <w:pStyle w:val="Compact"/>
      </w:pPr>
      <w:r>
        <w:rPr>
          <w:bCs/>
          <w:b/>
        </w:rPr>
        <w:t xml:space="preserve">Assessment.</w:t>
      </w:r>
      <w:r>
        <w:t xml:space="preserve"> </w:t>
      </w:r>
      <w:r>
        <w:t xml:space="preserve">Before first assisted mobilisation, a maternity nurse assessed the woman's vital signs, pain, sensory and motor recovery after neuraxial anaesthesia, dizziness, bleeding, and attachments such as urinary catheters, drains and infusions.</w:t>
      </w:r>
    </w:p>
    <w:p>
      <w:pPr>
        <w:numPr>
          <w:ilvl w:val="0"/>
          <w:numId w:val="1002"/>
        </w:numPr>
        <w:pStyle w:val="Compact"/>
      </w:pPr>
      <w:r>
        <w:rPr>
          <w:bCs/>
          <w:b/>
        </w:rPr>
        <w:t xml:space="preserve">Assisted mobilisation.</w:t>
      </w:r>
      <w:r>
        <w:t xml:space="preserve"> </w:t>
      </w:r>
      <w:r>
        <w:t xml:space="preserve">The nurse assisted mobilisation in stages, from sitting to standing and walking.</w:t>
      </w:r>
    </w:p>
    <w:p>
      <w:pPr>
        <w:numPr>
          <w:ilvl w:val="0"/>
          <w:numId w:val="1002"/>
        </w:numPr>
        <w:pStyle w:val="Compact"/>
      </w:pPr>
      <w:r>
        <w:rPr>
          <w:bCs/>
          <w:b/>
        </w:rPr>
        <w:t xml:space="preserve">Adjusting assistance.</w:t>
      </w:r>
      <w:r>
        <w:t xml:space="preserve"> </w:t>
      </w:r>
      <w:r>
        <w:t xml:space="preserve">The nurse adjusted later assistance to the woman's symptoms and support needs, reassessing her every shift and whenever new symptoms were reported.</w:t>
      </w:r>
    </w:p>
    <w:p>
      <w:pPr>
        <w:numPr>
          <w:ilvl w:val="0"/>
          <w:numId w:val="1002"/>
        </w:numPr>
        <w:pStyle w:val="Compact"/>
      </w:pPr>
      <w:r>
        <w:rPr>
          <w:bCs/>
          <w:b/>
        </w:rPr>
        <w:t xml:space="preserve">Referral.</w:t>
      </w:r>
      <w:r>
        <w:t xml:space="preserve"> </w:t>
      </w:r>
      <w:r>
        <w:t xml:space="preserve">Physiotherapy was referral-based. Nurses reported additional rehabilitation needs to the obstetric team, which initiated the referral.</w:t>
      </w:r>
    </w:p>
    <w:p>
      <w:pPr>
        <w:numPr>
          <w:ilvl w:val="0"/>
          <w:numId w:val="1002"/>
        </w:numPr>
        <w:pStyle w:val="Compact"/>
      </w:pPr>
      <w:r>
        <w:rPr>
          <w:bCs/>
          <w:b/>
        </w:rPr>
        <w:t xml:space="preserve">Physiotherapy input.</w:t>
      </w:r>
      <w:r>
        <w:t xml:space="preserve"> </w:t>
      </w:r>
      <w:r>
        <w:t xml:space="preserve">Physiotherapists assessed movement, gave practical guidance, and returned recommendations through a medical record entry and verbal handover to the nurse in charge.</w:t>
      </w:r>
    </w:p>
    <w:p>
      <w:pPr>
        <w:pStyle w:val="FirstParagraph"/>
      </w:pPr>
      <w:r>
        <w:t xml:space="preserve">Hospitals A and B followed a cluster post-caesarean care guideline that included early mobilisation, with separate ward-level procedures. Hospital C followed its own mobilisation policy. The main difference between sites was physiotherapy availability:</w:t>
      </w:r>
    </w:p>
    <w:p>
      <w:pPr>
        <w:numPr>
          <w:ilvl w:val="0"/>
          <w:numId w:val="1003"/>
        </w:numPr>
        <w:pStyle w:val="Compact"/>
      </w:pPr>
      <w:r>
        <w:rPr>
          <w:bCs/>
          <w:b/>
        </w:rPr>
        <w:t xml:space="preserve">Hospitals A and B:</w:t>
      </w:r>
      <w:r>
        <w:t xml:space="preserve"> </w:t>
      </w:r>
      <w:r>
        <w:t xml:space="preserve">physiotherapists accepted postnatal referrals on weekday day shifts (Sunday to Thursday, 07:30–15:30). Referrals made outside these hours were seen on the next working day.</w:t>
      </w:r>
    </w:p>
    <w:p>
      <w:pPr>
        <w:numPr>
          <w:ilvl w:val="0"/>
          <w:numId w:val="1003"/>
        </w:numPr>
        <w:pStyle w:val="Compact"/>
      </w:pPr>
      <w:r>
        <w:rPr>
          <w:bCs/>
          <w:b/>
        </w:rPr>
        <w:t xml:space="preserve">Hospital C:</w:t>
      </w:r>
      <w:r>
        <w:t xml:space="preserve"> </w:t>
      </w:r>
      <w:r>
        <w:t xml:space="preserve">physiotherapy was available from Saturday to Thursday on day shifts, with telephone advice outside those hours.</w:t>
      </w:r>
    </w:p>
    <w:p>
      <w:pPr>
        <w:pStyle w:val="FirstParagraph"/>
      </w:pPr>
      <w:r>
        <w:t xml:space="preserve">At all sites, nurses remained responsible for mobilisation when physiotherapy was unavailable. Supplementary Table S3 compares the sites in detail.</w:t>
      </w:r>
    </w:p>
    <w:p>
      <w:pPr>
        <w:pStyle w:val="BodyText"/>
      </w:pPr>
      <w:r>
        <w:t xml:space="preserve">Pathway descriptions were compiled before data collection from three sources: each hospital's ward policies and guidelines; a structured site-description form completed with each ward's nurse manager and the physiotherapy lead; and field notes recorded during recruitment visits. Where written procedures and reported practice differed, both were recorded.</w:t>
      </w:r>
    </w:p>
    <w:bookmarkEnd w:id="22"/>
    <w:bookmarkStart w:id="29" w:name="X0ec47d24bdeacd7afb2ae363b2734ba4160b89b"/>
    <w:p>
      <w:pPr>
        <w:pStyle w:val="Heading2"/>
      </w:pPr>
      <w:r>
        <w:t xml:space="preserve">2.3 Participants, eligibility, sampling and recruitment</w:t>
      </w:r>
    </w:p>
    <w:bookmarkStart w:id="23" w:name="X2ecf2ca2776db6e67fffeb5eeb5a53d99a01da9"/>
    <w:p>
      <w:pPr>
        <w:pStyle w:val="Heading3"/>
      </w:pPr>
      <w:r>
        <w:t xml:space="preserve">2.3.1 Definition of emergency caesarean birth</w:t>
      </w:r>
    </w:p>
    <w:p>
      <w:pPr>
        <w:pStyle w:val="FirstParagraph"/>
      </w:pPr>
      <w:r>
        <w:t xml:space="preserve">Two separate dimensions were recorded from the medical record:</w:t>
      </w:r>
    </w:p>
    <w:p>
      <w:pPr>
        <w:numPr>
          <w:ilvl w:val="0"/>
          <w:numId w:val="1004"/>
        </w:numPr>
        <w:pStyle w:val="Compact"/>
      </w:pPr>
      <w:r>
        <w:rPr>
          <w:bCs/>
          <w:b/>
        </w:rPr>
        <w:t xml:space="preserve">Planning status:</w:t>
      </w:r>
      <w:r>
        <w:t xml:space="preserve"> </w:t>
      </w:r>
      <w:r>
        <w:t xml:space="preserve">whether the caesarean had been planned before admission.</w:t>
      </w:r>
    </w:p>
    <w:p>
      <w:pPr>
        <w:numPr>
          <w:ilvl w:val="0"/>
          <w:numId w:val="1004"/>
        </w:numPr>
        <w:pStyle w:val="Compact"/>
      </w:pPr>
      <w:r>
        <w:rPr>
          <w:bCs/>
          <w:b/>
        </w:rPr>
        <w:t xml:space="preserve">Urgency:</w:t>
      </w:r>
      <w:r>
        <w:t xml:space="preserve"> </w:t>
      </w:r>
      <w:r>
        <w:t xml:space="preserve">the urgency category at the time of the decision to deliver, using the four-category classification of Lucas et al. (2000).</w:t>
      </w:r>
    </w:p>
    <w:p>
      <w:pPr>
        <w:pStyle w:val="FirstParagraph"/>
      </w:pPr>
      <w:r>
        <w:t xml:space="preserve">Emergency caesarean birth was defined as a caesarean that had not been planned before admission for birth, performed at urgency category 1, 2 or 3. As a separate eligibility restriction, previously planned caesareans brought forward by the onset of labour were excluded, whatever urgency category was recorded. Urgency category is reported to describe the sample.</w:t>
      </w:r>
    </w:p>
    <w:bookmarkEnd w:id="23"/>
    <w:bookmarkStart w:id="24" w:name="X7a831c7c6055a58afdc8ac561133046535d7958"/>
    <w:p>
      <w:pPr>
        <w:pStyle w:val="Heading3"/>
      </w:pPr>
      <w:r>
        <w:t xml:space="preserve">2.3.2 Eligibility criteria</w:t>
      </w:r>
    </w:p>
    <w:p>
      <w:pPr>
        <w:pStyle w:val="FirstParagraph"/>
      </w:pPr>
      <w:r>
        <w:rPr>
          <w:bCs/>
          <w:b/>
        </w:rPr>
        <w:t xml:space="preserve">Women</w:t>
      </w:r>
      <w:r>
        <w:t xml:space="preserve"> </w:t>
      </w:r>
      <w:r>
        <w:t xml:space="preserve">were eligible if they:</w:t>
      </w:r>
    </w:p>
    <w:p>
      <w:pPr>
        <w:numPr>
          <w:ilvl w:val="0"/>
          <w:numId w:val="1005"/>
        </w:numPr>
        <w:pStyle w:val="Compact"/>
      </w:pPr>
      <w:r>
        <w:t xml:space="preserve">were aged 18 years or older;</w:t>
      </w:r>
    </w:p>
    <w:p>
      <w:pPr>
        <w:numPr>
          <w:ilvl w:val="0"/>
          <w:numId w:val="1005"/>
        </w:numPr>
        <w:pStyle w:val="Compact"/>
      </w:pPr>
      <w:r>
        <w:t xml:space="preserve">had had an emergency caesarean birth at a participating hospital;</w:t>
      </w:r>
    </w:p>
    <w:p>
      <w:pPr>
        <w:numPr>
          <w:ilvl w:val="0"/>
          <w:numId w:val="1005"/>
        </w:numPr>
        <w:pStyle w:val="Compact"/>
      </w:pPr>
      <w:r>
        <w:t xml:space="preserve">had experienced at least one assisted mobilisation episode during the initial postoperative admission;</w:t>
      </w:r>
    </w:p>
    <w:p>
      <w:pPr>
        <w:numPr>
          <w:ilvl w:val="0"/>
          <w:numId w:val="1005"/>
        </w:numPr>
        <w:pStyle w:val="Compact"/>
      </w:pPr>
      <w:r>
        <w:t xml:space="preserve">could be interviewed in Arabic or English.</w:t>
      </w:r>
    </w:p>
    <w:p>
      <w:pPr>
        <w:pStyle w:val="FirstParagraph"/>
      </w:pPr>
      <w:r>
        <w:t xml:space="preserve">This criterion included women whose mobilisation had been delayed, adapted, paused or initially deferred before a later assisted attempt. It did not include women who had no assisted mobilisation at any point during admission. No such woman was identified during recruitment.</w:t>
      </w:r>
    </w:p>
    <w:p>
      <w:pPr>
        <w:pStyle w:val="BodyText"/>
      </w:pPr>
      <w:r>
        <w:t xml:space="preserve">Women were excluded if they lacked capacity to consent, or if they or their infant were critically unwell, because an interview would impose an unacceptable burden. Fitness to be interviewed was considered separately from readiness to mobilise.</w:t>
      </w:r>
    </w:p>
    <w:p>
      <w:pPr>
        <w:pStyle w:val="BodyText"/>
      </w:pPr>
      <w:r>
        <w:rPr>
          <w:bCs/>
          <w:b/>
        </w:rPr>
        <w:t xml:space="preserve">Maternity nurses</w:t>
      </w:r>
      <w:r>
        <w:t xml:space="preserve"> </w:t>
      </w:r>
      <w:r>
        <w:t xml:space="preserve">were eligible if they:</w:t>
      </w:r>
    </w:p>
    <w:p>
      <w:pPr>
        <w:numPr>
          <w:ilvl w:val="0"/>
          <w:numId w:val="1006"/>
        </w:numPr>
        <w:pStyle w:val="Compact"/>
      </w:pPr>
      <w:r>
        <w:t xml:space="preserve">held current SCFHS registration;</w:t>
      </w:r>
    </w:p>
    <w:p>
      <w:pPr>
        <w:numPr>
          <w:ilvl w:val="0"/>
          <w:numId w:val="1006"/>
        </w:numPr>
        <w:pStyle w:val="Compact"/>
      </w:pPr>
      <w:r>
        <w:t xml:space="preserve">had at least six months' experience on a participating postnatal ward;</w:t>
      </w:r>
    </w:p>
    <w:p>
      <w:pPr>
        <w:numPr>
          <w:ilvl w:val="0"/>
          <w:numId w:val="1006"/>
        </w:numPr>
        <w:pStyle w:val="Compact"/>
      </w:pPr>
      <w:r>
        <w:t xml:space="preserve">had assessed or assisted mobilisation after emergency caesarean birth within the preceding three months.</w:t>
      </w:r>
    </w:p>
    <w:p>
      <w:pPr>
        <w:pStyle w:val="FirstParagraph"/>
      </w:pPr>
      <w:r>
        <w:t xml:space="preserve">Students and temporary agency staff were excluded because they lacked sustained involvement in ward practice.</w:t>
      </w:r>
    </w:p>
    <w:p>
      <w:pPr>
        <w:pStyle w:val="BodyText"/>
      </w:pPr>
      <w:r>
        <w:rPr>
          <w:bCs/>
          <w:b/>
        </w:rPr>
        <w:t xml:space="preserve">Physiotherapists</w:t>
      </w:r>
      <w:r>
        <w:t xml:space="preserve"> </w:t>
      </w:r>
      <w:r>
        <w:t xml:space="preserve">were eligible if they:</w:t>
      </w:r>
    </w:p>
    <w:p>
      <w:pPr>
        <w:numPr>
          <w:ilvl w:val="0"/>
          <w:numId w:val="1007"/>
        </w:numPr>
        <w:pStyle w:val="Compact"/>
      </w:pPr>
      <w:r>
        <w:t xml:space="preserve">held current SCFHS registration;</w:t>
      </w:r>
    </w:p>
    <w:p>
      <w:pPr>
        <w:numPr>
          <w:ilvl w:val="0"/>
          <w:numId w:val="1007"/>
        </w:numPr>
        <w:pStyle w:val="Compact"/>
      </w:pPr>
      <w:r>
        <w:t xml:space="preserve">had assessed or treated at least one woman after emergency caesarean birth at a participating hospital within the preceding six months.</w:t>
      </w:r>
    </w:p>
    <w:p>
      <w:pPr>
        <w:pStyle w:val="FirstParagraph"/>
      </w:pPr>
      <w:r>
        <w:t xml:space="preserve">All seven physiotherapists interviewed described specific episodes involving women after emergency caesarean birth.</w:t>
      </w:r>
    </w:p>
    <w:bookmarkEnd w:id="24"/>
    <w:bookmarkStart w:id="25" w:name="X938a7561f893f7bc35a4e85781b8c8d89317a1b"/>
    <w:p>
      <w:pPr>
        <w:pStyle w:val="Heading3"/>
      </w:pPr>
      <w:r>
        <w:t xml:space="preserve">2.3.3 Sampling and recruitment</w:t>
      </w:r>
    </w:p>
    <w:p>
      <w:pPr>
        <w:pStyle w:val="FirstParagraph"/>
      </w:pPr>
      <w:r>
        <w:t xml:space="preserve">Purposive sampling was used to achieve variation within each group (Palinkas et al., 2015):</w:t>
      </w:r>
    </w:p>
    <w:p>
      <w:pPr>
        <w:numPr>
          <w:ilvl w:val="0"/>
          <w:numId w:val="1008"/>
        </w:numPr>
        <w:pStyle w:val="Compact"/>
      </w:pPr>
      <w:r>
        <w:rPr>
          <w:bCs/>
          <w:b/>
        </w:rPr>
        <w:t xml:space="preserve">Women:</w:t>
      </w:r>
      <w:r>
        <w:t xml:space="preserve"> </w:t>
      </w:r>
      <w:r>
        <w:t xml:space="preserve">hospital, parity, urgency category, whether labour preceded surgery, anaesthesia type, timing of first mobilisation, whether progression included pausing, deferral or physiotherapy referral, and infant location.</w:t>
      </w:r>
    </w:p>
    <w:p>
      <w:pPr>
        <w:numPr>
          <w:ilvl w:val="0"/>
          <w:numId w:val="1008"/>
        </w:numPr>
        <w:pStyle w:val="Compact"/>
      </w:pPr>
      <w:r>
        <w:rPr>
          <w:bCs/>
          <w:b/>
        </w:rPr>
        <w:t xml:space="preserve">Nurses:</w:t>
      </w:r>
      <w:r>
        <w:t xml:space="preserve"> </w:t>
      </w:r>
      <w:r>
        <w:t xml:space="preserve">hospital, experience, shift pattern and first language.</w:t>
      </w:r>
    </w:p>
    <w:p>
      <w:pPr>
        <w:numPr>
          <w:ilvl w:val="0"/>
          <w:numId w:val="1008"/>
        </w:numPr>
        <w:pStyle w:val="Compact"/>
      </w:pPr>
      <w:r>
        <w:rPr>
          <w:bCs/>
          <w:b/>
        </w:rPr>
        <w:t xml:space="preserve">Physiotherapists:</w:t>
      </w:r>
      <w:r>
        <w:t xml:space="preserve"> </w:t>
      </w:r>
      <w:r>
        <w:t xml:space="preserve">hospital, experience, and how often they saw women's health cases.</w:t>
      </w:r>
    </w:p>
    <w:p>
      <w:pPr>
        <w:pStyle w:val="FirstParagraph"/>
      </w:pPr>
      <w:r>
        <w:t xml:space="preserve">As analysis developed, recruitment was directed towards episode types that were under-represented, particularly deferred mobilisation and physiotherapy referral.</w:t>
      </w:r>
    </w:p>
    <w:p>
      <w:pPr>
        <w:pStyle w:val="BodyText"/>
      </w:pPr>
      <w:r>
        <w:rPr>
          <w:bCs/>
          <w:b/>
        </w:rPr>
        <w:t xml:space="preserve">Gatekeepers.</w:t>
      </w:r>
      <w:r>
        <w:t xml:space="preserve"> </w:t>
      </w:r>
      <w:r>
        <w:t xml:space="preserve">At each hospital, the postnatal ward nurse manager and the physiotherapy lead circulated study information but did not approach individuals.</w:t>
      </w:r>
    </w:p>
    <w:p>
      <w:pPr>
        <w:pStyle w:val="BodyText"/>
      </w:pPr>
      <w:r>
        <w:rPr>
          <w:bCs/>
          <w:b/>
        </w:rPr>
        <w:t xml:space="preserve">Women.</w:t>
      </w:r>
      <w:r>
        <w:t xml:space="preserve"> </w:t>
      </w:r>
      <w:r>
        <w:t xml:space="preserve">The nurse in charge asked potentially eligible women whether they were willing to hear about the study. With permission, the nurse researcher (NR) provided verbal and written information and waited at least 12 hours before seeking consent.</w:t>
      </w:r>
    </w:p>
    <w:p>
      <w:pPr>
        <w:pStyle w:val="BodyText"/>
      </w:pPr>
      <w:r>
        <w:rPr>
          <w:bCs/>
          <w:b/>
        </w:rPr>
        <w:t xml:space="preserve">Professionals.</w:t>
      </w:r>
      <w:r>
        <w:t xml:space="preserve"> </w:t>
      </w:r>
      <w:r>
        <w:t xml:space="preserve">Nurses and physiotherapists contacted the researchers directly after receiving an information sheet.</w:t>
      </w:r>
    </w:p>
    <w:p>
      <w:pPr>
        <w:pStyle w:val="BodyText"/>
      </w:pPr>
      <w:r>
        <w:rPr>
          <w:bCs/>
          <w:b/>
        </w:rPr>
        <w:t xml:space="preserve">Reducing pressure to participate.</w:t>
      </w:r>
      <w:r>
        <w:t xml:space="preserve"> </w:t>
      </w:r>
      <w:r>
        <w:t xml:space="preserve">The researchers controlled the following:</w:t>
      </w:r>
    </w:p>
    <w:p>
      <w:pPr>
        <w:numPr>
          <w:ilvl w:val="0"/>
          <w:numId w:val="1009"/>
        </w:numPr>
        <w:pStyle w:val="Compact"/>
      </w:pPr>
      <w:r>
        <w:t xml:space="preserve">They held no clinical, managerial or supervisory role at any participating hospital.</w:t>
      </w:r>
    </w:p>
    <w:p>
      <w:pPr>
        <w:numPr>
          <w:ilvl w:val="0"/>
          <w:numId w:val="1009"/>
        </w:numPr>
        <w:pStyle w:val="Compact"/>
      </w:pPr>
      <w:r>
        <w:t xml:space="preserve">Professionals were not recruited through requests from managers.</w:t>
      </w:r>
    </w:p>
    <w:p>
      <w:pPr>
        <w:numPr>
          <w:ilvl w:val="0"/>
          <w:numId w:val="1009"/>
        </w:numPr>
        <w:pStyle w:val="Compact"/>
      </w:pPr>
      <w:r>
        <w:t xml:space="preserve">The researchers did not inform managers or care teams who had taken part.</w:t>
      </w:r>
    </w:p>
    <w:p>
      <w:pPr>
        <w:numPr>
          <w:ilvl w:val="0"/>
          <w:numId w:val="1009"/>
        </w:numPr>
        <w:pStyle w:val="Compact"/>
      </w:pPr>
      <w:r>
        <w:t xml:space="preserve">Participants were told, verbally and in writing, that declining would not affect their care or employment.</w:t>
      </w:r>
    </w:p>
    <w:p>
      <w:pPr>
        <w:pStyle w:val="FirstParagraph"/>
      </w:pPr>
      <w:r>
        <w:t xml:space="preserve">Because inpatient recruitment and interviews took place on the ward, staff could sometimes infer that a woman was participating. The researchers reduced this visibility by scheduling interviews at quiet times.</w:t>
      </w:r>
    </w:p>
    <w:bookmarkEnd w:id="25"/>
    <w:bookmarkStart w:id="26" w:name="Xa6fd1ee209abd2c8c2ae566f8cd2bb6ae0595e4"/>
    <w:p>
      <w:pPr>
        <w:pStyle w:val="Heading3"/>
      </w:pPr>
      <w:r>
        <w:t xml:space="preserve">2.3.4 Independent accounts</w:t>
      </w:r>
    </w:p>
    <w:p>
      <w:pPr>
        <w:pStyle w:val="FirstParagraph"/>
      </w:pPr>
      <w:r>
        <w:t xml:space="preserve">Each group was recruited separately. Professionals were not recruited because they had cared for particular participating women, and they described episodes from their own practice. Comparisons across groups therefore illuminate patterns of reasoning rather than corroborating accounts of the same encounters.</w:t>
      </w:r>
    </w:p>
    <w:bookmarkEnd w:id="26"/>
    <w:bookmarkStart w:id="27" w:name="Xb9360d7ed54f1eaaca8ce556c44cdbbb38527ff"/>
    <w:p>
      <w:pPr>
        <w:pStyle w:val="Heading3"/>
      </w:pPr>
      <w:r>
        <w:t xml:space="preserve">2.3.5 Sample size and adequacy</w:t>
      </w:r>
    </w:p>
    <w:p>
      <w:pPr>
        <w:pStyle w:val="FirstParagraph"/>
      </w:pPr>
      <w:r>
        <w:t xml:space="preserve">Sample size was planned using information power (Malterud et al., 2016). This approach holds that fewer participants are needed when the aim is focused, the sample is specific, the dialogue is rich and the analysis is detailed. Evidence that 9 to 17 interviews often suffice for focused aims in relatively homogeneous groups (Hennink and Kaiser, 2022) served as a reference point, not as a stopping rule.</w:t>
      </w:r>
    </w:p>
    <w:p>
      <w:pPr>
        <w:pStyle w:val="BodyText"/>
      </w:pPr>
      <w:r>
        <w:t xml:space="preserve">Planned ranges were:</w:t>
      </w:r>
    </w:p>
    <w:tbl>
      <w:tblPr>
        <w:tblStyle w:val="Table"/>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W w:w="9072" w:type="dxa"/>
        <w:tblLayout w:type="fixed"/>
      </w:tblPr>
      <w:tblGrid>
        <w:gridCol w:w="1814"/>
        <w:gridCol w:w="1587"/>
        <w:gridCol w:w="5670"/>
      </w:tblGrid>
      <w:tr>
        <w:trPr>
          <w:tblHeader w:val="true"/>
        </w:trPr>
        <w:tc>
          <w:tcPr>
            <w:tcW w:type="dxa" w:w="1814"/>
          </w:tcPr>
          <w:p>
            <w:pPr>
              <w:pStyle w:val="Compact"/>
              <w:spacing w:line="240" w:lineRule="auto" w:after="40"/>
              <w:jc w:val="left"/>
            </w:pPr>
            <w:r>
              <w:rPr>
                <w:b/>
                <w:sz w:val="20"/>
              </w:rPr>
              <w:t xml:space="preserve">Group</w:t>
            </w:r>
          </w:p>
        </w:tc>
        <w:tc>
          <w:tcPr>
            <w:tcW w:type="dxa" w:w="1587"/>
          </w:tcPr>
          <w:p>
            <w:pPr>
              <w:pStyle w:val="Compact"/>
              <w:spacing w:line="240" w:lineRule="auto" w:after="40"/>
              <w:jc w:val="left"/>
            </w:pPr>
            <w:r>
              <w:rPr>
                <w:b/>
                <w:sz w:val="20"/>
              </w:rPr>
              <w:t xml:space="preserve">Planned range</w:t>
            </w:r>
          </w:p>
        </w:tc>
        <w:tc>
          <w:tcPr>
            <w:tcW w:type="dxa" w:w="5669"/>
          </w:tcPr>
          <w:p>
            <w:pPr>
              <w:pStyle w:val="Compact"/>
              <w:spacing w:line="240" w:lineRule="auto" w:after="40"/>
              <w:jc w:val="left"/>
            </w:pPr>
            <w:r>
              <w:rPr>
                <w:b/>
                <w:sz w:val="20"/>
              </w:rPr>
              <w:t xml:space="preserve">Rationale</w:t>
            </w:r>
          </w:p>
        </w:tc>
      </w:tr>
      <w:tr>
        <w:tc>
          <w:tcPr>
            <w:tcW w:type="dxa" w:w="1814"/>
          </w:tcPr>
          <w:p>
            <w:pPr>
              <w:pStyle w:val="Compact"/>
              <w:spacing w:line="240" w:lineRule="auto" w:after="40"/>
              <w:jc w:val="left"/>
            </w:pPr>
            <w:r>
              <w:rPr>
                <w:sz w:val="20"/>
              </w:rPr>
              <w:t xml:space="preserve">Women</w:t>
            </w:r>
          </w:p>
        </w:tc>
        <w:tc>
          <w:tcPr>
            <w:tcW w:type="dxa" w:w="1587"/>
          </w:tcPr>
          <w:p>
            <w:pPr>
              <w:pStyle w:val="Compact"/>
              <w:spacing w:line="240" w:lineRule="auto" w:after="40"/>
              <w:jc w:val="left"/>
            </w:pPr>
            <w:r>
              <w:rPr>
                <w:sz w:val="20"/>
              </w:rPr>
              <w:t xml:space="preserve">16–20</w:t>
            </w:r>
          </w:p>
        </w:tc>
        <w:tc>
          <w:tcPr>
            <w:tcW w:type="dxa" w:w="5669"/>
          </w:tcPr>
          <w:p>
            <w:pPr>
              <w:pStyle w:val="Compact"/>
              <w:spacing w:line="240" w:lineRule="auto" w:after="40"/>
              <w:jc w:val="left"/>
            </w:pPr>
            <w:r>
              <w:rPr>
                <w:sz w:val="20"/>
              </w:rPr>
              <w:t xml:space="preserve">Greatest expected variation in clinical course, symptoms and newborn-care demands; needed representation from all three hospitals</w:t>
            </w:r>
          </w:p>
        </w:tc>
      </w:tr>
      <w:tr>
        <w:tc>
          <w:tcPr>
            <w:tcW w:type="dxa" w:w="1814"/>
          </w:tcPr>
          <w:p>
            <w:pPr>
              <w:pStyle w:val="Compact"/>
              <w:spacing w:line="240" w:lineRule="auto" w:after="40"/>
              <w:jc w:val="left"/>
            </w:pPr>
            <w:r>
              <w:rPr>
                <w:sz w:val="20"/>
              </w:rPr>
              <w:t xml:space="preserve">Maternity nurses</w:t>
            </w:r>
          </w:p>
        </w:tc>
        <w:tc>
          <w:tcPr>
            <w:tcW w:type="dxa" w:w="1587"/>
          </w:tcPr>
          <w:p>
            <w:pPr>
              <w:pStyle w:val="Compact"/>
              <w:spacing w:line="240" w:lineRule="auto" w:after="40"/>
              <w:jc w:val="left"/>
            </w:pPr>
            <w:r>
              <w:rPr>
                <w:sz w:val="20"/>
              </w:rPr>
              <w:t xml:space="preserve">10–14</w:t>
            </w:r>
          </w:p>
        </w:tc>
        <w:tc>
          <w:tcPr>
            <w:tcW w:type="dxa" w:w="5669"/>
          </w:tcPr>
          <w:p>
            <w:pPr>
              <w:pStyle w:val="Compact"/>
              <w:spacing w:line="240" w:lineRule="auto" w:after="40"/>
              <w:jc w:val="left"/>
            </w:pPr>
            <w:r>
              <w:rPr>
                <w:sz w:val="20"/>
              </w:rPr>
              <w:t xml:space="preserve">More homogeneous group; each could describe many episodes</w:t>
            </w:r>
          </w:p>
        </w:tc>
      </w:tr>
      <w:tr>
        <w:tc>
          <w:tcPr>
            <w:tcW w:type="dxa" w:w="1814"/>
          </w:tcPr>
          <w:p>
            <w:pPr>
              <w:pStyle w:val="Compact"/>
              <w:spacing w:line="240" w:lineRule="auto" w:after="40"/>
              <w:jc w:val="left"/>
            </w:pPr>
            <w:r>
              <w:rPr>
                <w:sz w:val="20"/>
              </w:rPr>
              <w:t xml:space="preserve">Physiotherapists</w:t>
            </w:r>
          </w:p>
        </w:tc>
        <w:tc>
          <w:tcPr>
            <w:tcW w:type="dxa" w:w="1587"/>
          </w:tcPr>
          <w:p>
            <w:pPr>
              <w:pStyle w:val="Compact"/>
              <w:spacing w:line="240" w:lineRule="auto" w:after="40"/>
              <w:jc w:val="left"/>
            </w:pPr>
            <w:r>
              <w:rPr>
                <w:sz w:val="20"/>
              </w:rPr>
              <w:t xml:space="preserve">6–8, or all eligible if fewer</w:t>
            </w:r>
          </w:p>
        </w:tc>
        <w:tc>
          <w:tcPr>
            <w:tcW w:type="dxa" w:w="5669"/>
          </w:tcPr>
          <w:p>
            <w:pPr>
              <w:pStyle w:val="Compact"/>
              <w:spacing w:line="240" w:lineRule="auto" w:after="40"/>
              <w:jc w:val="left"/>
            </w:pPr>
            <w:r>
              <w:rPr>
                <w:sz w:val="20"/>
              </w:rPr>
              <w:t xml:space="preserve">Small eligible population; specialised, highly specific information</w:t>
            </w:r>
          </w:p>
        </w:tc>
      </w:tr>
    </w:tbl>
    <w:p>
      <w:pPr>
        <w:pStyle w:val="BodyText"/>
      </w:pPr>
      <w:r>
        <w:t xml:space="preserve">Adequacy was judged in analytic meetings and recorded in meeting notes. The team assessed whether the data were rich, specific and varied enough to answer the research question. This included whether the data contained detailed episodes across activities and recovery stages, adapted, paused and deferred episodes as well as straightforward ones, and each group's perspective on first mobilisation, progression, reassessment and referral. Interpretations were not required to recur at every site. Interpretations supported across hospitals and groups are reported as such, and insights specific to one group or hospital are reported with their context.</w:t>
      </w:r>
    </w:p>
    <w:bookmarkEnd w:id="27"/>
    <w:bookmarkStart w:id="28" w:name="Xd5989a90f857e718424bf4e76a0b9f7f10b11d8"/>
    <w:p>
      <w:pPr>
        <w:pStyle w:val="Heading3"/>
      </w:pPr>
      <w:r>
        <w:t xml:space="preserve">2.3.6 Recruitment outcomes</w:t>
      </w:r>
    </w:p>
    <w:p>
      <w:pPr>
        <w:pStyle w:val="FirstParagraph"/>
      </w:pPr>
      <w:r>
        <w:t xml:space="preserve">Each group had a different denominator, so recruitment is reported by group (Table 2) and no overall response rate is calculated. The final sample comprised 37 participants: 18 women, 12 maternity nurses and 7 physiotherapists. The two pilot participants, one woman and one nurse, are included in these totals (Section 2.4).</w:t>
      </w:r>
    </w:p>
    <w:p>
      <w:pPr>
        <w:pStyle w:val="BodyText"/>
      </w:pPr>
      <w:r>
        <w:t xml:space="preserve">Reasons for non-participation were:</w:t>
      </w:r>
    </w:p>
    <w:p>
      <w:pPr>
        <w:numPr>
          <w:ilvl w:val="0"/>
          <w:numId w:val="1010"/>
        </w:numPr>
        <w:pStyle w:val="Compact"/>
      </w:pPr>
      <w:r>
        <w:rPr>
          <w:bCs/>
          <w:b/>
        </w:rPr>
        <w:t xml:space="preserve">Women:</w:t>
      </w:r>
      <w:r>
        <w:t xml:space="preserve"> </w:t>
      </w:r>
      <w:r>
        <w:t xml:space="preserve">27 were approached. Four declined because of fatigue or a wish to focus on their infant, two declined after discussing the study with family, and three were discharged before an interview could be arranged and declined a remote interview.</w:t>
      </w:r>
    </w:p>
    <w:p>
      <w:pPr>
        <w:numPr>
          <w:ilvl w:val="0"/>
          <w:numId w:val="1010"/>
        </w:numPr>
        <w:pStyle w:val="Compact"/>
      </w:pPr>
      <w:r>
        <w:rPr>
          <w:bCs/>
          <w:b/>
        </w:rPr>
        <w:t xml:space="preserve">Nurses:</w:t>
      </w:r>
      <w:r>
        <w:t xml:space="preserve"> </w:t>
      </w:r>
      <w:r>
        <w:t xml:space="preserve">16 expressed interest. Four could not schedule an interview because of shift commitments.</w:t>
      </w:r>
    </w:p>
    <w:p>
      <w:pPr>
        <w:numPr>
          <w:ilvl w:val="0"/>
          <w:numId w:val="1010"/>
        </w:numPr>
        <w:pStyle w:val="Compact"/>
      </w:pPr>
      <w:r>
        <w:rPr>
          <w:bCs/>
          <w:b/>
        </w:rPr>
        <w:t xml:space="preserve">Physiotherapists:</w:t>
      </w:r>
      <w:r>
        <w:t xml:space="preserve"> </w:t>
      </w:r>
      <w:r>
        <w:t xml:space="preserve">9 were eligible and 8 expressed interest. One withdrew before interview because of workload.</w:t>
      </w:r>
    </w:p>
    <w:p>
      <w:pPr>
        <w:pStyle w:val="FirstParagraph"/>
      </w:pPr>
      <w:r>
        <w:t xml:space="preserve">No participant withdrew after being interviewed. Participant characteristics are reported in aggregate in Table 3.</w:t>
      </w:r>
    </w:p>
    <w:p>
      <w:pPr>
        <w:pStyle w:val="BodyText"/>
      </w:pPr>
      <w:r>
        <w:rPr>
          <w:bCs/>
          <w:b/>
        </w:rPr>
        <w:t xml:space="preserve">Table 2. Recruitment by participant group and hospital</w:t>
      </w:r>
    </w:p>
    <w:tbl>
      <w:tblPr>
        <w:tblStyle w:val="Table"/>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W w:w="9072" w:type="dxa"/>
        <w:tblLayout w:type="fixed"/>
      </w:tblPr>
      <w:tblGrid>
        <w:gridCol w:w="1587"/>
        <w:gridCol w:w="1814"/>
        <w:gridCol w:w="1360"/>
        <w:gridCol w:w="1247"/>
        <w:gridCol w:w="1020"/>
        <w:gridCol w:w="1020"/>
        <w:gridCol w:w="1020"/>
      </w:tblGrid>
      <w:tr>
        <w:trPr>
          <w:tblHeader w:val="true"/>
        </w:trPr>
        <w:tc>
          <w:tcPr>
            <w:tcW w:type="dxa" w:w="1587"/>
          </w:tcPr>
          <w:p>
            <w:pPr>
              <w:pStyle w:val="Compact"/>
              <w:spacing w:line="240" w:lineRule="auto" w:after="40"/>
              <w:jc w:val="left"/>
            </w:pPr>
            <w:r>
              <w:rPr>
                <w:b/>
                <w:sz w:val="20"/>
              </w:rPr>
              <w:t xml:space="preserve">Group</w:t>
            </w:r>
          </w:p>
        </w:tc>
        <w:tc>
          <w:tcPr>
            <w:tcW w:type="dxa" w:w="1814"/>
          </w:tcPr>
          <w:p>
            <w:pPr>
              <w:pStyle w:val="Compact"/>
              <w:spacing w:line="240" w:lineRule="auto" w:after="40"/>
              <w:jc w:val="left"/>
            </w:pPr>
            <w:r>
              <w:rPr>
                <w:b/>
                <w:sz w:val="20"/>
              </w:rPr>
              <w:t xml:space="preserve">Denominator</w:t>
            </w:r>
          </w:p>
        </w:tc>
        <w:tc>
          <w:tcPr>
            <w:tcW w:type="dxa" w:w="1361"/>
          </w:tcPr>
          <w:p>
            <w:pPr>
              <w:pStyle w:val="Compact"/>
              <w:spacing w:line="240" w:lineRule="auto" w:after="40"/>
              <w:jc w:val="left"/>
            </w:pPr>
            <w:r>
              <w:rPr>
                <w:b/>
                <w:sz w:val="20"/>
              </w:rPr>
              <w:t xml:space="preserve">n in denominator</w:t>
            </w:r>
          </w:p>
        </w:tc>
        <w:tc>
          <w:tcPr>
            <w:tcW w:type="dxa" w:w="1247"/>
          </w:tcPr>
          <w:p>
            <w:pPr>
              <w:pStyle w:val="Compact"/>
              <w:spacing w:line="240" w:lineRule="auto" w:after="40"/>
              <w:jc w:val="left"/>
            </w:pPr>
            <w:r>
              <w:rPr>
                <w:b/>
                <w:sz w:val="20"/>
              </w:rPr>
              <w:t xml:space="preserve">Interviewed</w:t>
            </w:r>
          </w:p>
        </w:tc>
        <w:tc>
          <w:tcPr>
            <w:tcW w:type="dxa" w:w="1020"/>
          </w:tcPr>
          <w:p>
            <w:pPr>
              <w:pStyle w:val="Compact"/>
              <w:spacing w:line="240" w:lineRule="auto" w:after="40"/>
              <w:jc w:val="left"/>
            </w:pPr>
            <w:r>
              <w:rPr>
                <w:b/>
                <w:sz w:val="20"/>
              </w:rPr>
              <w:t xml:space="preserve">Hospital A</w:t>
            </w:r>
          </w:p>
        </w:tc>
        <w:tc>
          <w:tcPr>
            <w:tcW w:type="dxa" w:w="1020"/>
          </w:tcPr>
          <w:p>
            <w:pPr>
              <w:pStyle w:val="Compact"/>
              <w:spacing w:line="240" w:lineRule="auto" w:after="40"/>
              <w:jc w:val="left"/>
            </w:pPr>
            <w:r>
              <w:rPr>
                <w:b/>
                <w:sz w:val="20"/>
              </w:rPr>
              <w:t xml:space="preserve">Hospital B</w:t>
            </w:r>
          </w:p>
        </w:tc>
        <w:tc>
          <w:tcPr>
            <w:tcW w:type="dxa" w:w="1020"/>
          </w:tcPr>
          <w:p>
            <w:pPr>
              <w:pStyle w:val="Compact"/>
              <w:spacing w:line="240" w:lineRule="auto" w:after="40"/>
              <w:jc w:val="left"/>
            </w:pPr>
            <w:r>
              <w:rPr>
                <w:b/>
                <w:sz w:val="20"/>
              </w:rPr>
              <w:t xml:space="preserve">Hospital C</w:t>
            </w:r>
          </w:p>
        </w:tc>
      </w:tr>
      <w:tr>
        <w:tc>
          <w:tcPr>
            <w:tcW w:type="dxa" w:w="1587"/>
          </w:tcPr>
          <w:p>
            <w:pPr>
              <w:pStyle w:val="Compact"/>
              <w:spacing w:line="240" w:lineRule="auto" w:after="40"/>
              <w:jc w:val="left"/>
            </w:pPr>
            <w:r>
              <w:rPr>
                <w:sz w:val="20"/>
              </w:rPr>
              <w:t xml:space="preserve">Women</w:t>
            </w:r>
          </w:p>
        </w:tc>
        <w:tc>
          <w:tcPr>
            <w:tcW w:type="dxa" w:w="1814"/>
          </w:tcPr>
          <w:p>
            <w:pPr>
              <w:pStyle w:val="Compact"/>
              <w:spacing w:line="240" w:lineRule="auto" w:after="40"/>
              <w:jc w:val="left"/>
            </w:pPr>
            <w:r>
              <w:rPr>
                <w:sz w:val="20"/>
              </w:rPr>
              <w:t xml:space="preserve">Approached</w:t>
            </w:r>
          </w:p>
        </w:tc>
        <w:tc>
          <w:tcPr>
            <w:tcW w:type="dxa" w:w="1361"/>
          </w:tcPr>
          <w:p>
            <w:pPr>
              <w:pStyle w:val="Compact"/>
              <w:spacing w:line="240" w:lineRule="auto" w:after="40"/>
              <w:jc w:val="left"/>
            </w:pPr>
            <w:r>
              <w:rPr>
                <w:sz w:val="20"/>
              </w:rPr>
              <w:t xml:space="preserve">27</w:t>
            </w:r>
          </w:p>
        </w:tc>
        <w:tc>
          <w:tcPr>
            <w:tcW w:type="dxa" w:w="1247"/>
          </w:tcPr>
          <w:p>
            <w:pPr>
              <w:pStyle w:val="Compact"/>
              <w:spacing w:line="240" w:lineRule="auto" w:after="40"/>
              <w:jc w:val="left"/>
            </w:pPr>
            <w:r>
              <w:rPr>
                <w:sz w:val="20"/>
              </w:rPr>
              <w:t xml:space="preserve">18</w:t>
            </w:r>
          </w:p>
        </w:tc>
        <w:tc>
          <w:tcPr>
            <w:tcW w:type="dxa" w:w="1020"/>
          </w:tcPr>
          <w:p>
            <w:pPr>
              <w:pStyle w:val="Compact"/>
              <w:spacing w:line="240" w:lineRule="auto" w:after="40"/>
              <w:jc w:val="left"/>
            </w:pPr>
            <w:r>
              <w:rPr>
                <w:sz w:val="20"/>
              </w:rPr>
              <w:t xml:space="preserve">7</w:t>
            </w:r>
          </w:p>
        </w:tc>
        <w:tc>
          <w:tcPr>
            <w:tcW w:type="dxa" w:w="1020"/>
          </w:tcPr>
          <w:p>
            <w:pPr>
              <w:pStyle w:val="Compact"/>
              <w:spacing w:line="240" w:lineRule="auto" w:after="40"/>
              <w:jc w:val="left"/>
            </w:pPr>
            <w:r>
              <w:rPr>
                <w:sz w:val="20"/>
              </w:rPr>
              <w:t xml:space="preserve">6</w:t>
            </w:r>
          </w:p>
        </w:tc>
        <w:tc>
          <w:tcPr>
            <w:tcW w:type="dxa" w:w="1020"/>
          </w:tcPr>
          <w:p>
            <w:pPr>
              <w:pStyle w:val="Compact"/>
              <w:spacing w:line="240" w:lineRule="auto" w:after="40"/>
              <w:jc w:val="left"/>
            </w:pPr>
            <w:r>
              <w:rPr>
                <w:sz w:val="20"/>
              </w:rPr>
              <w:t xml:space="preserve">5</w:t>
            </w:r>
          </w:p>
        </w:tc>
      </w:tr>
      <w:tr>
        <w:tc>
          <w:tcPr>
            <w:tcW w:type="dxa" w:w="1587"/>
          </w:tcPr>
          <w:p>
            <w:pPr>
              <w:pStyle w:val="Compact"/>
              <w:spacing w:line="240" w:lineRule="auto" w:after="40"/>
              <w:jc w:val="left"/>
            </w:pPr>
            <w:r>
              <w:rPr>
                <w:sz w:val="20"/>
              </w:rPr>
              <w:t xml:space="preserve">Maternity nurses</w:t>
            </w:r>
          </w:p>
        </w:tc>
        <w:tc>
          <w:tcPr>
            <w:tcW w:type="dxa" w:w="1814"/>
          </w:tcPr>
          <w:p>
            <w:pPr>
              <w:pStyle w:val="Compact"/>
              <w:spacing w:line="240" w:lineRule="auto" w:after="40"/>
              <w:jc w:val="left"/>
            </w:pPr>
            <w:r>
              <w:rPr>
                <w:sz w:val="20"/>
              </w:rPr>
              <w:t xml:space="preserve">Expressed interest</w:t>
            </w:r>
          </w:p>
        </w:tc>
        <w:tc>
          <w:tcPr>
            <w:tcW w:type="dxa" w:w="1361"/>
          </w:tcPr>
          <w:p>
            <w:pPr>
              <w:pStyle w:val="Compact"/>
              <w:spacing w:line="240" w:lineRule="auto" w:after="40"/>
              <w:jc w:val="left"/>
            </w:pPr>
            <w:r>
              <w:rPr>
                <w:sz w:val="20"/>
              </w:rPr>
              <w:t xml:space="preserve">16</w:t>
            </w:r>
          </w:p>
        </w:tc>
        <w:tc>
          <w:tcPr>
            <w:tcW w:type="dxa" w:w="1247"/>
          </w:tcPr>
          <w:p>
            <w:pPr>
              <w:pStyle w:val="Compact"/>
              <w:spacing w:line="240" w:lineRule="auto" w:after="40"/>
              <w:jc w:val="left"/>
            </w:pPr>
            <w:r>
              <w:rPr>
                <w:sz w:val="20"/>
              </w:rPr>
              <w:t xml:space="preserve">12</w:t>
            </w:r>
          </w:p>
        </w:tc>
        <w:tc>
          <w:tcPr>
            <w:tcW w:type="dxa" w:w="1020"/>
          </w:tcPr>
          <w:p>
            <w:pPr>
              <w:pStyle w:val="Compact"/>
              <w:spacing w:line="240" w:lineRule="auto" w:after="40"/>
              <w:jc w:val="left"/>
            </w:pPr>
            <w:r>
              <w:rPr>
                <w:sz w:val="20"/>
              </w:rPr>
              <w:t xml:space="preserve">5</w:t>
            </w:r>
          </w:p>
        </w:tc>
        <w:tc>
          <w:tcPr>
            <w:tcW w:type="dxa" w:w="1020"/>
          </w:tcPr>
          <w:p>
            <w:pPr>
              <w:pStyle w:val="Compact"/>
              <w:spacing w:line="240" w:lineRule="auto" w:after="40"/>
              <w:jc w:val="left"/>
            </w:pPr>
            <w:r>
              <w:rPr>
                <w:sz w:val="20"/>
              </w:rPr>
              <w:t xml:space="preserve">4</w:t>
            </w:r>
          </w:p>
        </w:tc>
        <w:tc>
          <w:tcPr>
            <w:tcW w:type="dxa" w:w="1020"/>
          </w:tcPr>
          <w:p>
            <w:pPr>
              <w:pStyle w:val="Compact"/>
              <w:spacing w:line="240" w:lineRule="auto" w:after="40"/>
              <w:jc w:val="left"/>
            </w:pPr>
            <w:r>
              <w:rPr>
                <w:sz w:val="20"/>
              </w:rPr>
              <w:t xml:space="preserve">3</w:t>
            </w:r>
          </w:p>
        </w:tc>
      </w:tr>
      <w:tr>
        <w:tc>
          <w:tcPr>
            <w:tcW w:type="dxa" w:w="1587"/>
          </w:tcPr>
          <w:p>
            <w:pPr>
              <w:pStyle w:val="Compact"/>
              <w:spacing w:line="240" w:lineRule="auto" w:after="40"/>
              <w:jc w:val="left"/>
            </w:pPr>
            <w:r>
              <w:rPr>
                <w:sz w:val="20"/>
              </w:rPr>
              <w:t xml:space="preserve">Physiotherapists</w:t>
            </w:r>
          </w:p>
        </w:tc>
        <w:tc>
          <w:tcPr>
            <w:tcW w:type="dxa" w:w="1814"/>
          </w:tcPr>
          <w:p>
            <w:pPr>
              <w:pStyle w:val="Compact"/>
              <w:spacing w:line="240" w:lineRule="auto" w:after="40"/>
              <w:jc w:val="left"/>
            </w:pPr>
            <w:r>
              <w:rPr>
                <w:sz w:val="20"/>
              </w:rPr>
              <w:t xml:space="preserve">Eligible / expressed interest</w:t>
            </w:r>
          </w:p>
        </w:tc>
        <w:tc>
          <w:tcPr>
            <w:tcW w:type="dxa" w:w="1361"/>
          </w:tcPr>
          <w:p>
            <w:pPr>
              <w:pStyle w:val="Compact"/>
              <w:spacing w:line="240" w:lineRule="auto" w:after="40"/>
              <w:jc w:val="left"/>
            </w:pPr>
            <w:r>
              <w:rPr>
                <w:sz w:val="20"/>
              </w:rPr>
              <w:t xml:space="preserve">9 / 8</w:t>
            </w:r>
          </w:p>
        </w:tc>
        <w:tc>
          <w:tcPr>
            <w:tcW w:type="dxa" w:w="1247"/>
          </w:tcPr>
          <w:p>
            <w:pPr>
              <w:pStyle w:val="Compact"/>
              <w:spacing w:line="240" w:lineRule="auto" w:after="40"/>
              <w:jc w:val="left"/>
            </w:pPr>
            <w:r>
              <w:rPr>
                <w:sz w:val="20"/>
              </w:rPr>
              <w:t xml:space="preserve">7</w:t>
            </w:r>
          </w:p>
        </w:tc>
        <w:tc>
          <w:tcPr>
            <w:tcW w:type="dxa" w:w="1020"/>
          </w:tcPr>
          <w:p>
            <w:pPr>
              <w:pStyle w:val="Compact"/>
              <w:spacing w:line="240" w:lineRule="auto" w:after="40"/>
              <w:jc w:val="left"/>
            </w:pPr>
            <w:r>
              <w:rPr>
                <w:sz w:val="20"/>
              </w:rPr>
              <w:t xml:space="preserve">3</w:t>
            </w:r>
          </w:p>
        </w:tc>
        <w:tc>
          <w:tcPr>
            <w:tcW w:type="dxa" w:w="1020"/>
          </w:tcPr>
          <w:p>
            <w:pPr>
              <w:pStyle w:val="Compact"/>
              <w:spacing w:line="240" w:lineRule="auto" w:after="40"/>
              <w:jc w:val="left"/>
            </w:pPr>
            <w:r>
              <w:rPr>
                <w:sz w:val="20"/>
              </w:rPr>
              <w:t xml:space="preserve">2</w:t>
            </w:r>
          </w:p>
        </w:tc>
        <w:tc>
          <w:tcPr>
            <w:tcW w:type="dxa" w:w="1020"/>
          </w:tcPr>
          <w:p>
            <w:pPr>
              <w:pStyle w:val="Compact"/>
              <w:spacing w:line="240" w:lineRule="auto" w:after="40"/>
              <w:jc w:val="left"/>
            </w:pPr>
            <w:r>
              <w:rPr>
                <w:sz w:val="20"/>
              </w:rPr>
              <w:t xml:space="preserve">2</w:t>
            </w:r>
          </w:p>
        </w:tc>
      </w:tr>
    </w:tbl>
    <w:p>
      <w:pPr>
        <w:pStyle w:val="BodyText"/>
      </w:pPr>
      <w:r>
        <w:rPr>
          <w:bCs/>
          <w:b/>
        </w:rPr>
        <w:t xml:space="preserve">Table 3. Participant characteristics (aggregate)</w:t>
      </w:r>
    </w:p>
    <w:tbl>
      <w:tblPr>
        <w:tblStyle w:val="Table"/>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W w:w="9072" w:type="dxa"/>
        <w:tblLayout w:type="fixed"/>
      </w:tblPr>
      <w:tblGrid>
        <w:gridCol w:w="2268"/>
        <w:gridCol w:w="5386"/>
        <w:gridCol w:w="1417"/>
      </w:tblGrid>
      <w:tr>
        <w:trPr>
          <w:tblHeader w:val="true"/>
        </w:trPr>
        <w:tc>
          <w:tcPr>
            <w:tcW w:type="dxa" w:w="2268"/>
          </w:tcPr>
          <w:p>
            <w:pPr>
              <w:pStyle w:val="Compact"/>
              <w:spacing w:line="240" w:lineRule="auto" w:after="40"/>
              <w:jc w:val="left"/>
            </w:pPr>
            <w:r>
              <w:rPr>
                <w:b/>
                <w:sz w:val="20"/>
              </w:rPr>
              <w:t xml:space="preserve">Group</w:t>
            </w:r>
          </w:p>
        </w:tc>
        <w:tc>
          <w:tcPr>
            <w:tcW w:type="dxa" w:w="5386"/>
          </w:tcPr>
          <w:p>
            <w:pPr>
              <w:pStyle w:val="Compact"/>
              <w:spacing w:line="240" w:lineRule="auto" w:after="40"/>
              <w:jc w:val="left"/>
            </w:pPr>
            <w:r>
              <w:rPr>
                <w:b/>
                <w:sz w:val="20"/>
              </w:rPr>
              <w:t xml:space="preserve">Characteristic</w:t>
            </w:r>
          </w:p>
        </w:tc>
        <w:tc>
          <w:tcPr>
            <w:tcW w:type="dxa" w:w="1417"/>
          </w:tcPr>
          <w:p>
            <w:pPr>
              <w:pStyle w:val="Compact"/>
              <w:spacing w:line="240" w:lineRule="auto" w:after="40"/>
              <w:jc w:val="left"/>
            </w:pPr>
            <w:r>
              <w:rPr>
                <w:b/>
                <w:sz w:val="20"/>
              </w:rPr>
              <w:t xml:space="preserve">n</w:t>
            </w:r>
          </w:p>
        </w:tc>
      </w:tr>
      <w:tr>
        <w:tc>
          <w:tcPr>
            <w:tcW w:type="dxa" w:w="2268"/>
          </w:tcPr>
          <w:p>
            <w:pPr>
              <w:pStyle w:val="Compact"/>
              <w:spacing w:line="240" w:lineRule="auto" w:after="40"/>
              <w:jc w:val="left"/>
            </w:pPr>
            <w:r>
              <w:rPr>
                <w:sz w:val="20"/>
              </w:rPr>
              <w:t xml:space="preserve">Women (n = 18)</w:t>
            </w:r>
          </w:p>
        </w:tc>
        <w:tc>
          <w:tcPr>
            <w:tcW w:type="dxa" w:w="5386"/>
          </w:tcPr>
          <w:p>
            <w:pPr>
              <w:pStyle w:val="Compact"/>
              <w:spacing w:line="240" w:lineRule="auto" w:after="40"/>
              <w:jc w:val="left"/>
            </w:pPr>
            <w:r>
              <w:rPr>
                <w:sz w:val="20"/>
              </w:rPr>
              <w:t xml:space="preserve">Age 18–24 / 25–34 / ≥35 years</w:t>
            </w:r>
          </w:p>
        </w:tc>
        <w:tc>
          <w:tcPr>
            <w:tcW w:type="dxa" w:w="1417"/>
          </w:tcPr>
          <w:p>
            <w:pPr>
              <w:pStyle w:val="Compact"/>
              <w:spacing w:line="240" w:lineRule="auto" w:after="40"/>
              <w:jc w:val="left"/>
            </w:pPr>
            <w:r>
              <w:rPr>
                <w:sz w:val="20"/>
              </w:rPr>
              <w:t xml:space="preserve">4 / 10 / 4</w:t>
            </w:r>
          </w:p>
        </w:tc>
      </w:tr>
      <w:tr>
        <w:tc>
          <w:tcPr>
            <w:tcW w:type="dxa" w:w="2268"/>
          </w:tcPr>
          <w:p>
            <w:pPr>
              <w:pStyle w:val="Compact"/>
              <w:spacing w:line="240" w:lineRule="auto" w:after="40"/>
            </w:pPr>
          </w:p>
        </w:tc>
        <w:tc>
          <w:tcPr>
            <w:tcW w:type="dxa" w:w="5386"/>
          </w:tcPr>
          <w:p>
            <w:pPr>
              <w:pStyle w:val="Compact"/>
              <w:spacing w:line="240" w:lineRule="auto" w:after="40"/>
              <w:jc w:val="left"/>
            </w:pPr>
            <w:r>
              <w:rPr>
                <w:sz w:val="20"/>
              </w:rPr>
              <w:t xml:space="preserve">Primiparous / multiparous</w:t>
            </w:r>
          </w:p>
        </w:tc>
        <w:tc>
          <w:tcPr>
            <w:tcW w:type="dxa" w:w="1417"/>
          </w:tcPr>
          <w:p>
            <w:pPr>
              <w:pStyle w:val="Compact"/>
              <w:spacing w:line="240" w:lineRule="auto" w:after="40"/>
              <w:jc w:val="left"/>
            </w:pPr>
            <w:r>
              <w:rPr>
                <w:sz w:val="20"/>
              </w:rPr>
              <w:t xml:space="preserve">8 / 10</w:t>
            </w:r>
          </w:p>
        </w:tc>
      </w:tr>
      <w:tr>
        <w:tc>
          <w:tcPr>
            <w:tcW w:type="dxa" w:w="2268"/>
          </w:tcPr>
          <w:p>
            <w:pPr>
              <w:pStyle w:val="Compact"/>
              <w:spacing w:line="240" w:lineRule="auto" w:after="40"/>
            </w:pPr>
          </w:p>
        </w:tc>
        <w:tc>
          <w:tcPr>
            <w:tcW w:type="dxa" w:w="5386"/>
          </w:tcPr>
          <w:p>
            <w:pPr>
              <w:pStyle w:val="Compact"/>
              <w:spacing w:line="240" w:lineRule="auto" w:after="40"/>
              <w:jc w:val="left"/>
            </w:pPr>
            <w:r>
              <w:rPr>
                <w:sz w:val="20"/>
              </w:rPr>
              <w:t xml:space="preserve">Urgency category 1 / 2 / 3</w:t>
            </w:r>
          </w:p>
        </w:tc>
        <w:tc>
          <w:tcPr>
            <w:tcW w:type="dxa" w:w="1417"/>
          </w:tcPr>
          <w:p>
            <w:pPr>
              <w:pStyle w:val="Compact"/>
              <w:spacing w:line="240" w:lineRule="auto" w:after="40"/>
              <w:jc w:val="left"/>
            </w:pPr>
            <w:r>
              <w:rPr>
                <w:sz w:val="20"/>
              </w:rPr>
              <w:t xml:space="preserve">3 / 9 / 6</w:t>
            </w:r>
          </w:p>
        </w:tc>
      </w:tr>
      <w:tr>
        <w:tc>
          <w:tcPr>
            <w:tcW w:type="dxa" w:w="2268"/>
          </w:tcPr>
          <w:p>
            <w:pPr>
              <w:pStyle w:val="Compact"/>
              <w:spacing w:line="240" w:lineRule="auto" w:after="40"/>
            </w:pPr>
          </w:p>
        </w:tc>
        <w:tc>
          <w:tcPr>
            <w:tcW w:type="dxa" w:w="5386"/>
          </w:tcPr>
          <w:p>
            <w:pPr>
              <w:pStyle w:val="Compact"/>
              <w:spacing w:line="240" w:lineRule="auto" w:after="40"/>
              <w:jc w:val="left"/>
            </w:pPr>
            <w:r>
              <w:rPr>
                <w:sz w:val="20"/>
              </w:rPr>
              <w:t xml:space="preserve">Labour preceded caesarean</w:t>
            </w:r>
          </w:p>
        </w:tc>
        <w:tc>
          <w:tcPr>
            <w:tcW w:type="dxa" w:w="1417"/>
          </w:tcPr>
          <w:p>
            <w:pPr>
              <w:pStyle w:val="Compact"/>
              <w:spacing w:line="240" w:lineRule="auto" w:after="40"/>
              <w:jc w:val="left"/>
            </w:pPr>
            <w:r>
              <w:rPr>
                <w:sz w:val="20"/>
              </w:rPr>
              <w:t xml:space="preserve">13</w:t>
            </w:r>
          </w:p>
        </w:tc>
      </w:tr>
      <w:tr>
        <w:tc>
          <w:tcPr>
            <w:tcW w:type="dxa" w:w="2268"/>
          </w:tcPr>
          <w:p>
            <w:pPr>
              <w:pStyle w:val="Compact"/>
              <w:spacing w:line="240" w:lineRule="auto" w:after="40"/>
            </w:pPr>
          </w:p>
        </w:tc>
        <w:tc>
          <w:tcPr>
            <w:tcW w:type="dxa" w:w="5386"/>
          </w:tcPr>
          <w:p>
            <w:pPr>
              <w:pStyle w:val="Compact"/>
              <w:spacing w:line="240" w:lineRule="auto" w:after="40"/>
              <w:jc w:val="left"/>
            </w:pPr>
            <w:r>
              <w:rPr>
                <w:sz w:val="20"/>
              </w:rPr>
              <w:t xml:space="preserve">Spinal or epidural / general anaesthesia</w:t>
            </w:r>
          </w:p>
        </w:tc>
        <w:tc>
          <w:tcPr>
            <w:tcW w:type="dxa" w:w="1417"/>
          </w:tcPr>
          <w:p>
            <w:pPr>
              <w:pStyle w:val="Compact"/>
              <w:spacing w:line="240" w:lineRule="auto" w:after="40"/>
              <w:jc w:val="left"/>
            </w:pPr>
            <w:r>
              <w:rPr>
                <w:sz w:val="20"/>
              </w:rPr>
              <w:t xml:space="preserve">15 / 3</w:t>
            </w:r>
          </w:p>
        </w:tc>
      </w:tr>
      <w:tr>
        <w:tc>
          <w:tcPr>
            <w:tcW w:type="dxa" w:w="2268"/>
          </w:tcPr>
          <w:p>
            <w:pPr>
              <w:pStyle w:val="Compact"/>
              <w:spacing w:line="240" w:lineRule="auto" w:after="40"/>
            </w:pPr>
          </w:p>
        </w:tc>
        <w:tc>
          <w:tcPr>
            <w:tcW w:type="dxa" w:w="5386"/>
          </w:tcPr>
          <w:p>
            <w:pPr>
              <w:pStyle w:val="Compact"/>
              <w:spacing w:line="240" w:lineRule="auto" w:after="40"/>
              <w:jc w:val="left"/>
            </w:pPr>
            <w:r>
              <w:rPr>
                <w:sz w:val="20"/>
              </w:rPr>
              <w:t xml:space="preserve">First assisted mobilisation ≤24 h / &gt;24 h after surgery</w:t>
            </w:r>
          </w:p>
        </w:tc>
        <w:tc>
          <w:tcPr>
            <w:tcW w:type="dxa" w:w="1417"/>
          </w:tcPr>
          <w:p>
            <w:pPr>
              <w:pStyle w:val="Compact"/>
              <w:spacing w:line="240" w:lineRule="auto" w:after="40"/>
              <w:jc w:val="left"/>
            </w:pPr>
            <w:r>
              <w:rPr>
                <w:sz w:val="20"/>
              </w:rPr>
              <w:t xml:space="preserve">12 / 6</w:t>
            </w:r>
          </w:p>
        </w:tc>
      </w:tr>
      <w:tr>
        <w:tc>
          <w:tcPr>
            <w:tcW w:type="dxa" w:w="2268"/>
          </w:tcPr>
          <w:p>
            <w:pPr>
              <w:pStyle w:val="Compact"/>
              <w:spacing w:line="240" w:lineRule="auto" w:after="40"/>
            </w:pPr>
          </w:p>
        </w:tc>
        <w:tc>
          <w:tcPr>
            <w:tcW w:type="dxa" w:w="5386"/>
          </w:tcPr>
          <w:p>
            <w:pPr>
              <w:pStyle w:val="Compact"/>
              <w:spacing w:line="240" w:lineRule="auto" w:after="40"/>
              <w:jc w:val="left"/>
            </w:pPr>
            <w:r>
              <w:rPr>
                <w:sz w:val="20"/>
              </w:rPr>
              <w:t xml:space="preserve">Received physiotherapy during admission</w:t>
            </w:r>
          </w:p>
        </w:tc>
        <w:tc>
          <w:tcPr>
            <w:tcW w:type="dxa" w:w="1417"/>
          </w:tcPr>
          <w:p>
            <w:pPr>
              <w:pStyle w:val="Compact"/>
              <w:spacing w:line="240" w:lineRule="auto" w:after="40"/>
              <w:jc w:val="left"/>
            </w:pPr>
            <w:r>
              <w:rPr>
                <w:sz w:val="20"/>
              </w:rPr>
              <w:t xml:space="preserve">5</w:t>
            </w:r>
          </w:p>
        </w:tc>
      </w:tr>
      <w:tr>
        <w:tc>
          <w:tcPr>
            <w:tcW w:type="dxa" w:w="2268"/>
          </w:tcPr>
          <w:p>
            <w:pPr>
              <w:pStyle w:val="Compact"/>
              <w:spacing w:line="240" w:lineRule="auto" w:after="40"/>
            </w:pPr>
          </w:p>
        </w:tc>
        <w:tc>
          <w:tcPr>
            <w:tcW w:type="dxa" w:w="5386"/>
          </w:tcPr>
          <w:p>
            <w:pPr>
              <w:pStyle w:val="Compact"/>
              <w:spacing w:line="240" w:lineRule="auto" w:after="40"/>
              <w:jc w:val="left"/>
            </w:pPr>
            <w:r>
              <w:rPr>
                <w:sz w:val="20"/>
              </w:rPr>
              <w:t xml:space="preserve">Infant in neonatal unit at time of interview</w:t>
            </w:r>
          </w:p>
        </w:tc>
        <w:tc>
          <w:tcPr>
            <w:tcW w:type="dxa" w:w="1417"/>
          </w:tcPr>
          <w:p>
            <w:pPr>
              <w:pStyle w:val="Compact"/>
              <w:spacing w:line="240" w:lineRule="auto" w:after="40"/>
              <w:jc w:val="left"/>
            </w:pPr>
            <w:r>
              <w:rPr>
                <w:sz w:val="20"/>
              </w:rPr>
              <w:t xml:space="preserve">3</w:t>
            </w:r>
          </w:p>
        </w:tc>
      </w:tr>
      <w:tr>
        <w:tc>
          <w:tcPr>
            <w:tcW w:type="dxa" w:w="2268"/>
          </w:tcPr>
          <w:p>
            <w:pPr>
              <w:pStyle w:val="Compact"/>
              <w:spacing w:line="240" w:lineRule="auto" w:after="40"/>
              <w:jc w:val="left"/>
            </w:pPr>
            <w:r>
              <w:rPr>
                <w:sz w:val="20"/>
              </w:rPr>
              <w:t xml:space="preserve">Maternity nurses (n = 12)</w:t>
            </w:r>
          </w:p>
        </w:tc>
        <w:tc>
          <w:tcPr>
            <w:tcW w:type="dxa" w:w="5386"/>
          </w:tcPr>
          <w:p>
            <w:pPr>
              <w:pStyle w:val="Compact"/>
              <w:spacing w:line="240" w:lineRule="auto" w:after="40"/>
              <w:jc w:val="left"/>
            </w:pPr>
            <w:r>
              <w:rPr>
                <w:sz w:val="20"/>
              </w:rPr>
              <w:t xml:space="preserve">Postnatal experience &lt;5 / 5–10 / &gt;10 years</w:t>
            </w:r>
          </w:p>
        </w:tc>
        <w:tc>
          <w:tcPr>
            <w:tcW w:type="dxa" w:w="1417"/>
          </w:tcPr>
          <w:p>
            <w:pPr>
              <w:pStyle w:val="Compact"/>
              <w:spacing w:line="240" w:lineRule="auto" w:after="40"/>
              <w:jc w:val="left"/>
            </w:pPr>
            <w:r>
              <w:rPr>
                <w:sz w:val="20"/>
              </w:rPr>
              <w:t xml:space="preserve">4 / 6 / 2</w:t>
            </w:r>
          </w:p>
        </w:tc>
      </w:tr>
      <w:tr>
        <w:tc>
          <w:tcPr>
            <w:tcW w:type="dxa" w:w="2268"/>
          </w:tcPr>
          <w:p>
            <w:pPr>
              <w:pStyle w:val="Compact"/>
              <w:spacing w:line="240" w:lineRule="auto" w:after="40"/>
            </w:pPr>
          </w:p>
        </w:tc>
        <w:tc>
          <w:tcPr>
            <w:tcW w:type="dxa" w:w="5386"/>
          </w:tcPr>
          <w:p>
            <w:pPr>
              <w:pStyle w:val="Compact"/>
              <w:spacing w:line="240" w:lineRule="auto" w:after="40"/>
              <w:jc w:val="left"/>
            </w:pPr>
            <w:r>
              <w:rPr>
                <w:sz w:val="20"/>
              </w:rPr>
              <w:t xml:space="preserve">Arabic / other first language</w:t>
            </w:r>
          </w:p>
        </w:tc>
        <w:tc>
          <w:tcPr>
            <w:tcW w:type="dxa" w:w="1417"/>
          </w:tcPr>
          <w:p>
            <w:pPr>
              <w:pStyle w:val="Compact"/>
              <w:spacing w:line="240" w:lineRule="auto" w:after="40"/>
              <w:jc w:val="left"/>
            </w:pPr>
            <w:r>
              <w:rPr>
                <w:sz w:val="20"/>
              </w:rPr>
              <w:t xml:space="preserve">4 / 8</w:t>
            </w:r>
          </w:p>
        </w:tc>
      </w:tr>
      <w:tr>
        <w:tc>
          <w:tcPr>
            <w:tcW w:type="dxa" w:w="2268"/>
          </w:tcPr>
          <w:p>
            <w:pPr>
              <w:pStyle w:val="Compact"/>
              <w:spacing w:line="240" w:lineRule="auto" w:after="40"/>
              <w:jc w:val="left"/>
            </w:pPr>
            <w:r>
              <w:rPr>
                <w:sz w:val="20"/>
              </w:rPr>
              <w:t xml:space="preserve">Physiotherapists (n = 7)</w:t>
            </w:r>
          </w:p>
        </w:tc>
        <w:tc>
          <w:tcPr>
            <w:tcW w:type="dxa" w:w="5386"/>
          </w:tcPr>
          <w:p>
            <w:pPr>
              <w:pStyle w:val="Compact"/>
              <w:spacing w:line="240" w:lineRule="auto" w:after="40"/>
              <w:jc w:val="left"/>
            </w:pPr>
            <w:r>
              <w:rPr>
                <w:sz w:val="20"/>
              </w:rPr>
              <w:t xml:space="preserve">Experience &lt;5 / 5–10 / &gt;10 years</w:t>
            </w:r>
          </w:p>
        </w:tc>
        <w:tc>
          <w:tcPr>
            <w:tcW w:type="dxa" w:w="1417"/>
          </w:tcPr>
          <w:p>
            <w:pPr>
              <w:pStyle w:val="Compact"/>
              <w:spacing w:line="240" w:lineRule="auto" w:after="40"/>
              <w:jc w:val="left"/>
            </w:pPr>
            <w:r>
              <w:rPr>
                <w:sz w:val="20"/>
              </w:rPr>
              <w:t xml:space="preserve">3 / 3 / 1</w:t>
            </w:r>
          </w:p>
        </w:tc>
      </w:tr>
      <w:tr>
        <w:tc>
          <w:tcPr>
            <w:tcW w:type="dxa" w:w="2268"/>
          </w:tcPr>
          <w:p>
            <w:pPr>
              <w:pStyle w:val="Compact"/>
              <w:spacing w:line="240" w:lineRule="auto" w:after="40"/>
            </w:pPr>
          </w:p>
        </w:tc>
        <w:tc>
          <w:tcPr>
            <w:tcW w:type="dxa" w:w="5386"/>
          </w:tcPr>
          <w:p>
            <w:pPr>
              <w:pStyle w:val="Compact"/>
              <w:spacing w:line="240" w:lineRule="auto" w:after="40"/>
              <w:jc w:val="left"/>
            </w:pPr>
            <w:r>
              <w:rPr>
                <w:sz w:val="20"/>
              </w:rPr>
              <w:t xml:space="preserve">Women's health a regular part of caseload</w:t>
            </w:r>
          </w:p>
        </w:tc>
        <w:tc>
          <w:tcPr>
            <w:tcW w:type="dxa" w:w="1417"/>
          </w:tcPr>
          <w:p>
            <w:pPr>
              <w:pStyle w:val="Compact"/>
              <w:spacing w:line="240" w:lineRule="auto" w:after="40"/>
              <w:jc w:val="left"/>
            </w:pPr>
            <w:r>
              <w:rPr>
                <w:sz w:val="20"/>
              </w:rPr>
              <w:t xml:space="preserve">3</w:t>
            </w:r>
          </w:p>
        </w:tc>
      </w:tr>
    </w:tbl>
    <w:bookmarkEnd w:id="28"/>
    <w:bookmarkEnd w:id="29"/>
    <w:bookmarkStart w:id="30" w:name="X223148b246b3b7d5ee1dc3aba2d9f0737efc65f"/>
    <w:p>
      <w:pPr>
        <w:pStyle w:val="Heading2"/>
      </w:pPr>
      <w:r>
        <w:t xml:space="preserve">2.4 Data collection</w:t>
      </w:r>
    </w:p>
    <w:p>
      <w:pPr>
        <w:pStyle w:val="FirstParagraph"/>
      </w:pPr>
      <w:r>
        <w:t xml:space="preserve">Semi-structured individual interviews were conducted between March and September 2026, in Arabic or English according to each participant's preference.</w:t>
      </w:r>
    </w:p>
    <w:p>
      <w:pPr>
        <w:pStyle w:val="BodyText"/>
      </w:pPr>
      <w:r>
        <w:rPr>
          <w:bCs/>
          <w:b/>
        </w:rPr>
        <w:t xml:space="preserve">Inpatient interviews with women (n = 14).</w:t>
      </w:r>
      <w:r>
        <w:t xml:space="preserve"> </w:t>
      </w:r>
      <w:r>
        <w:t xml:space="preserve">These took place from postoperative day 2. Before each interview, the woman's nurse confirmed that she was alert, sufficiently comfortable and not recently sedated, and the woman confirmed that she was willing to talk. Nine interviews were held in a private room and five at the bedside. Curtains reduce visibility but cannot prevent others from overhearing. Bedside interviews were therefore held only when neighbouring beds were unoccupied. The interviewer spoke at a low volume, and women were reminded that they could pause, move elsewhere or defer sensitive topics.</w:t>
      </w:r>
    </w:p>
    <w:p>
      <w:pPr>
        <w:pStyle w:val="BodyText"/>
      </w:pPr>
      <w:r>
        <w:rPr>
          <w:bCs/>
          <w:b/>
        </w:rPr>
        <w:t xml:space="preserve">Remote interviews with women (n = 4).</w:t>
      </w:r>
      <w:r>
        <w:t xml:space="preserve"> </w:t>
      </w:r>
      <w:r>
        <w:t xml:space="preserve">Women discharged before an interview could be arranged were offered a telephone or video interview within 14 days of birth. Three were interviewed by telephone and one by video. At the start, the interviewer confirmed that the woman felt well enough to talk and could speak privately.</w:t>
      </w:r>
    </w:p>
    <w:p>
      <w:pPr>
        <w:pStyle w:val="BodyText"/>
      </w:pPr>
      <w:r>
        <w:rPr>
          <w:bCs/>
          <w:b/>
        </w:rPr>
        <w:t xml:space="preserve">Interviews with professionals.</w:t>
      </w:r>
      <w:r>
        <w:t xml:space="preserve"> </w:t>
      </w:r>
      <w:r>
        <w:t xml:space="preserve">Thirteen professionals were interviewed face to face in a private room away from the clinical area, and six by video.</w:t>
      </w:r>
    </w:p>
    <w:p>
      <w:pPr>
        <w:pStyle w:val="BodyText"/>
      </w:pPr>
      <w:r>
        <w:rPr>
          <w:bCs/>
          <w:b/>
        </w:rPr>
        <w:t xml:space="preserve">Interview length.</w:t>
      </w:r>
      <w:r>
        <w:t xml:space="preserve"> </w:t>
      </w:r>
      <w:r>
        <w:t xml:space="preserve">Interviews with women lasted 28–55 minutes (median 39). Interviews with professionals lasted 41–74 minutes (median 52).</w:t>
      </w:r>
    </w:p>
    <w:p>
      <w:pPr>
        <w:pStyle w:val="BodyText"/>
      </w:pPr>
      <w:r>
        <w:rPr>
          <w:bCs/>
          <w:b/>
        </w:rPr>
        <w:t xml:space="preserve">Interviewers.</w:t>
      </w:r>
      <w:r>
        <w:t xml:space="preserve"> </w:t>
      </w:r>
      <w:r>
        <w:t xml:space="preserve">NR, a nurse, interviewed all the women. Interviews with professionals were allocated across disciplines: PR, a physiotherapist, interviewed the nurses, and NR interviewed the physiotherapists. This allocation was intended to support critical reflection on professional assumptions, not to eliminate them.</w:t>
      </w:r>
    </w:p>
    <w:p>
      <w:pPr>
        <w:pStyle w:val="BodyText"/>
      </w:pPr>
      <w:r>
        <w:rPr>
          <w:bCs/>
          <w:b/>
        </w:rPr>
        <w:t xml:space="preserve">Interview guides.</w:t>
      </w:r>
      <w:r>
        <w:t xml:space="preserve"> </w:t>
      </w:r>
      <w:r>
        <w:t xml:space="preserve">The three guides shared a common structure to allow comparison and were adapted to each group's role. The women's guide emphasised bodily experience and newborn-care demands; the nurses' guide, assessment and assistance; and the physiotherapists' guide, referral and recommendations. The guides drew on the study objectives, the sensitising concepts, earlier research (Mørch et al., 2019; Lehmkuhl et al., 2024; Thörn et al., 2025) and advice from the patient and public involvement group (Section 2.9). NR translated them into Arabic, and PR checked them for conceptual equivalence. Everyday Arabic expressions for getting up and moving replaced the technical term "mobilisation".</w:t>
      </w:r>
    </w:p>
    <w:p>
      <w:pPr>
        <w:pStyle w:val="BodyText"/>
      </w:pPr>
      <w:r>
        <w:rPr>
          <w:bCs/>
          <w:b/>
        </w:rPr>
        <w:t xml:space="preserve">Piloting.</w:t>
      </w:r>
      <w:r>
        <w:t xml:space="preserve"> </w:t>
      </w:r>
      <w:r>
        <w:t xml:space="preserve">The guides were piloted with one woman and one nurse. Two changes followed:</w:t>
      </w:r>
    </w:p>
    <w:p>
      <w:pPr>
        <w:numPr>
          <w:ilvl w:val="0"/>
          <w:numId w:val="1011"/>
        </w:numPr>
        <w:pStyle w:val="Compact"/>
      </w:pPr>
      <w:r>
        <w:t xml:space="preserve">The women's opening question was changed from a general question about recovery to the first time they got out of bed, because the general question produced long accounts of the birth.</w:t>
      </w:r>
    </w:p>
    <w:p>
      <w:pPr>
        <w:numPr>
          <w:ilvl w:val="0"/>
          <w:numId w:val="1011"/>
        </w:numPr>
        <w:pStyle w:val="Compact"/>
      </w:pPr>
      <w:r>
        <w:t xml:space="preserve">Prompts about the timing of pain medication were added.</w:t>
      </w:r>
    </w:p>
    <w:p>
      <w:pPr>
        <w:pStyle w:val="FirstParagraph"/>
      </w:pPr>
      <w:r>
        <w:t xml:space="preserve">Because these changes were minor, the pilot interviews were retained in the analysis.</w:t>
      </w:r>
    </w:p>
    <w:p>
      <w:pPr>
        <w:pStyle w:val="BodyText"/>
      </w:pPr>
      <w:r>
        <w:rPr>
          <w:bCs/>
          <w:b/>
        </w:rPr>
        <w:t xml:space="preserve">Changes during data collection.</w:t>
      </w:r>
      <w:r>
        <w:t xml:space="preserve"> </w:t>
      </w:r>
      <w:r>
        <w:t xml:space="preserve">After early analysis, two prompts were added: one about mobilisation at night and outside physiotherapy hours, and one, for professionals, about occasions when their appraisal differed from a woman's. The complete guides and the contextual information form are provided in Supplementary File S1.</w:t>
      </w:r>
    </w:p>
    <w:p>
      <w:pPr>
        <w:pStyle w:val="BodyText"/>
      </w:pPr>
      <w:r>
        <w:rPr>
          <w:bCs/>
          <w:b/>
        </w:rPr>
        <w:t xml:space="preserve">Decision episodes.</w:t>
      </w:r>
      <w:r>
        <w:t xml:space="preserve"> </w:t>
      </w:r>
      <w:r>
        <w:t xml:space="preserve">Each interview centred on specific decision episodes, both routine and difficult. For each episode, prompts covered:</w:t>
      </w:r>
    </w:p>
    <w:p>
      <w:pPr>
        <w:numPr>
          <w:ilvl w:val="0"/>
          <w:numId w:val="1012"/>
        </w:numPr>
        <w:pStyle w:val="Compact"/>
      </w:pPr>
      <w:r>
        <w:t xml:space="preserve">the proposed activity;</w:t>
      </w:r>
    </w:p>
    <w:p>
      <w:pPr>
        <w:numPr>
          <w:ilvl w:val="0"/>
          <w:numId w:val="1012"/>
        </w:numPr>
        <w:pStyle w:val="Compact"/>
      </w:pPr>
      <w:r>
        <w:t xml:space="preserve">the woman's symptoms and concerns;</w:t>
      </w:r>
    </w:p>
    <w:p>
      <w:pPr>
        <w:numPr>
          <w:ilvl w:val="0"/>
          <w:numId w:val="1012"/>
        </w:numPr>
        <w:pStyle w:val="Compact"/>
      </w:pPr>
      <w:r>
        <w:t xml:space="preserve">who contributed to the readiness appraisal;</w:t>
      </w:r>
    </w:p>
    <w:p>
      <w:pPr>
        <w:numPr>
          <w:ilvl w:val="0"/>
          <w:numId w:val="1012"/>
        </w:numPr>
        <w:pStyle w:val="Compact"/>
      </w:pPr>
      <w:r>
        <w:t xml:space="preserve">what was communicated;</w:t>
      </w:r>
    </w:p>
    <w:p>
      <w:pPr>
        <w:numPr>
          <w:ilvl w:val="0"/>
          <w:numId w:val="1012"/>
        </w:numPr>
        <w:pStyle w:val="Compact"/>
      </w:pPr>
      <w:r>
        <w:t xml:space="preserve">what happened;</w:t>
      </w:r>
    </w:p>
    <w:p>
      <w:pPr>
        <w:numPr>
          <w:ilvl w:val="0"/>
          <w:numId w:val="1012"/>
        </w:numPr>
        <w:pStyle w:val="Compact"/>
      </w:pPr>
      <w:r>
        <w:t xml:space="preserve">why the activity went ahead, was adapted, was paused or was deferred;</w:t>
      </w:r>
    </w:p>
    <w:p>
      <w:pPr>
        <w:numPr>
          <w:ilvl w:val="0"/>
          <w:numId w:val="1012"/>
        </w:numPr>
        <w:pStyle w:val="Compact"/>
      </w:pPr>
      <w:r>
        <w:t xml:space="preserve">what later prompted reconsideration.</w:t>
      </w:r>
    </w:p>
    <w:p>
      <w:pPr>
        <w:pStyle w:val="FirstParagraph"/>
      </w:pPr>
      <w:r>
        <w:t xml:space="preserve">Reconsideration was explored retrospectively within the same interview, and no repeat interviews were needed.</w:t>
      </w:r>
    </w:p>
    <w:p>
      <w:pPr>
        <w:pStyle w:val="BodyText"/>
      </w:pPr>
      <w:r>
        <w:rPr>
          <w:bCs/>
          <w:b/>
        </w:rPr>
        <w:t xml:space="preserve">Recording and field notes.</w:t>
      </w:r>
      <w:r>
        <w:t xml:space="preserve"> </w:t>
      </w:r>
      <w:r>
        <w:t xml:space="preserve">Interviews were audio-recorded, and field notes were written immediately afterwards.</w:t>
      </w:r>
    </w:p>
    <w:p>
      <w:pPr>
        <w:pStyle w:val="BodyText"/>
      </w:pPr>
      <w:r>
        <w:rPr>
          <w:bCs/>
          <w:b/>
        </w:rPr>
        <w:t xml:space="preserve">Companions.</w:t>
      </w:r>
      <w:r>
        <w:t xml:space="preserve"> </w:t>
      </w:r>
      <w:r>
        <w:t xml:space="preserve">Women chose whether a companion was present. A female relative was present in five interviews. Companions were told about the study and gave verbal agreement for their presence to be noted. They were not participants, and their speech was neither coded nor quoted. In transcripts, companions' speech was marked so that the woman's account remained distinct. Field notes recorded each companion's presence and any visible influence on the conversation, and this was used only as context when interpreting the woman's account.</w:t>
      </w:r>
    </w:p>
    <w:bookmarkEnd w:id="30"/>
    <w:bookmarkStart w:id="31" w:name="Xf4b4e4d0e6ce308df0511e668274ee6498db057"/>
    <w:p>
      <w:pPr>
        <w:pStyle w:val="Heading2"/>
      </w:pPr>
      <w:r>
        <w:t xml:space="preserve">2.5 Transcription, translation and data management</w:t>
      </w:r>
    </w:p>
    <w:p>
      <w:pPr>
        <w:pStyle w:val="FirstParagraph"/>
      </w:pPr>
      <w:r>
        <w:rPr>
          <w:bCs/>
          <w:b/>
        </w:rPr>
        <w:t xml:space="preserve">Transcription.</w:t>
      </w:r>
      <w:r>
        <w:t xml:space="preserve"> </w:t>
      </w:r>
      <w:r>
        <w:t xml:space="preserve">A bilingual research assistant transcribed recordings verbatim in the language of the interview. The assistant had signed a confidentiality agreement and received only the recordings assigned for transcription, through an encrypted university file-sharing service. Local copies were deleted once each transcript had been checked. The interviewer checked every transcript against its recording.</w:t>
      </w:r>
    </w:p>
    <w:p>
      <w:pPr>
        <w:pStyle w:val="BodyText"/>
      </w:pPr>
      <w:r>
        <w:rPr>
          <w:bCs/>
          <w:b/>
        </w:rPr>
        <w:t xml:space="preserve">De-identification.</w:t>
      </w:r>
      <w:r>
        <w:t xml:space="preserve"> </w:t>
      </w:r>
      <w:r>
        <w:t xml:space="preserve">Identifying details were removed during transcription. Participants were given codes (W01–W18, N01–N12 and P01–P07), and hospital was recorded only in a restricted linkage file. Quotations are not attributed to hospital, so that individuals in small professional groups cannot be identified.</w:t>
      </w:r>
    </w:p>
    <w:p>
      <w:pPr>
        <w:pStyle w:val="BodyText"/>
      </w:pPr>
      <w:r>
        <w:rPr>
          <w:bCs/>
          <w:b/>
        </w:rPr>
        <w:t xml:space="preserve">Languages.</w:t>
      </w:r>
      <w:r>
        <w:t xml:space="preserve"> </w:t>
      </w:r>
      <w:r>
        <w:t xml:space="preserve">Twenty-seven interviews were conducted in Arabic (18 women, 4 nurses and 5 physiotherapists) and ten in English (8 nurses and 2 physiotherapists). Arabic transcripts were analysed in Arabic to stay close to participants' meanings (van Nes et al., 2010). Memos and team discussions were written in English, recording the original Arabic terms where meaning depended on them.</w:t>
      </w:r>
    </w:p>
    <w:p>
      <w:pPr>
        <w:pStyle w:val="BodyText"/>
      </w:pPr>
      <w:r>
        <w:rPr>
          <w:bCs/>
          <w:b/>
        </w:rPr>
        <w:t xml:space="preserve">Translation.</w:t>
      </w:r>
      <w:r>
        <w:t xml:space="preserve"> </w:t>
      </w:r>
      <w:r>
        <w:t xml:space="preserve">Only quotations selected for publication were translated (Squires, 2009). NR translated each quotation for meaning; PR independently compared it with the original, and differences were resolved by discussion. Culturally specific expressions were explained where necessary.</w:t>
      </w:r>
    </w:p>
    <w:p>
      <w:pPr>
        <w:pStyle w:val="BodyText"/>
      </w:pPr>
      <w:r>
        <w:rPr>
          <w:bCs/>
          <w:b/>
        </w:rPr>
        <w:t xml:space="preserve">Storage and retention.</w:t>
      </w:r>
      <w:r>
        <w:t xml:space="preserve"> </w:t>
      </w:r>
      <w:r>
        <w:t xml:space="preserve">Identifiable data were stored on an encrypted, password-protected university server, with consent forms and the linkage file kept separately. Access was limited to NR and PR, and to the research assistant for assigned recordings only. Material shared outside the team, for external review or with the advisory group, was de-identified. Audio files will be destroyed after publication. De-identified data will be retained for five years in line with institutional policy.</w:t>
      </w:r>
    </w:p>
    <w:bookmarkEnd w:id="31"/>
    <w:bookmarkStart w:id="32" w:name="X669525aee500bb7e9c9082c6a9579fe888caf00"/>
    <w:p>
      <w:pPr>
        <w:pStyle w:val="Heading2"/>
      </w:pPr>
      <w:r>
        <w:t xml:space="preserve">2.6 Data analysis</w:t>
      </w:r>
    </w:p>
    <w:p>
      <w:pPr>
        <w:pStyle w:val="FirstParagraph"/>
      </w:pPr>
      <w:r>
        <w:rPr>
          <w:bCs/>
          <w:b/>
        </w:rPr>
        <w:t xml:space="preserve">Approach.</w:t>
      </w:r>
      <w:r>
        <w:t xml:space="preserve"> </w:t>
      </w:r>
      <w:r>
        <w:t xml:space="preserve">Analysis followed the iterative logic of Interpretive Description (Thorne, 2025) and proceeded alongside data collection, so that early interpretations informed later sampling and prompts. The aim was to interpret the reasoning and circumstances surrounding decisions, rather than to list barriers or experiences.</w:t>
      </w:r>
    </w:p>
    <w:p>
      <w:pPr>
        <w:pStyle w:val="BodyText"/>
      </w:pPr>
      <w:r>
        <w:rPr>
          <w:bCs/>
          <w:b/>
        </w:rPr>
        <w:t xml:space="preserve">Coding.</w:t>
      </w:r>
      <w:r>
        <w:t xml:space="preserve"> </w:t>
      </w:r>
      <w:r>
        <w:t xml:space="preserve">Each transcript was first read as a whole with its field notes. Inductive codes were kept close to participants' language and grouped only when relationships between them became apparent. Analytic memos recorded developing ideas and questions.</w:t>
      </w:r>
    </w:p>
    <w:p>
      <w:pPr>
        <w:pStyle w:val="BodyText"/>
      </w:pPr>
      <w:r>
        <w:rPr>
          <w:bCs/>
          <w:b/>
        </w:rPr>
        <w:t xml:space="preserve">Defining an episode.</w:t>
      </w:r>
      <w:r>
        <w:t xml:space="preserve"> </w:t>
      </w:r>
      <w:r>
        <w:t xml:space="preserve">An episode was one proposed activity at one point in time, followed from proposal to outcome (attempting, assisting, adapting, pausing or deferring). Three rules applied:</w:t>
      </w:r>
    </w:p>
    <w:p>
      <w:pPr>
        <w:numPr>
          <w:ilvl w:val="0"/>
          <w:numId w:val="1013"/>
        </w:numPr>
        <w:pStyle w:val="Compact"/>
      </w:pPr>
      <w:r>
        <w:rPr>
          <w:bCs/>
          <w:b/>
        </w:rPr>
        <w:t xml:space="preserve">Sequences.</w:t>
      </w:r>
      <w:r>
        <w:t xml:space="preserve"> </w:t>
      </w:r>
      <w:r>
        <w:t xml:space="preserve">A continuous sequence, such as sitting then standing then walking, was split into separate episodes only when a separate appraisal or decision was reported for a step.</w:t>
      </w:r>
    </w:p>
    <w:p>
      <w:pPr>
        <w:numPr>
          <w:ilvl w:val="0"/>
          <w:numId w:val="1013"/>
        </w:numPr>
        <w:pStyle w:val="Compact"/>
      </w:pPr>
      <w:r>
        <w:rPr>
          <w:bCs/>
          <w:b/>
        </w:rPr>
        <w:t xml:space="preserve">Repeated descriptions.</w:t>
      </w:r>
      <w:r>
        <w:t xml:space="preserve"> </w:t>
      </w:r>
      <w:r>
        <w:t xml:space="preserve">Repeated descriptions of the same episode were merged.</w:t>
      </w:r>
    </w:p>
    <w:p>
      <w:pPr>
        <w:numPr>
          <w:ilvl w:val="0"/>
          <w:numId w:val="1013"/>
        </w:numPr>
        <w:pStyle w:val="Compact"/>
      </w:pPr>
      <w:r>
        <w:rPr>
          <w:bCs/>
          <w:b/>
        </w:rPr>
        <w:t xml:space="preserve">General accounts.</w:t>
      </w:r>
      <w:r>
        <w:t xml:space="preserve"> </w:t>
      </w:r>
      <w:r>
        <w:t xml:space="preserve">Professionals' general descriptions of usual practice were coded as accounts of practice, not as episodes.</w:t>
      </w:r>
    </w:p>
    <w:p>
      <w:pPr>
        <w:pStyle w:val="FirstParagraph"/>
      </w:pPr>
      <w:r>
        <w:rPr>
          <w:bCs/>
          <w:b/>
        </w:rPr>
        <w:t xml:space="preserve">Episode matrix.</w:t>
      </w:r>
      <w:r>
        <w:t xml:space="preserve"> </w:t>
      </w:r>
      <w:r>
        <w:t xml:space="preserve">The matrix recorded, for each episode:</w:t>
      </w:r>
    </w:p>
    <w:p>
      <w:pPr>
        <w:numPr>
          <w:ilvl w:val="0"/>
          <w:numId w:val="1014"/>
        </w:numPr>
        <w:pStyle w:val="Compact"/>
      </w:pPr>
      <w:r>
        <w:t xml:space="preserve">the activity;</w:t>
      </w:r>
    </w:p>
    <w:p>
      <w:pPr>
        <w:numPr>
          <w:ilvl w:val="0"/>
          <w:numId w:val="1014"/>
        </w:numPr>
        <w:pStyle w:val="Compact"/>
      </w:pPr>
      <w:r>
        <w:t xml:space="preserve">the recovery stage;</w:t>
      </w:r>
    </w:p>
    <w:p>
      <w:pPr>
        <w:numPr>
          <w:ilvl w:val="0"/>
          <w:numId w:val="1014"/>
        </w:numPr>
        <w:pStyle w:val="Compact"/>
      </w:pPr>
      <w:r>
        <w:t xml:space="preserve">each appraisal and who made it;</w:t>
      </w:r>
    </w:p>
    <w:p>
      <w:pPr>
        <w:numPr>
          <w:ilvl w:val="0"/>
          <w:numId w:val="1014"/>
        </w:numPr>
        <w:pStyle w:val="Compact"/>
      </w:pPr>
      <w:r>
        <w:t xml:space="preserve">the information and concerns behind each appraisal;</w:t>
      </w:r>
    </w:p>
    <w:p>
      <w:pPr>
        <w:numPr>
          <w:ilvl w:val="0"/>
          <w:numId w:val="1014"/>
        </w:numPr>
        <w:pStyle w:val="Compact"/>
      </w:pPr>
      <w:r>
        <w:t xml:space="preserve">the action taken;</w:t>
      </w:r>
    </w:p>
    <w:p>
      <w:pPr>
        <w:numPr>
          <w:ilvl w:val="0"/>
          <w:numId w:val="1014"/>
        </w:numPr>
        <w:pStyle w:val="Compact"/>
      </w:pPr>
      <w:r>
        <w:t xml:space="preserve">the reasons given;</w:t>
      </w:r>
    </w:p>
    <w:p>
      <w:pPr>
        <w:numPr>
          <w:ilvl w:val="0"/>
          <w:numId w:val="1014"/>
        </w:numPr>
        <w:pStyle w:val="Compact"/>
      </w:pPr>
      <w:r>
        <w:t xml:space="preserve">any reconsideration and what prompted it.</w:t>
      </w:r>
    </w:p>
    <w:p>
      <w:pPr>
        <w:pStyle w:val="FirstParagraph"/>
      </w:pPr>
      <w:r>
        <w:t xml:space="preserve">Separating these fields kept what was judged distinct from what was done, and showed where similar appraisals led to different actions. The matrix contained 164 episodes from the 37 participants: 71 from women, 63 from nurses and 30 from physiotherapists. Episodes are nested within accounts and are not independent observations. Each row was linked to its participant and read in the context of the whole account. Counts describe the scope of the data and were not used for frequency claims. Supplementary File S4 traces one anonymised account extract to its episode summary and interpretation.</w:t>
      </w:r>
    </w:p>
    <w:p>
      <w:pPr>
        <w:pStyle w:val="BodyText"/>
      </w:pPr>
      <w:r>
        <w:rPr>
          <w:bCs/>
          <w:b/>
        </w:rPr>
        <w:t xml:space="preserve">Comparisons.</w:t>
      </w:r>
      <w:r>
        <w:t xml:space="preserve"> </w:t>
      </w:r>
      <w:r>
        <w:t xml:space="preserve">Comparison operated within accounts (across successive activities), within groups (for example by hospital or clinical course) and across groups. Because accounts were independent, comparisons across groups were read as patterns of reasoning, not as competing versions of shared events. Where supported by the data, comparisons also considered activity, recovery stage and service context, for example episodes within and outside physiotherapy hours.</w:t>
      </w:r>
    </w:p>
    <w:p>
      <w:pPr>
        <w:pStyle w:val="BodyText"/>
      </w:pPr>
      <w:r>
        <w:rPr>
          <w:bCs/>
          <w:b/>
        </w:rPr>
        <w:t xml:space="preserve">Testing interpretations.</w:t>
      </w:r>
      <w:r>
        <w:t xml:space="preserve"> </w:t>
      </w:r>
      <w:r>
        <w:t xml:space="preserve">Interpretations were tested against the whole data set, actively seeking:</w:t>
      </w:r>
    </w:p>
    <w:p>
      <w:pPr>
        <w:numPr>
          <w:ilvl w:val="0"/>
          <w:numId w:val="1015"/>
        </w:numPr>
        <w:pStyle w:val="Compact"/>
      </w:pPr>
      <w:r>
        <w:t xml:space="preserve">episodes of agreement, routine episodes and accounts that did not fit;</w:t>
      </w:r>
    </w:p>
    <w:p>
      <w:pPr>
        <w:numPr>
          <w:ilvl w:val="0"/>
          <w:numId w:val="1015"/>
        </w:numPr>
        <w:pStyle w:val="Compact"/>
      </w:pPr>
      <w:r>
        <w:t xml:space="preserve">alternative explanations, such as staffing pressures or family preferences;</w:t>
      </w:r>
    </w:p>
    <w:p>
      <w:pPr>
        <w:numPr>
          <w:ilvl w:val="0"/>
          <w:numId w:val="1015"/>
        </w:numPr>
        <w:pStyle w:val="Compact"/>
      </w:pPr>
      <w:r>
        <w:t xml:space="preserve">evidence on whether the distinctions in Figure 1 held in participants' accounts.</w:t>
      </w:r>
    </w:p>
    <w:p>
      <w:pPr>
        <w:pStyle w:val="FirstParagraph"/>
      </w:pPr>
      <w:r>
        <w:rPr>
          <w:bCs/>
          <w:b/>
        </w:rPr>
        <w:t xml:space="preserve">Analysts and software.</w:t>
      </w:r>
      <w:r>
        <w:t xml:space="preserve"> </w:t>
      </w:r>
      <w:r>
        <w:t xml:space="preserve">NR and PR both coded all transcripts. Differences in coding were discussed to broaden interpretation, and inter-coder agreement was not calculated. Data were managed in NVivo 14 (Lumivero). The team held 11 analytic meetings.</w:t>
      </w:r>
    </w:p>
    <w:bookmarkEnd w:id="32"/>
    <w:bookmarkStart w:id="35" w:name="Xb6040c0b1ddf50abb7140b1b1f25add6314b020"/>
    <w:p>
      <w:pPr>
        <w:pStyle w:val="Heading2"/>
      </w:pPr>
      <w:r>
        <w:t xml:space="preserve">2.7 Researcher reflexivity and methodological rigour</w:t>
      </w:r>
    </w:p>
    <w:bookmarkStart w:id="33" w:name="researcher-reflexivity"/>
    <w:p>
      <w:pPr>
        <w:pStyle w:val="Heading3"/>
      </w:pPr>
      <w:r>
        <w:t xml:space="preserve">Researcher reflexivity</w:t>
      </w:r>
    </w:p>
    <w:p>
      <w:pPr>
        <w:pStyle w:val="FirstParagraph"/>
      </w:pPr>
      <w:r>
        <w:t xml:space="preserve">NR is a nurse and university faculty member in maternal and child health nursing, with a doctorate in nursing, eight years of maternity clinical experience and previous Interpretive Description research. PR is a physiotherapist and university faculty member with a doctorate in rehabilitation sciences, clinical experience in musculoskeletal and women's health rehabilitation, and postgraduate training in qualitative methods. Both are Arabic-speaking Saudi women fluent in English.</w:t>
      </w:r>
    </w:p>
    <w:p>
      <w:pPr>
        <w:pStyle w:val="BodyText"/>
      </w:pPr>
      <w:r>
        <w:t xml:space="preserve">Neither researcher held a clinical, supervisory or managerial role at the participating hospitals. Interviews were allocated so that no professional was interviewed by a former teacher. Participants knew the researchers' professions and university affiliation, the study's purpose, and that the researchers were not evaluating individual practice.</w:t>
      </w:r>
    </w:p>
    <w:p>
      <w:pPr>
        <w:pStyle w:val="BodyText"/>
      </w:pPr>
      <w:r>
        <w:t xml:space="preserve">Before data collection, each researcher recorded her assumptions. NR anticipated that early mobilisation was generally beneficial and that women's reluctance often reflected fear that information could address. PR anticipated that physiotherapy was under-used and that nursing workload constrained progression. These statements and reflexive journals (Olmos-Vega et al., 2023) were revisited in analytic meetings.</w:t>
      </w:r>
    </w:p>
    <w:p>
      <w:pPr>
        <w:pStyle w:val="BodyText"/>
      </w:pPr>
      <w:r>
        <w:t xml:space="preserve">Reflexive discussion changed the analysis in two ways:</w:t>
      </w:r>
    </w:p>
    <w:p>
      <w:pPr>
        <w:numPr>
          <w:ilvl w:val="0"/>
          <w:numId w:val="1016"/>
        </w:numPr>
        <w:pStyle w:val="Compact"/>
      </w:pPr>
      <w:r>
        <w:t xml:space="preserve">Several women described reluctance as a reasoned judgement about dizziness or bleeding, which led the team to stop using "fear" as an umbrella code.</w:t>
      </w:r>
    </w:p>
    <w:p>
      <w:pPr>
        <w:numPr>
          <w:ilvl w:val="0"/>
          <w:numId w:val="1016"/>
        </w:numPr>
        <w:pStyle w:val="Compact"/>
      </w:pPr>
      <w:r>
        <w:t xml:space="preserve">Accounts of nurses seeking physiotherapy advice informally qualified the assumption that physiotherapy was under-used.</w:t>
      </w:r>
    </w:p>
    <w:bookmarkEnd w:id="33"/>
    <w:bookmarkStart w:id="34" w:name="methodological-rigour"/>
    <w:p>
      <w:pPr>
        <w:pStyle w:val="Heading3"/>
      </w:pPr>
      <w:r>
        <w:t xml:space="preserve">Methodological rigour</w:t>
      </w:r>
    </w:p>
    <w:p>
      <w:pPr>
        <w:pStyle w:val="FirstParagraph"/>
      </w:pPr>
      <w:r>
        <w:t xml:space="preserve">Rigour was guided by Thorne's (2025) criteria:</w:t>
      </w:r>
    </w:p>
    <w:p>
      <w:pPr>
        <w:numPr>
          <w:ilvl w:val="0"/>
          <w:numId w:val="1017"/>
        </w:numPr>
        <w:pStyle w:val="Compact"/>
      </w:pPr>
      <w:r>
        <w:rPr>
          <w:bCs/>
          <w:b/>
        </w:rPr>
        <w:t xml:space="preserve">Epistemological integrity:</w:t>
      </w:r>
      <w:r>
        <w:t xml:space="preserve"> </w:t>
      </w:r>
      <w:r>
        <w:t xml:space="preserve">the research question, interview approach, analysis and claims were kept consistent.</w:t>
      </w:r>
    </w:p>
    <w:p>
      <w:pPr>
        <w:numPr>
          <w:ilvl w:val="0"/>
          <w:numId w:val="1017"/>
        </w:numPr>
        <w:pStyle w:val="Compact"/>
      </w:pPr>
      <w:r>
        <w:rPr>
          <w:bCs/>
          <w:b/>
        </w:rPr>
        <w:t xml:space="preserve">Representative credibility:</w:t>
      </w:r>
      <w:r>
        <w:t xml:space="preserve"> </w:t>
      </w:r>
      <w:r>
        <w:t xml:space="preserve">variation was sought across sites, groups and clinical courses.</w:t>
      </w:r>
    </w:p>
    <w:p>
      <w:pPr>
        <w:numPr>
          <w:ilvl w:val="0"/>
          <w:numId w:val="1017"/>
        </w:numPr>
        <w:pStyle w:val="Compact"/>
      </w:pPr>
      <w:r>
        <w:rPr>
          <w:bCs/>
          <w:b/>
        </w:rPr>
        <w:t xml:space="preserve">Analytic logic:</w:t>
      </w:r>
      <w:r>
        <w:t xml:space="preserve"> </w:t>
      </w:r>
      <w:r>
        <w:t xml:space="preserve">an audit trail recorded dated guide versions, field notes, memos, the episode matrix, meeting notes and successive versions of the interpretations.</w:t>
      </w:r>
    </w:p>
    <w:p>
      <w:pPr>
        <w:numPr>
          <w:ilvl w:val="0"/>
          <w:numId w:val="1017"/>
        </w:numPr>
        <w:pStyle w:val="Compact"/>
      </w:pPr>
      <w:r>
        <w:rPr>
          <w:bCs/>
          <w:b/>
        </w:rPr>
        <w:t xml:space="preserve">Interpretive authority:</w:t>
      </w:r>
      <w:r>
        <w:t xml:space="preserve"> </w:t>
      </w:r>
      <w:r>
        <w:t xml:space="preserve">competing explanations were considered and recorded.</w:t>
      </w:r>
    </w:p>
    <w:p>
      <w:pPr>
        <w:pStyle w:val="FirstParagraph"/>
      </w:pPr>
      <w:r>
        <w:rPr>
          <w:bCs/>
          <w:b/>
        </w:rPr>
        <w:t xml:space="preserve">Transferability.</w:t>
      </w:r>
      <w:r>
        <w:t xml:space="preserve"> </w:t>
      </w:r>
      <w:r>
        <w:t xml:space="preserve">Readers can judge transferability from the setting description (Section 2.2 and Supplementary Table S3) and the participant characteristics (Table 3). Quotations were chosen to show typical and contrasting accounts.</w:t>
      </w:r>
    </w:p>
    <w:p>
      <w:pPr>
        <w:pStyle w:val="BodyText"/>
      </w:pPr>
      <w:r>
        <w:rPr>
          <w:bCs/>
          <w:b/>
        </w:rPr>
        <w:t xml:space="preserve">External review.</w:t>
      </w:r>
      <w:r>
        <w:t xml:space="preserve"> </w:t>
      </w:r>
      <w:r>
        <w:t xml:space="preserve">A qualitative nurse researcher outside the study reviewed de-identified transcript extracts, the episode matrix and preliminary interpretations. Her questions led the team to distinguish more clearly between who made a readiness appraisal and whose appraisal determined the action.</w:t>
      </w:r>
    </w:p>
    <w:p>
      <w:pPr>
        <w:pStyle w:val="BodyText"/>
      </w:pPr>
      <w:r>
        <w:rPr>
          <w:bCs/>
          <w:b/>
        </w:rPr>
        <w:t xml:space="preserve">Member checking.</w:t>
      </w:r>
      <w:r>
        <w:t xml:space="preserve"> </w:t>
      </w:r>
      <w:r>
        <w:t xml:space="preserve">Participants were not asked to validate findings, because the interpretations synthesise many accounts (Thorne, 2025).</w:t>
      </w:r>
    </w:p>
    <w:bookmarkEnd w:id="34"/>
    <w:bookmarkEnd w:id="35"/>
    <w:bookmarkStart w:id="36" w:name="X3573d9c3c5065fe05b9941060e79065f019e6a7"/>
    <w:p>
      <w:pPr>
        <w:pStyle w:val="Heading2"/>
      </w:pPr>
      <w:r>
        <w:t xml:space="preserve">2.8 Ethical considerations</w:t>
      </w:r>
    </w:p>
    <w:p>
      <w:pPr>
        <w:pStyle w:val="FirstParagraph"/>
      </w:pPr>
      <w:r>
        <w:rPr>
          <w:bCs/>
          <w:b/>
        </w:rPr>
        <w:t xml:space="preserve">Approvals.</w:t>
      </w:r>
      <w:r>
        <w:t xml:space="preserve"> </w:t>
      </w:r>
      <w:r>
        <w:t xml:space="preserve">The study was approved by the Regional Health Research Ethics Committee (fictional; approval SIM-2026-014; 2 February 2026) for Hospitals A and B. Hospital C, outside the cluster, granted separate ethics approval through its own Research Ethics Committee (fictional; approval SIM-C-2026-03; 20 February 2026). Recruitment at Hospital C began only after this approval. Hospital C's administrative permission was additional to, not a substitute for, ethical review.</w:t>
      </w:r>
    </w:p>
    <w:p>
      <w:pPr>
        <w:pStyle w:val="BodyText"/>
      </w:pPr>
      <w:r>
        <w:rPr>
          <w:bCs/>
          <w:b/>
        </w:rPr>
        <w:t xml:space="preserve">Consent.</w:t>
      </w:r>
      <w:r>
        <w:t xml:space="preserve"> </w:t>
      </w:r>
      <w:r>
        <w:t xml:space="preserve">Written informed consent covered:</w:t>
      </w:r>
    </w:p>
    <w:p>
      <w:pPr>
        <w:numPr>
          <w:ilvl w:val="0"/>
          <w:numId w:val="1018"/>
        </w:numPr>
        <w:pStyle w:val="Compact"/>
      </w:pPr>
      <w:r>
        <w:t xml:space="preserve">participation;</w:t>
      </w:r>
    </w:p>
    <w:p>
      <w:pPr>
        <w:numPr>
          <w:ilvl w:val="0"/>
          <w:numId w:val="1018"/>
        </w:numPr>
        <w:pStyle w:val="Compact"/>
      </w:pPr>
      <w:r>
        <w:t xml:space="preserve">audio recording;</w:t>
      </w:r>
    </w:p>
    <w:p>
      <w:pPr>
        <w:numPr>
          <w:ilvl w:val="0"/>
          <w:numId w:val="1018"/>
        </w:numPr>
        <w:pStyle w:val="Compact"/>
      </w:pPr>
      <w:r>
        <w:t xml:space="preserve">use of de-identified quotations;</w:t>
      </w:r>
    </w:p>
    <w:p>
      <w:pPr>
        <w:numPr>
          <w:ilvl w:val="0"/>
          <w:numId w:val="1018"/>
        </w:numPr>
        <w:pStyle w:val="Compact"/>
      </w:pPr>
      <w:r>
        <w:t xml:space="preserve">for women, access to specified medical record items.</w:t>
      </w:r>
    </w:p>
    <w:p>
      <w:pPr>
        <w:pStyle w:val="FirstParagraph"/>
      </w:pPr>
      <w:r>
        <w:t xml:space="preserve">For remote interviews, written consent was obtained beforehand and confirmed verbally at the start of the recording.</w:t>
      </w:r>
    </w:p>
    <w:p>
      <w:pPr>
        <w:pStyle w:val="BodyText"/>
      </w:pPr>
      <w:r>
        <w:rPr>
          <w:bCs/>
          <w:b/>
        </w:rPr>
        <w:t xml:space="preserve">Withdrawal.</w:t>
      </w:r>
      <w:r>
        <w:t xml:space="preserve"> </w:t>
      </w:r>
      <w:r>
        <w:t xml:space="preserve">Participants could decline any question, stop at any time, and withdraw their data for up to 30 days after their interview, after which the data had been integrated into analysis. This limit was explained before consent.</w:t>
      </w:r>
    </w:p>
    <w:p>
      <w:pPr>
        <w:pStyle w:val="BodyText"/>
      </w:pPr>
      <w:r>
        <w:rPr>
          <w:bCs/>
          <w:b/>
        </w:rPr>
        <w:t xml:space="preserve">Protection of care and employment.</w:t>
      </w:r>
      <w:r>
        <w:t xml:space="preserve"> </w:t>
      </w:r>
      <w:r>
        <w:t xml:space="preserve">Declining or withdrawing did not affect care or employment. The researchers did not report participation or individual accounts to managers or care teams.</w:t>
      </w:r>
    </w:p>
    <w:p>
      <w:pPr>
        <w:pStyle w:val="BodyText"/>
      </w:pPr>
      <w:r>
        <w:rPr>
          <w:bCs/>
          <w:b/>
        </w:rPr>
        <w:t xml:space="preserve">Distress.</w:t>
      </w:r>
      <w:r>
        <w:t xml:space="preserve"> </w:t>
      </w:r>
      <w:r>
        <w:t xml:space="preserve">Interviewers watched for pain, fatigue or distress and offered breaks. The distress protocol set out four steps:</w:t>
      </w:r>
    </w:p>
    <w:p>
      <w:pPr>
        <w:numPr>
          <w:ilvl w:val="0"/>
          <w:numId w:val="1019"/>
        </w:numPr>
        <w:pStyle w:val="Compact"/>
      </w:pPr>
      <w:r>
        <w:t xml:space="preserve">Pause and check on the participant.</w:t>
      </w:r>
    </w:p>
    <w:p>
      <w:pPr>
        <w:numPr>
          <w:ilvl w:val="0"/>
          <w:numId w:val="1019"/>
        </w:numPr>
        <w:pStyle w:val="Compact"/>
      </w:pPr>
      <w:r>
        <w:t xml:space="preserve">Offer to stop.</w:t>
      </w:r>
    </w:p>
    <w:p>
      <w:pPr>
        <w:numPr>
          <w:ilvl w:val="0"/>
          <w:numId w:val="1019"/>
        </w:numPr>
        <w:pStyle w:val="Compact"/>
      </w:pPr>
      <w:r>
        <w:t xml:space="preserve">With the woman's agreement, inform her nurse of any clinical concern.</w:t>
      </w:r>
    </w:p>
    <w:p>
      <w:pPr>
        <w:numPr>
          <w:ilvl w:val="0"/>
          <w:numId w:val="1019"/>
        </w:numPr>
        <w:pStyle w:val="Compact"/>
      </w:pPr>
      <w:r>
        <w:t xml:space="preserve">Provide information about support services.</w:t>
      </w:r>
    </w:p>
    <w:p>
      <w:pPr>
        <w:pStyle w:val="FirstParagraph"/>
      </w:pPr>
      <w:r>
        <w:t xml:space="preserve">The protocol was used twice. Two women became tearful when describing the emergency birth; both chose to continue after a pause, and one accepted information about support services.</w:t>
      </w:r>
    </w:p>
    <w:p>
      <w:pPr>
        <w:pStyle w:val="BodyText"/>
      </w:pPr>
      <w:r>
        <w:rPr>
          <w:bCs/>
          <w:b/>
        </w:rPr>
        <w:t xml:space="preserve">Privacy.</w:t>
      </w:r>
      <w:r>
        <w:t xml:space="preserve"> </w:t>
      </w:r>
      <w:r>
        <w:t xml:space="preserve">Privacy arrangements for bedside interviews, remote interviews and companions are described in Section 2.4. Professionals' accounts were protected by removing identifying details from quotations, not attributing quotations to hospital, and reporting characteristics only in aggregate.</w:t>
      </w:r>
    </w:p>
    <w:bookmarkEnd w:id="36"/>
    <w:bookmarkStart w:id="37" w:name="Xdedbbde76da0c89929e7e69020aa16bd4c1f613"/>
    <w:p>
      <w:pPr>
        <w:pStyle w:val="Heading2"/>
      </w:pPr>
      <w:r>
        <w:t xml:space="preserve">2.9 Patient and public involvement</w:t>
      </w:r>
    </w:p>
    <w:p>
      <w:pPr>
        <w:pStyle w:val="FirstParagraph"/>
      </w:pPr>
      <w:r>
        <w:t xml:space="preserve">Involvement is reported with reference to the GRIPP2 short form (Staniszewska et al., 2017). Four women with previous experience of emergency caesarean birth, who were not study participants, formed an advisory group. They were recruited through a university-affiliated community maternal health programme and reimbursed for their time and travel.</w:t>
      </w:r>
    </w:p>
    <w:p>
      <w:pPr>
        <w:pStyle w:val="BodyText"/>
      </w:pPr>
      <w:r>
        <w:rPr>
          <w:bCs/>
          <w:b/>
        </w:rPr>
        <w:t xml:space="preserve">Design stage.</w:t>
      </w:r>
      <w:r>
        <w:t xml:space="preserve"> </w:t>
      </w:r>
      <w:r>
        <w:t xml:space="preserve">The group reviewed the research question, the information materials and the women's interview guide. This led to:</w:t>
      </w:r>
    </w:p>
    <w:p>
      <w:pPr>
        <w:numPr>
          <w:ilvl w:val="0"/>
          <w:numId w:val="1020"/>
        </w:numPr>
        <w:pStyle w:val="Compact"/>
      </w:pPr>
      <w:r>
        <w:t xml:space="preserve">everyday Arabic terms for movement;</w:t>
      </w:r>
    </w:p>
    <w:p>
      <w:pPr>
        <w:numPr>
          <w:ilvl w:val="0"/>
          <w:numId w:val="1020"/>
        </w:numPr>
        <w:pStyle w:val="Compact"/>
      </w:pPr>
      <w:r>
        <w:t xml:space="preserve">a prompt about how newborn care and feeding affected decisions to move;</w:t>
      </w:r>
    </w:p>
    <w:p>
      <w:pPr>
        <w:numPr>
          <w:ilvl w:val="0"/>
          <w:numId w:val="1020"/>
        </w:numPr>
        <w:pStyle w:val="Compact"/>
      </w:pPr>
      <w:r>
        <w:t xml:space="preserve">flexible interview timing and the option of a remote interview after discharge.</w:t>
      </w:r>
    </w:p>
    <w:p>
      <w:pPr>
        <w:pStyle w:val="FirstParagraph"/>
      </w:pPr>
      <w:r>
        <w:rPr>
          <w:bCs/>
          <w:b/>
        </w:rPr>
        <w:t xml:space="preserve">Analysis stage.</w:t>
      </w:r>
      <w:r>
        <w:t xml:space="preserve"> </w:t>
      </w:r>
      <w:r>
        <w:t xml:space="preserve">The group discussed anonymised summaries of preliminary interpretations; they did not see transcripts. They highlighted the influence of female relatives on movement, which prompted closer attention to companions' contextual influence.</w:t>
      </w:r>
    </w:p>
    <w:p>
      <w:pPr>
        <w:pStyle w:val="BodyText"/>
      </w:pPr>
      <w:r>
        <w:rPr>
          <w:bCs/>
          <w:b/>
        </w:rPr>
        <w:t xml:space="preserve">Dissemination.</w:t>
      </w:r>
      <w:r>
        <w:t xml:space="preserve"> </w:t>
      </w:r>
      <w:r>
        <w:t xml:space="preserve">The group is helping to prepare a plain-language Arabic summary of the findings.</w:t>
      </w:r>
    </w:p>
    <w:p>
      <w:pPr>
        <w:pStyle w:val="BodyText"/>
      </w:pPr>
      <w:r>
        <w:t xml:space="preserve">Advisers did not conduct interviews or code data.</w:t>
      </w:r>
    </w:p>
    <w:bookmarkEnd w:id="37"/>
    <w:bookmarkStart w:id="38" w:name="supplementary-materials"/>
    <w:p>
      <w:pPr>
        <w:pStyle w:val="Heading2"/>
      </w:pPr>
      <w:r>
        <w:t xml:space="preserve">Supplementary materials</w:t>
      </w:r>
    </w:p>
    <w:p>
      <w:pPr>
        <w:numPr>
          <w:ilvl w:val="0"/>
          <w:numId w:val="1021"/>
        </w:numPr>
        <w:pStyle w:val="Compact"/>
      </w:pPr>
      <w:r>
        <w:rPr>
          <w:bCs/>
          <w:b/>
        </w:rPr>
        <w:t xml:space="preserve">S1.</w:t>
      </w:r>
      <w:r>
        <w:t xml:space="preserve"> </w:t>
      </w:r>
      <w:r>
        <w:t xml:space="preserve">Group-specific interview guides, with changes made during data collection, and the contextual information form.</w:t>
      </w:r>
    </w:p>
    <w:p>
      <w:pPr>
        <w:numPr>
          <w:ilvl w:val="0"/>
          <w:numId w:val="1021"/>
        </w:numPr>
        <w:pStyle w:val="Compact"/>
      </w:pPr>
      <w:r>
        <w:rPr>
          <w:bCs/>
          <w:b/>
        </w:rPr>
        <w:t xml:space="preserve">S2.</w:t>
      </w:r>
      <w:r>
        <w:t xml:space="preserve"> </w:t>
      </w:r>
      <w:r>
        <w:t xml:space="preserve">Completed COREQ checklist with manuscript locations.</w:t>
      </w:r>
    </w:p>
    <w:p>
      <w:pPr>
        <w:numPr>
          <w:ilvl w:val="0"/>
          <w:numId w:val="1021"/>
        </w:numPr>
        <w:pStyle w:val="Compact"/>
      </w:pPr>
      <w:r>
        <w:rPr>
          <w:bCs/>
          <w:b/>
        </w:rPr>
        <w:t xml:space="preserve">S3.</w:t>
      </w:r>
      <w:r>
        <w:t xml:space="preserve"> </w:t>
      </w:r>
      <w:r>
        <w:t xml:space="preserve">Comparison of mobilisation and physiotherapy arrangements across sites (Supplementary Table S3, below).</w:t>
      </w:r>
    </w:p>
    <w:p>
      <w:pPr>
        <w:numPr>
          <w:ilvl w:val="0"/>
          <w:numId w:val="1021"/>
        </w:numPr>
        <w:pStyle w:val="Compact"/>
      </w:pPr>
      <w:r>
        <w:rPr>
          <w:bCs/>
          <w:b/>
        </w:rPr>
        <w:t xml:space="preserve">S4.</w:t>
      </w:r>
      <w:r>
        <w:t xml:space="preserve"> </w:t>
      </w:r>
      <w:r>
        <w:t xml:space="preserve">Anonymised analytic trace from an account extract to an episode summary and interpretation.</w:t>
      </w:r>
    </w:p>
    <w:p>
      <w:pPr>
        <w:pStyle w:val="FirstParagraph"/>
      </w:pPr>
      <w:r>
        <w:rPr>
          <w:bCs/>
          <w:b/>
        </w:rPr>
        <w:t xml:space="preserve">Supplementary Table S3. Mobilisation and physiotherapy arrangements across sites</w:t>
      </w:r>
    </w:p>
    <w:tbl>
      <w:tblPr>
        <w:tblStyle w:val="Table"/>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W w:w="9072" w:type="dxa"/>
        <w:tblLayout w:type="fixed"/>
      </w:tblPr>
      <w:tblGrid>
        <w:gridCol w:w="1927"/>
        <w:gridCol w:w="2381"/>
        <w:gridCol w:w="2381"/>
        <w:gridCol w:w="2381"/>
      </w:tblGrid>
      <w:tr>
        <w:trPr>
          <w:tblHeader w:val="true"/>
        </w:trPr>
        <w:tc>
          <w:tcPr>
            <w:tcW w:type="dxa" w:w="1928"/>
          </w:tcPr>
          <w:p>
            <w:pPr>
              <w:pStyle w:val="Compact"/>
              <w:spacing w:line="240" w:lineRule="auto" w:after="40"/>
              <w:jc w:val="left"/>
            </w:pPr>
            <w:r>
              <w:rPr>
                <w:b/>
                <w:sz w:val="20"/>
              </w:rPr>
              <w:t xml:space="preserve">Dimension</w:t>
            </w:r>
          </w:p>
        </w:tc>
        <w:tc>
          <w:tcPr>
            <w:tcW w:type="dxa" w:w="2381"/>
          </w:tcPr>
          <w:p>
            <w:pPr>
              <w:pStyle w:val="Compact"/>
              <w:spacing w:line="240" w:lineRule="auto" w:after="40"/>
              <w:jc w:val="left"/>
            </w:pPr>
            <w:r>
              <w:rPr>
                <w:b/>
                <w:sz w:val="20"/>
              </w:rPr>
              <w:t xml:space="preserve">Hospital A</w:t>
            </w:r>
          </w:p>
        </w:tc>
        <w:tc>
          <w:tcPr>
            <w:tcW w:type="dxa" w:w="2381"/>
          </w:tcPr>
          <w:p>
            <w:pPr>
              <w:pStyle w:val="Compact"/>
              <w:spacing w:line="240" w:lineRule="auto" w:after="40"/>
              <w:jc w:val="left"/>
            </w:pPr>
            <w:r>
              <w:rPr>
                <w:b/>
                <w:sz w:val="20"/>
              </w:rPr>
              <w:t xml:space="preserve">Hospital B</w:t>
            </w:r>
          </w:p>
        </w:tc>
        <w:tc>
          <w:tcPr>
            <w:tcW w:type="dxa" w:w="2381"/>
          </w:tcPr>
          <w:p>
            <w:pPr>
              <w:pStyle w:val="Compact"/>
              <w:spacing w:line="240" w:lineRule="auto" w:after="40"/>
              <w:jc w:val="left"/>
            </w:pPr>
            <w:r>
              <w:rPr>
                <w:b/>
                <w:sz w:val="20"/>
              </w:rPr>
              <w:t xml:space="preserve">Hospital C</w:t>
            </w:r>
          </w:p>
        </w:tc>
      </w:tr>
      <w:tr>
        <w:tc>
          <w:tcPr>
            <w:tcW w:type="dxa" w:w="1928"/>
          </w:tcPr>
          <w:p>
            <w:pPr>
              <w:pStyle w:val="Compact"/>
              <w:spacing w:line="240" w:lineRule="auto" w:after="40"/>
              <w:jc w:val="left"/>
            </w:pPr>
            <w:r>
              <w:rPr>
                <w:sz w:val="20"/>
              </w:rPr>
              <w:t xml:space="preserve">Sector and framework</w:t>
            </w:r>
          </w:p>
        </w:tc>
        <w:tc>
          <w:tcPr>
            <w:tcW w:type="dxa" w:w="2381"/>
          </w:tcPr>
          <w:p>
            <w:pPr>
              <w:pStyle w:val="Compact"/>
              <w:spacing w:line="240" w:lineRule="auto" w:after="40"/>
              <w:jc w:val="left"/>
            </w:pPr>
            <w:r>
              <w:rPr>
                <w:sz w:val="20"/>
              </w:rPr>
              <w:t xml:space="preserve">Government; cluster guideline with ward procedure</w:t>
            </w:r>
          </w:p>
        </w:tc>
        <w:tc>
          <w:tcPr>
            <w:tcW w:type="dxa" w:w="2381"/>
          </w:tcPr>
          <w:p>
            <w:pPr>
              <w:pStyle w:val="Compact"/>
              <w:spacing w:line="240" w:lineRule="auto" w:after="40"/>
              <w:jc w:val="left"/>
            </w:pPr>
            <w:r>
              <w:rPr>
                <w:sz w:val="20"/>
              </w:rPr>
              <w:t xml:space="preserve">Government; cluster guideline with ward procedure</w:t>
            </w:r>
          </w:p>
        </w:tc>
        <w:tc>
          <w:tcPr>
            <w:tcW w:type="dxa" w:w="2381"/>
          </w:tcPr>
          <w:p>
            <w:pPr>
              <w:pStyle w:val="Compact"/>
              <w:spacing w:line="240" w:lineRule="auto" w:after="40"/>
              <w:jc w:val="left"/>
            </w:pPr>
            <w:r>
              <w:rPr>
                <w:sz w:val="20"/>
              </w:rPr>
              <w:t xml:space="preserve">Private; hospital mobilisation policy</w:t>
            </w:r>
          </w:p>
        </w:tc>
      </w:tr>
      <w:tr>
        <w:tc>
          <w:tcPr>
            <w:tcW w:type="dxa" w:w="1928"/>
          </w:tcPr>
          <w:p>
            <w:pPr>
              <w:pStyle w:val="Compact"/>
              <w:spacing w:line="240" w:lineRule="auto" w:after="40"/>
              <w:jc w:val="left"/>
            </w:pPr>
            <w:r>
              <w:rPr>
                <w:sz w:val="20"/>
              </w:rPr>
              <w:t xml:space="preserve">Initial assessment and assistance</w:t>
            </w:r>
          </w:p>
        </w:tc>
        <w:tc>
          <w:tcPr>
            <w:tcW w:type="dxa" w:w="2381"/>
          </w:tcPr>
          <w:p>
            <w:pPr>
              <w:pStyle w:val="Compact"/>
              <w:spacing w:line="240" w:lineRule="auto" w:after="40"/>
              <w:jc w:val="left"/>
            </w:pPr>
            <w:r>
              <w:rPr>
                <w:sz w:val="20"/>
              </w:rPr>
              <w:t xml:space="preserve">Maternity nurse</w:t>
            </w:r>
          </w:p>
        </w:tc>
        <w:tc>
          <w:tcPr>
            <w:tcW w:type="dxa" w:w="2381"/>
          </w:tcPr>
          <w:p>
            <w:pPr>
              <w:pStyle w:val="Compact"/>
              <w:spacing w:line="240" w:lineRule="auto" w:after="40"/>
              <w:jc w:val="left"/>
            </w:pPr>
            <w:r>
              <w:rPr>
                <w:sz w:val="20"/>
              </w:rPr>
              <w:t xml:space="preserve">Maternity nurse</w:t>
            </w:r>
          </w:p>
        </w:tc>
        <w:tc>
          <w:tcPr>
            <w:tcW w:type="dxa" w:w="2381"/>
          </w:tcPr>
          <w:p>
            <w:pPr>
              <w:pStyle w:val="Compact"/>
              <w:spacing w:line="240" w:lineRule="auto" w:after="40"/>
              <w:jc w:val="left"/>
            </w:pPr>
            <w:r>
              <w:rPr>
                <w:sz w:val="20"/>
              </w:rPr>
              <w:t xml:space="preserve">Maternity nurse</w:t>
            </w:r>
          </w:p>
        </w:tc>
      </w:tr>
      <w:tr>
        <w:tc>
          <w:tcPr>
            <w:tcW w:type="dxa" w:w="1928"/>
          </w:tcPr>
          <w:p>
            <w:pPr>
              <w:pStyle w:val="Compact"/>
              <w:spacing w:line="240" w:lineRule="auto" w:after="40"/>
              <w:jc w:val="left"/>
            </w:pPr>
            <w:r>
              <w:rPr>
                <w:sz w:val="20"/>
              </w:rPr>
              <w:t xml:space="preserve">Referral criteria</w:t>
            </w:r>
          </w:p>
        </w:tc>
        <w:tc>
          <w:tcPr>
            <w:tcW w:type="dxa" w:w="2381"/>
          </w:tcPr>
          <w:p>
            <w:pPr>
              <w:pStyle w:val="Compact"/>
              <w:spacing w:line="240" w:lineRule="auto" w:after="40"/>
              <w:jc w:val="left"/>
            </w:pPr>
            <w:r>
              <w:rPr>
                <w:sz w:val="20"/>
              </w:rPr>
              <w:t xml:space="preserve">Needs beyond routine nursing assistance</w:t>
            </w:r>
          </w:p>
        </w:tc>
        <w:tc>
          <w:tcPr>
            <w:tcW w:type="dxa" w:w="2381"/>
          </w:tcPr>
          <w:p>
            <w:pPr>
              <w:pStyle w:val="Compact"/>
              <w:spacing w:line="240" w:lineRule="auto" w:after="40"/>
              <w:jc w:val="left"/>
            </w:pPr>
            <w:r>
              <w:rPr>
                <w:sz w:val="20"/>
              </w:rPr>
              <w:t xml:space="preserve">Needs beyond routine nursing assistance</w:t>
            </w:r>
          </w:p>
        </w:tc>
        <w:tc>
          <w:tcPr>
            <w:tcW w:type="dxa" w:w="2381"/>
          </w:tcPr>
          <w:p>
            <w:pPr>
              <w:pStyle w:val="Compact"/>
              <w:spacing w:line="240" w:lineRule="auto" w:after="40"/>
              <w:jc w:val="left"/>
            </w:pPr>
            <w:r>
              <w:rPr>
                <w:sz w:val="20"/>
              </w:rPr>
              <w:t xml:space="preserve">Needs beyond routine nursing assistance</w:t>
            </w:r>
          </w:p>
        </w:tc>
      </w:tr>
      <w:tr>
        <w:tc>
          <w:tcPr>
            <w:tcW w:type="dxa" w:w="1928"/>
          </w:tcPr>
          <w:p>
            <w:pPr>
              <w:pStyle w:val="Compact"/>
              <w:spacing w:line="240" w:lineRule="auto" w:after="40"/>
              <w:jc w:val="left"/>
            </w:pPr>
            <w:r>
              <w:rPr>
                <w:sz w:val="20"/>
              </w:rPr>
              <w:t xml:space="preserve">Referral initiator</w:t>
            </w:r>
          </w:p>
        </w:tc>
        <w:tc>
          <w:tcPr>
            <w:tcW w:type="dxa" w:w="2381"/>
          </w:tcPr>
          <w:p>
            <w:pPr>
              <w:pStyle w:val="Compact"/>
              <w:spacing w:line="240" w:lineRule="auto" w:after="40"/>
              <w:jc w:val="left"/>
            </w:pPr>
            <w:r>
              <w:rPr>
                <w:sz w:val="20"/>
              </w:rPr>
              <w:t xml:space="preserve">Obstetric team, after nurse report</w:t>
            </w:r>
          </w:p>
        </w:tc>
        <w:tc>
          <w:tcPr>
            <w:tcW w:type="dxa" w:w="2381"/>
          </w:tcPr>
          <w:p>
            <w:pPr>
              <w:pStyle w:val="Compact"/>
              <w:spacing w:line="240" w:lineRule="auto" w:after="40"/>
              <w:jc w:val="left"/>
            </w:pPr>
            <w:r>
              <w:rPr>
                <w:sz w:val="20"/>
              </w:rPr>
              <w:t xml:space="preserve">Obstetric team, after nurse report</w:t>
            </w:r>
          </w:p>
        </w:tc>
        <w:tc>
          <w:tcPr>
            <w:tcW w:type="dxa" w:w="2381"/>
          </w:tcPr>
          <w:p>
            <w:pPr>
              <w:pStyle w:val="Compact"/>
              <w:spacing w:line="240" w:lineRule="auto" w:after="40"/>
              <w:jc w:val="left"/>
            </w:pPr>
            <w:r>
              <w:rPr>
                <w:sz w:val="20"/>
              </w:rPr>
              <w:t xml:space="preserve">Obstetric team, after nurse report</w:t>
            </w:r>
          </w:p>
        </w:tc>
      </w:tr>
      <w:tr>
        <w:tc>
          <w:tcPr>
            <w:tcW w:type="dxa" w:w="1928"/>
          </w:tcPr>
          <w:p>
            <w:pPr>
              <w:pStyle w:val="Compact"/>
              <w:spacing w:line="240" w:lineRule="auto" w:after="40"/>
              <w:jc w:val="left"/>
            </w:pPr>
            <w:r>
              <w:rPr>
                <w:sz w:val="20"/>
              </w:rPr>
              <w:t xml:space="preserve">Physiotherapy availability</w:t>
            </w:r>
          </w:p>
        </w:tc>
        <w:tc>
          <w:tcPr>
            <w:tcW w:type="dxa" w:w="2381"/>
          </w:tcPr>
          <w:p>
            <w:pPr>
              <w:pStyle w:val="Compact"/>
              <w:spacing w:line="240" w:lineRule="auto" w:after="40"/>
              <w:jc w:val="left"/>
            </w:pPr>
            <w:r>
              <w:rPr>
                <w:sz w:val="20"/>
              </w:rPr>
              <w:t xml:space="preserve">Sun–Thu day shifts; next working day otherwise</w:t>
            </w:r>
          </w:p>
        </w:tc>
        <w:tc>
          <w:tcPr>
            <w:tcW w:type="dxa" w:w="2381"/>
          </w:tcPr>
          <w:p>
            <w:pPr>
              <w:pStyle w:val="Compact"/>
              <w:spacing w:line="240" w:lineRule="auto" w:after="40"/>
              <w:jc w:val="left"/>
            </w:pPr>
            <w:r>
              <w:rPr>
                <w:sz w:val="20"/>
              </w:rPr>
              <w:t xml:space="preserve">Sun–Thu day shifts; next working day otherwise</w:t>
            </w:r>
          </w:p>
        </w:tc>
        <w:tc>
          <w:tcPr>
            <w:tcW w:type="dxa" w:w="2381"/>
          </w:tcPr>
          <w:p>
            <w:pPr>
              <w:pStyle w:val="Compact"/>
              <w:spacing w:line="240" w:lineRule="auto" w:after="40"/>
              <w:jc w:val="left"/>
            </w:pPr>
            <w:r>
              <w:rPr>
                <w:sz w:val="20"/>
              </w:rPr>
              <w:t xml:space="preserve">Sat–Thu day shifts; telephone advice outside hours</w:t>
            </w:r>
          </w:p>
        </w:tc>
      </w:tr>
      <w:tr>
        <w:tc>
          <w:tcPr>
            <w:tcW w:type="dxa" w:w="1928"/>
          </w:tcPr>
          <w:p>
            <w:pPr>
              <w:pStyle w:val="Compact"/>
              <w:spacing w:line="240" w:lineRule="auto" w:after="40"/>
              <w:jc w:val="left"/>
            </w:pPr>
            <w:r>
              <w:rPr>
                <w:sz w:val="20"/>
              </w:rPr>
              <w:t xml:space="preserve">Return of recommendations</w:t>
            </w:r>
          </w:p>
        </w:tc>
        <w:tc>
          <w:tcPr>
            <w:tcW w:type="dxa" w:w="2381"/>
          </w:tcPr>
          <w:p>
            <w:pPr>
              <w:pStyle w:val="Compact"/>
              <w:spacing w:line="240" w:lineRule="auto" w:after="40"/>
              <w:jc w:val="left"/>
            </w:pPr>
            <w:r>
              <w:rPr>
                <w:sz w:val="20"/>
              </w:rPr>
              <w:t xml:space="preserve">Medical record and verbal handover</w:t>
            </w:r>
          </w:p>
        </w:tc>
        <w:tc>
          <w:tcPr>
            <w:tcW w:type="dxa" w:w="2381"/>
          </w:tcPr>
          <w:p>
            <w:pPr>
              <w:pStyle w:val="Compact"/>
              <w:spacing w:line="240" w:lineRule="auto" w:after="40"/>
              <w:jc w:val="left"/>
            </w:pPr>
            <w:r>
              <w:rPr>
                <w:sz w:val="20"/>
              </w:rPr>
              <w:t xml:space="preserve">Medical record and verbal handover</w:t>
            </w:r>
          </w:p>
        </w:tc>
        <w:tc>
          <w:tcPr>
            <w:tcW w:type="dxa" w:w="2381"/>
          </w:tcPr>
          <w:p>
            <w:pPr>
              <w:pStyle w:val="Compact"/>
              <w:spacing w:line="240" w:lineRule="auto" w:after="40"/>
              <w:jc w:val="left"/>
            </w:pPr>
            <w:r>
              <w:rPr>
                <w:sz w:val="20"/>
              </w:rPr>
              <w:t xml:space="preserve">Medical record and verbal handover</w:t>
            </w:r>
          </w:p>
        </w:tc>
      </w:tr>
      <w:tr>
        <w:tc>
          <w:tcPr>
            <w:tcW w:type="dxa" w:w="1928"/>
          </w:tcPr>
          <w:p>
            <w:pPr>
              <w:pStyle w:val="Compact"/>
              <w:spacing w:line="240" w:lineRule="auto" w:after="40"/>
              <w:jc w:val="left"/>
            </w:pPr>
            <w:r>
              <w:rPr>
                <w:sz w:val="20"/>
              </w:rPr>
              <w:t xml:space="preserve">Nursing reassessment</w:t>
            </w:r>
          </w:p>
        </w:tc>
        <w:tc>
          <w:tcPr>
            <w:tcW w:type="dxa" w:w="2381"/>
          </w:tcPr>
          <w:p>
            <w:pPr>
              <w:pStyle w:val="Compact"/>
              <w:spacing w:line="240" w:lineRule="auto" w:after="40"/>
              <w:jc w:val="left"/>
            </w:pPr>
            <w:r>
              <w:rPr>
                <w:sz w:val="20"/>
              </w:rPr>
              <w:t xml:space="preserve">Each shift and on new symptoms</w:t>
            </w:r>
          </w:p>
        </w:tc>
        <w:tc>
          <w:tcPr>
            <w:tcW w:type="dxa" w:w="2381"/>
          </w:tcPr>
          <w:p>
            <w:pPr>
              <w:pStyle w:val="Compact"/>
              <w:spacing w:line="240" w:lineRule="auto" w:after="40"/>
              <w:jc w:val="left"/>
            </w:pPr>
            <w:r>
              <w:rPr>
                <w:sz w:val="20"/>
              </w:rPr>
              <w:t xml:space="preserve">Each shift and on new symptoms</w:t>
            </w:r>
          </w:p>
        </w:tc>
        <w:tc>
          <w:tcPr>
            <w:tcW w:type="dxa" w:w="2381"/>
          </w:tcPr>
          <w:p>
            <w:pPr>
              <w:pStyle w:val="Compact"/>
              <w:spacing w:line="240" w:lineRule="auto" w:after="40"/>
              <w:jc w:val="left"/>
            </w:pPr>
            <w:r>
              <w:rPr>
                <w:sz w:val="20"/>
              </w:rPr>
              <w:t xml:space="preserve">Each shift and on new symptoms</w:t>
            </w:r>
          </w:p>
        </w:tc>
      </w:tr>
    </w:tbl>
    <w:bookmarkEnd w:id="38"/>
    <w:bookmarkStart w:id="39" w:name="references-cited-in-the-methods"/>
    <w:p>
      <w:pPr>
        <w:pStyle w:val="Heading2"/>
      </w:pPr>
      <w:r>
        <w:t xml:space="preserve">References cited in the Methods</w:t>
      </w:r>
    </w:p>
    <w:p>
      <w:pPr>
        <w:pStyle w:val="FirstParagraph"/>
      </w:pPr>
      <w:r>
        <w:t xml:space="preserve">Entwistle, V.A., Carter, S.M., Cribb, A., McCaffery, K., 2010. Supporting patient autonomy: the importance of clinician–patient relationships. J. Gen. Intern. Med. 25 (7), 741–745.</w:t>
      </w:r>
    </w:p>
    <w:p>
      <w:pPr>
        <w:pStyle w:val="BodyText"/>
      </w:pPr>
      <w:r>
        <w:t xml:space="preserve">Hennink, M., Kaiser, B.N., 2022. Sample sizes for saturation in qualitative research: a systematic review of empirical tests. Soc. Sci. Med. 292, 114523.</w:t>
      </w:r>
    </w:p>
    <w:p>
      <w:pPr>
        <w:pStyle w:val="BodyText"/>
      </w:pPr>
      <w:r>
        <w:t xml:space="preserve">Lucas, D.N., Yentis, S.M., Kinsella, S.M., Holdcroft, A., May, A.E., Wee, M., Robinson, P.N., 2000. Urgency of caesarean section: a new classification. J. R. Soc. Med. 93 (7), 346–350.</w:t>
      </w:r>
    </w:p>
    <w:p>
      <w:pPr>
        <w:pStyle w:val="BodyText"/>
      </w:pPr>
      <w:r>
        <w:t xml:space="preserve">Malterud, K., Siersma, V.D., Guassora, A.D., 2016. Sample size in qualitative interview studies: guided by information power. Qual. Health Res. 26 (13), 1753–1760.</w:t>
      </w:r>
    </w:p>
    <w:p>
      <w:pPr>
        <w:pStyle w:val="BodyText"/>
      </w:pPr>
      <w:r>
        <w:t xml:space="preserve">Olmos-Vega, F.M., Stalmeijer, R.E., Varpio, L., Kahlke, R., 2023. A practical guide to reflexivity in qualitative research: AMEE Guide No. 149. Med. Teach. 45 (3), 241–251.</w:t>
      </w:r>
    </w:p>
    <w:p>
      <w:pPr>
        <w:pStyle w:val="BodyText"/>
      </w:pPr>
      <w:r>
        <w:t xml:space="preserve">Palinkas, L.A., Horwitz, S.M., Green, C.A., Wisdom, J.P., Duan, N., Hoagwood, K., 2015. Purposeful sampling for qualitative data collection and analysis in mixed method implementation research. Adm. Policy Ment. Health 42 (5), 533–544.</w:t>
      </w:r>
    </w:p>
    <w:p>
      <w:pPr>
        <w:pStyle w:val="BodyText"/>
      </w:pPr>
      <w:r>
        <w:t xml:space="preserve">Squires, A., 2009. Methodological challenges in cross-language qualitative research: a research review. Int. J. Nurs. Stud. 46 (2), 277–287.</w:t>
      </w:r>
    </w:p>
    <w:p>
      <w:pPr>
        <w:pStyle w:val="BodyText"/>
      </w:pPr>
      <w:r>
        <w:t xml:space="preserve">Staniszewska, S., Brett, J., Simera, I., Seers, K., Mockford, C., Goodlad, S., et al., 2017. GRIPP2 reporting checklists: tools to improve reporting of patient and public involvement in research. BMJ 358, j3453.</w:t>
      </w:r>
    </w:p>
    <w:p>
      <w:pPr>
        <w:pStyle w:val="BodyText"/>
      </w:pPr>
      <w:r>
        <w:t xml:space="preserve">Tong, A., Sainsbury, P., Craig, J., 2007. Consolidated criteria for reporting qualitative research (COREQ): a 32-item checklist for interviews and focus groups. Int. J. Qual. Health Care 19 (6), 349–357.</w:t>
      </w:r>
    </w:p>
    <w:p>
      <w:pPr>
        <w:pStyle w:val="BodyText"/>
      </w:pPr>
      <w:r>
        <w:t xml:space="preserve">van Nes, F., Abma, T., Jonsson, H., Deeg, D., 2010. Language differences in qualitative research: is meaning lost in translation? Eur. J. Ageing 7 (4), 313–316.</w:t>
      </w:r>
    </w:p>
    <w:p>
      <w:pPr>
        <w:pStyle w:val="BodyText"/>
      </w:pPr>
      <w:r>
        <w:t xml:space="preserve">Health Holding Company (n.d.), Lehmkuhl et al. (2024), Mørch et al. (2019), Stoljar and Mackenzie (2023), Thörn et al. (2025) and Thorne (2025) are cited as in the Introduction.</w:t>
      </w:r>
    </w:p>
    <w:bookmarkEnd w:id="39"/>
    <w:bookmarkEnd w:id="40"/>
    <w:sectPr>
      <w:headerReference w:type="default" r:id="rId9"/>
      <w:footerReference w:type="default" r:id="rId10"/>
      <w:pgSz w:h="16838" w:w="11906"/>
      <w:pgMar w:bottom="1440" w:left="1440" w:right="1440" w:top="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r>
      <w:rPr>
        <w:b/>
        <w:color w:val="B00000"/>
        <w:sz w:val="18"/>
      </w:rPr>
      <w:t>SIMULATED TRAINING EXAMPLE - ALL DATA FICTIONAL - NOT FOR SUBMISSION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uppressLineNumbers/>
    </w:pPr>
    <w:r/>
    <w:r>
      <w:rPr>
        <w:b/>
        <w:color w:val="B00000"/>
        <w:sz w:val="18"/>
      </w:rPr>
      <w:t>SIMULATED TRAINING EXAMPLE - ALL DATA FICTIONAL - NOT FOR SUBMISSION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eastAsia="Times New Roman" w:hAnsi="Times New Roman"/>
      <w:sz w:val="24"/>
    </w:rPr>
  </w:style>
  <w:style w:customStyle="1" w:styleId="Compact" w:type="paragraph">
    <w:name w:val="Compact"/>
    <w:basedOn w:val="BodyText"/>
    <w:qFormat/>
    <w:pPr>
      <w:spacing w:after="120" w:before="36" w:line="360" w:lineRule="auto"/>
    </w:pPr>
    <w:rPr>
      <w:rFonts w:ascii="Times New Roman" w:eastAsia="Times New Roman" w:hAnsi="Times New Roman"/>
      <w:sz w:val="24"/>
    </w:rPr>
  </w:style>
  <w:style w:styleId="Title" w:type="paragraph">
    <w:name w:val="Title"/>
    <w:basedOn w:val="Normal"/>
    <w:next w:val="BodyText"/>
    <w:qFormat/>
    <w:pPr>
      <w:keepNext/>
      <w:keepLines/>
      <w:spacing w:after="120" w:before="240"/>
      <w:jc w:val="center"/>
    </w:pPr>
    <w:rPr>
      <w:rFonts w:ascii="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hAnsi="Times New Roman"/>
      <w:b/>
      <w:bCs/>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line="360" w:lineRule="auto"/>
      <w:ind w:firstLine="0" w:left="480" w:right="480"/>
    </w:pPr>
    <w:rPr>
      <w:rFonts w:ascii="Times New Roman" w:eastAsia="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2026-10-07T16:32:46Z</dcterms:created>
  <dcterms:modified xsi:type="dcterms:W3CDTF">2026-10-07T16:32:46Z</dcterms:modified>
</cp:coreProperties>
</file>

<file path=docProps/custom.xml><?xml version="1.0" encoding="utf-8"?>
<Properties xmlns="http://schemas.openxmlformats.org/officeDocument/2006/custom-properties" xmlns:vt="http://schemas.openxmlformats.org/officeDocument/2006/docPropsVTypes"/>
</file>