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Times New Roman" w:cs="Times New Roman" w:eastAsia="Times New Roman" w:hAnsi="Times New Roman"/>
          <w:b/>
          <w:bCs/>
          <w:color w:val="666666"/>
          <w:sz w:val="20"/>
          <w:szCs w:val="20"/>
        </w:rPr>
        <w:t xml:space="preserve">EMAIL 2 – SUBMITTING THE RESPONSE</w:t>
      </w:r>
    </w:p>
    <w:p>
      <w:pPr>
        <w:spacing w:after="240" w:before="0" w:line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0"/>
          <w:szCs w:val="20"/>
        </w:rPr>
        <w:t xml:space="preserve">Send no later than 25 October 2026, to everyone in copy on the co-editors’ email, with 01_Response_to_Commentary_NICC.docx attached.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To: </w:t>
      </w: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Josef Trapani; Peter Nydahl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Cc: </w:t>
      </w: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  <w:shd w:fill="FFFF00" w:color="auto" w:val="clear"/>
        </w:rPr>
        <w:t xml:space="preserve">[everyone copied on the co-editors’ email]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Subject: </w:t>
      </w: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Response to commentary on Samy et al., Nursing in Critical Care 2026;31(5):e70620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Attachment: </w:t>
      </w: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01_Response_to_Commentary_NICC.docx</w:t>
      </w:r>
    </w:p>
    <w:p>
      <w:pPr>
        <w:pBdr>
          <w:bottom w:val="single" w:color="999999" w:sz="6" w:space="4"/>
        </w:pBdr>
        <w:spacing w:after="240"/>
      </w:pPr>
    </w:p>
    <w:p>
      <w:pPr>
        <w:spacing w:after="200" w:before="0" w:line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Dear Dr Trapani and Dr Nydahl,</w:t>
      </w:r>
    </w:p>
    <w:p>
      <w:pPr>
        <w:spacing w:after="200" w:before="0" w:line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As agreed, please find attached our response to the commentary “Calibrated to what? Feedback asymmetry and the limits of experiential trust in AI-assisted early warning”, which discusses our article “Trusting the Algorithm or Trusting the Nurse? Critical Care Nurses’ Experiences of Automation Bias and Professional Autonomy in AI-Assisted Early Warning” (Nursing in Critical Care, 2026;31(5):e70620; doi:10.1111/nicc.70620).</w:t>
      </w:r>
    </w:p>
    <w:p>
      <w:pPr>
        <w:spacing w:after="200" w:before="0" w:line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Our response is entitled “The patient and the system: Two reference points for evaluating nurses’ trust in AI-assisted early warning”. Its main text runs to 1,478 words, including headings and excluding the title (16 words), end statements and references, within the 1,500-word limit. All three authors have read and approved it.</w:t>
      </w:r>
    </w:p>
    <w:p>
      <w:pPr>
        <w:spacing w:after="200" w:before="0" w:line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We are grateful to the commentators for their thoughtful critique. In our response we:</w:t>
      </w:r>
    </w:p>
    <w:p>
      <w:pPr>
        <w:pStyle w:val="ListParagraph"/>
        <w:numPr>
          <w:ilvl w:val="0"/>
          <w:numId w:val="2"/>
        </w:numPr>
        <w:spacing w:after="80" w:before="0" w:line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clarify what our interpretive study claimed about nurses’ trust, stating precisely that participants described adjusting their trust through experience, while the accuracy of those adjustments was not evaluated;</w:t>
      </w:r>
    </w:p>
    <w:p>
      <w:pPr>
        <w:pStyle w:val="ListParagraph"/>
        <w:numPr>
          <w:ilvl w:val="0"/>
          <w:numId w:val="2"/>
        </w:numPr>
        <w:spacing w:after="80" w:before="0" w:line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engage with the feedback asymmetry they describe and show how it connects with our findings on nursing surveillance and silent override; and</w:t>
      </w:r>
    </w:p>
    <w:p>
      <w:pPr>
        <w:pStyle w:val="ListParagraph"/>
        <w:numPr>
          <w:ilvl w:val="0"/>
          <w:numId w:val="2"/>
        </w:numPr>
        <w:spacing w:after="80" w:before="0" w:line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set out where our recommendations converge with theirs, including symmetric, log-based capture of alert outputs, responses and outcomes, nurse-facing performance reports that include missed events, and the evaluation designs needed to test whether nurses’ trust tracks the system’s reliability.</w:t>
      </w:r>
    </w:p>
    <w:p>
      <w:pPr>
        <w:spacing w:after="200" w:before="0" w:line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Our response refers to the commentary in its text. Should the journal’s style require a formal citation of the commentary, we would be grateful if the Editorial Office could add it.</w:t>
      </w:r>
    </w:p>
    <w:p>
      <w:pPr>
        <w:spacing w:after="200" w:before="0" w:line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We would be happy to make any editorial changes you require.</w:t>
      </w:r>
    </w:p>
    <w:p>
      <w:pPr>
        <w:spacing w:after="200" w:before="0" w:line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With best wishes,</w:t>
      </w:r>
    </w:p>
    <w:p>
      <w:pPr>
        <w:spacing w:after="0" w:before="0" w:line="276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Osama Mohamed Elsayed Ramadan</w:t>
      </w:r>
    </w:p>
    <w:p>
      <w:pPr>
        <w:spacing w:after="0" w:before="0" w:line="276"/>
        <w:jc w:val="left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Corresponding author, on behalf of Reda Samy and Ghada Elsaid Ali Elsayed</w:t>
      </w:r>
    </w:p>
    <w:p>
      <w:pPr>
        <w:spacing w:after="0" w:before="0" w:line="276"/>
        <w:jc w:val="left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Department of Maternal and Child Health Nursing, College of Nursing, Jouf University, Sakaka, Saudi Arabia</w:t>
      </w:r>
    </w:p>
    <w:p>
      <w:pPr>
        <w:spacing w:after="0" w:before="0" w:line="276"/>
        <w:jc w:val="left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omramadan@ju.edu.sa</w:t>
      </w:r>
    </w:p>
    <w:p>
      <w:pPr>
        <w:keepNext/>
        <w:spacing w:after="120" w:before="480" w:line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Notes for the authors (delete before sending)</w:t>
      </w:r>
    </w:p>
    <w:p>
      <w:pPr>
        <w:pStyle w:val="ListParagraph"/>
        <w:numPr>
          <w:ilvl w:val="0"/>
          <w:numId w:val="2"/>
        </w:numPr>
        <w:spacing w:after="60" w:before="0" w:line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sz w:val="20"/>
          <w:szCs w:val="20"/>
        </w:rPr>
        <w:t xml:space="preserve">Attach the final 01_Response_to_Commentary_NICC.docx and confirm that both co-authors have approved that exact version.</w:t>
      </w:r>
    </w:p>
    <w:p>
      <w:pPr>
        <w:pStyle w:val="ListParagraph"/>
        <w:numPr>
          <w:ilvl w:val="0"/>
          <w:numId w:val="2"/>
        </w:numPr>
        <w:spacing w:after="60" w:before="0" w:line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sz w:val="20"/>
          <w:szCs w:val="20"/>
        </w:rPr>
        <w:t xml:space="preserve">Confirm the Funding statement (“This response received no specific funding”) with your co-authors before sending.</w:t>
      </w:r>
    </w:p>
    <w:p>
      <w:pPr>
        <w:pStyle w:val="ListParagraph"/>
        <w:numPr>
          <w:ilvl w:val="0"/>
          <w:numId w:val="2"/>
        </w:numPr>
        <w:spacing w:after="60" w:before="0" w:line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sz w:val="20"/>
          <w:szCs w:val="20"/>
        </w:rPr>
        <w:t xml:space="preserve">Word counts in this email are generated from the response file and match it.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Response to commentary on Samy et al., Nursing in Critical Care 2026;31(5):e70620</dc:title>
  <dc:creator>Osama Mohamed Elsayed Ramadan</dc:creator>
  <cp:lastModifiedBy>Un-named</cp:lastModifiedBy>
  <cp:revision>1</cp:revision>
  <dcterms:created xsi:type="dcterms:W3CDTF">2026-10-09T00:03:46.422Z</dcterms:created>
  <dcterms:modified xsi:type="dcterms:W3CDTF">2026-10-09T00:03:46.422Z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