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Reading the patient, measuring the system: Two reference points for nurses’ trust in AI-assisted early warning</w:t>
      </w:r>
    </w:p>
    <w:p>
      <w:pPr>
        <w:spacing w:after="120" w:line="360"/>
      </w:pP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*Corresponding author: Osama Mohamed Elsayed Ramadan, Department of Maternal and Child Health Nursing, College of Nursing, Jouf University, Sakaka, Saudi Arabia. Email: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a commentary on: Samy R, Ramadan OME, Elsayed GEA. Trusting the algorithm or trusting the nurse? Critical care nurses’ experiences of automation bias and professional autonomy in AI-assisted early warning.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1481 words (main text including headings; excluding title, author details, end statements and references). Title: 16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contributes distinctly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automation bias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pull towards the aid: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Such reliance produces error only when the aid errs; our title refers to experiences of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Precisely,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Kahneman and Klein conclude, “subjective experience is not a reliable indicator of judgment accuracy”.</w:t>
      </w:r>
      <w:r>
        <w:rPr>
          <w:rFonts w:ascii="Times New Roman" w:cs="Times New Roman" w:eastAsia="Times New Roman" w:hAnsi="Times New Roman"/>
          <w:b w:val="false"/>
          <w:bCs w:val="false"/>
          <w:sz w:val="24"/>
          <w:szCs w:val="24"/>
          <w:vertAlign w:val="superscript"/>
        </w:rPr>
        <w:t xml:space="preserve">6</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episodes,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We also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As they frame it, their reading is a hypothesis; like ours, it interprets the same accounts, and interviews cannot show how far each explains the trajectory.</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were, however, misses that nurses themselves caught (P09), the only experiential basis for knowing “when it would miss”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Misses shared by nurse and model remain unrecognised as model failures, and rare events accumulate slowly over 7 to 26 months of exposure.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misses go not only undetected but unlearned. Yet surveillance and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 the same asymmetry; nurse-facing performance reports, as the commentators propose, can correct it.</w:t>
      </w:r>
    </w:p>
    <w:p>
      <w:pPr>
        <w:spacing w:after="200" w:before="0" w:line="360"/>
        <w:jc w:val="both"/>
      </w:pPr>
      <w:r>
        <w:rPr>
          <w:rFonts w:ascii="Times New Roman" w:cs="Times New Roman" w:eastAsia="Times New Roman" w:hAnsi="Times New Roman"/>
          <w:b w:val="false"/>
          <w:bCs w:val="false"/>
          <w:sz w:val="24"/>
          <w:szCs w:val="24"/>
        </w:rPr>
        <w:t xml:space="preserve">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 audit log would record that escalation as acceptance, whereas the account shows compliance without trust. Conversely, an unrecorded override leaves no rationale to review against what happened next,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TWO REFERENCE POINTS: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point was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As the commentators argue, a nurse and a model can agree and both be wrong, and an assessment anchored by the alert cannot serve as an independent standard for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point: local performance data that include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its estimates do not describe our participants’ general deterioration model,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the commentators’ warning that a field required only for overrides could “make acceptance the implicit default and attach friction to disagreement alone”,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and accountability should follow clinical reasoning as judged at the time, not outcomes or conformity with the algorithm. We therefore welcome symmetric capture from system logs, linking alerts, and periods without alerts, to nurses’ responses and to independently ascertained deterioration. Logs still need interpretive categories: a log shows that an alert was not escalated, not whether it was assessed and judged wrong or never read, which our single-click acknowledgement, extended to every alert, could partly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vignettes are feasible. The trial they cite counsels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although its relevance to real-time nursing surveillance is untested. Our findings suggest what to test: discordant alerts (P09), alarms after suctioning (P17),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with misses, separating those nurses caught from those they did not, would show whether differentiated trust tracks the system’s reliability or only its visible errors. Such studies should distinguish confidence, reported trust and observed reliance; interviews, in turn, show how nurses understand that reliance.</w:t>
      </w:r>
    </w:p>
    <w:p>
      <w:pPr>
        <w:spacing w:after="200" w:before="0" w:line="360"/>
        <w:jc w:val="both"/>
      </w:pPr>
      <w:r>
        <w:rPr>
          <w:rFonts w:ascii="Times New Roman" w:cs="Times New Roman" w:eastAsia="Times New Roman" w:hAnsi="Times New Roman"/>
          <w:b w:val="false"/>
          <w:bCs w:val="false"/>
          <w:sz w:val="24"/>
          <w:szCs w:val="24"/>
        </w:rPr>
        <w:t xml:space="preserve">The commentators ask the right question, ‘Calibrated to what?’, and it has two answers. At the bedside, each alert is weighed against the patient, a real-time but fallible reference point. Across alerts, learned trust must be checked against the system’s measured performance, misses included. Our study described the first; the commentators rightly insist on the second. Safe AI-assisted early warning needs both, and nurses who keep watching closely enough to notice when alert and patient disagree.</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patient, measuring the system: Two reference points for nurses’ trust in AI-assisted early warning</dc:title>
  <dc:creator>Osama Mohamed Elsayed Ramadan</dc:creator>
  <cp:lastModifiedBy>Un-named</cp:lastModifiedBy>
  <cp:revision>1</cp:revision>
  <dcterms:created xsi:type="dcterms:W3CDTF">2026-10-09T00:16:44.242Z</dcterms:created>
  <dcterms:modified xsi:type="dcterms:W3CDTF">2026-10-09T00:16:44.242Z</dcterms:modified>
</cp:coreProperties>
</file>

<file path=docProps/custom.xml><?xml version="1.0" encoding="utf-8"?>
<Properties xmlns="http://schemas.openxmlformats.org/officeDocument/2006/custom-properties" xmlns:vt="http://schemas.openxmlformats.org/officeDocument/2006/docPropsVTypes"/>
</file>