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CONFIDENTIAL – FOR THE THREE AUTHORS ONLY. DO NOT SEND TO THE EDITORS.</w:t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Author briefing: our response to the commentary on our NICC article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What this is, and why we respond</w:t>
      </w:r>
    </w:p>
    <w:p>
      <w:pPr>
        <w:pStyle w:val="ListParagraph"/>
        <w:numPr>
          <w:ilvl w:val="0"/>
          <w:numId w:val="2"/>
        </w:num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commentary (“Calibrated to what? Feedback asymmetry and the limits of experiential trust in AI-assisted early warning”) is an ordinary scholarly critique, not a complaint, a correction request or a misconduct concern. The co-editors are offering us the right of reply (maximum 1,500 words, due 25 October 2026).</w:t>
      </w:r>
    </w:p>
    <w:p>
      <w:pPr>
        <w:pStyle w:val="ListParagraph"/>
        <w:numPr>
          <w:ilvl w:val="0"/>
          <w:numId w:val="2"/>
        </w:num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commentary is complimentary in places: it says the study offers “rare access” to how nurses use AI-EWS, that silent override “deserves the governance attention the authors call for”, and that our override field is “valuable”.</w:t>
      </w:r>
    </w:p>
    <w:p>
      <w:pPr>
        <w:pStyle w:val="ListParagraph"/>
        <w:numPr>
          <w:ilvl w:val="0"/>
          <w:numId w:val="2"/>
        </w:num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Its concern, in its own words, is “one inferential step: from nurses’ accounts of trust to the claim that this trust is calibrated”. It also offers a “complementary reading” of the experience trajectory and disputes our claim to “complicate prevailing accounts”.</w:t>
      </w:r>
    </w:p>
    <w:p>
      <w:pPr>
        <w:pStyle w:val="ListParagraph"/>
        <w:numPr>
          <w:ilvl w:val="0"/>
          <w:numId w:val="2"/>
        </w:num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Replying is optional, but a calm, rigorous reply strengthens the paper; silence can read as agreement.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Strategy of the final response</w:t>
      </w:r>
    </w:p>
    <w:p>
      <w:pPr>
        <w:spacing w:after="20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Concede precisely, defend firmly.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Where our published wording went further than interview data allow (“actively calibrated”, “correctly dismissing”, “complicate prevailing accounts”), the response says so plainly and states the precise claim: participants described adjusting their trust through experience; the accuracy of those adjustments was not evaluated. Everything else is defended with the commentators’ own sources (Lee &amp; See; Parasuraman &amp; Manzey; Kahneman &amp; Klein; Dietvorst; Jabbour) and with verbatim evidence from our article.</w:t>
      </w:r>
    </w:p>
    <w:p>
      <w:pPr>
        <w:spacing w:after="20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Title.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“Reading the patient, measuring the system: Two reference points for nurses’ trust in AI-assisted early warning” states the response’s central argument without naming the commentary: the patient is the reference point for each bedside decision, and local performance data are the reference point for whether learned trust tracks the system.</w:t>
      </w:r>
    </w:p>
    <w:p>
      <w:pPr>
        <w:spacing w:after="20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Firm points the commentators cannot easily answer: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their alternative reading is a plausible hypothesis, not a demonstrated mechanism, and interprets the same accounts as ours; feedback about correctness is incomplete in both directions; algorithm aversion was shown where people could freely choose, whereas our participants’ discretion was constrained; an audit log would record P17’s escalation as acceptance, but the account shows compliance without trust; nurse and model share the same documented observations, so they are not fully independent; and the response proposes a concrete study that would decide between the two readings.</w:t>
      </w:r>
    </w:p>
    <w:p>
      <w:pPr>
        <w:spacing w:after="200" w:before="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commentary is not listed in the references,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at your request. The response refers to “the commentators” in its text, which is usual when a response is published alongside the commentary. The covering email invites the Editorial Office to add a formal citation if house style requires it.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What we took from the alternative draft</w:t>
      </w:r>
    </w:p>
    <w:p>
      <w:pPr>
        <w:spacing w:after="20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alternative draft you supplied was calm and precise but conceded almost every point and used little evidence from our data. The final response keeps our firm, evidence-based defence and adds the alternative’s best elements: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Element adopted from the alternative draft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Where it appears in the final response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Balanced thesis: reported adjustment of trust does not establish accurate calibration, but understanding how nurses interpret alerts is a distinct contribution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Section 1, Introduction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Precise reformulation: participants described adjusting their trust; accuracy was not evaluated. “Correctly dismissing” read as dismissing an alert the nurse judged unhelpful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Section 2, second paragraph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Their reading is a plausible hypothesis rather than a demonstrated mechanism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Section 3, first paragraph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Feedback is incomplete in both directions (averted deterioration; recognised deterioration reveals a missing warning)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Section 3, second paragraph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nurse and a model can agree and both be wrong; an anchored assessment cannot be an independent standard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Section 4, first paragraph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Evaluation specifics: outcomes, prediction horizons, thresholds, effects of intervention, periods without alerts, independently ascertained deterioration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Sections 4 and 5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Override field was a governance recommendation, not a tested intervention; accountability should follow clinical reasoning, not conformity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Section 5, first paragraph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Jabbour et al.: explanations did not mitigate biased predictions; relevance to nursing surveillance untested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Section 5, second paragraph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Distinguish confidence, reported trust and observed reliance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Section 5, second paragraph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P14’s “when it would miss” is perceived, not verified, knowledge: nurses can learn only the misses they catch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Section 3, second paragraph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Judge decisions on the information available at the time, not on outcomes (hindsight)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Section 5, first paragraph</w:t>
            </w:r>
          </w:p>
        </w:tc>
      </w:tr>
    </w:tbl>
    <w:p>
      <w:pPr>
        <w:spacing w:after="120" w:before="0" w:line="360"/>
        <w:jc w:val="both"/>
      </w:pP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How the response was checked</w:t>
      </w:r>
    </w:p>
    <w:p>
      <w:pPr>
        <w:pStyle w:val="ListParagraph"/>
        <w:numPr>
          <w:ilvl w:val="0"/>
          <w:numId w:val="2"/>
        </w:num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Three rounds of independent review: reference verifiers, fidelity checkers (every statement about our article and the commentary), and adversarial reviewers writing as the commentators and as the co-editors, plus a comparison with the alternative draft.</w:t>
      </w:r>
    </w:p>
    <w:p>
      <w:pPr>
        <w:pStyle w:val="ListParagraph"/>
        <w:numPr>
          <w:ilvl w:val="0"/>
          <w:numId w:val="2"/>
        </w:num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All 34 quotations were checked by script, character for character: 24 against our published article, 6 against the commentary, and 4 against external sources (Blumer, Kahneman &amp; Klein, Tanner).</w:t>
      </w:r>
    </w:p>
    <w:p>
      <w:pPr>
        <w:pStyle w:val="ListParagraph"/>
        <w:numPr>
          <w:ilvl w:val="0"/>
          <w:numId w:val="2"/>
        </w:num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 new data, participant quotations or claims beyond the published article were introduced. Participant codes are used only for things those participants said.</w:t>
      </w:r>
    </w:p>
    <w:p>
      <w:pPr>
        <w:pStyle w:val="ListParagraph"/>
        <w:numPr>
          <w:ilvl w:val="0"/>
          <w:numId w:val="2"/>
        </w:num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Word count: 1,481 words of main text including headings (1,497 including the 16-word title), within the 1,500-word limit however it is counted.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Point-by-point map: commentary → our response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Commentary point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Our response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Grounding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Interviews cannot observe automation-bias errors (a behavioural construct).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Agreed: no interview can capture an unrecognised error, and we claimed to detect none. Automation bias was a sensitising concept (Blumer). Participants described the pull towards the aid; such reliance becomes bias only when the aid errs.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Article 4.2; 5.1.1.1; 5.1.4.1; Parasuraman &amp; Manzey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From accounts of trust to “calibrated” trust.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Agreed that calibration needs a reference. “Actively calibrated” suggests more than the design supports: participants described adjusting trust; accuracy was not evaluated. Limitations already drew this line.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Abstract; 6.1; 6.2; 6.3; Kahneman &amp; Klein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Specificity and differentiated trust.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Differentiation is not calibration. Self-report reaches trust as an attitude; appropriateness needs behavioural and reference data.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Lee &amp; See; Kohn et al.; P14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Nisbett &amp; Wilson.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Accepted for explanations of why participants trusted. Our other claims rest on episodes and reported practices and meanings no audit log records.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P19, P06, P05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Theory is already dynamic.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Accepted; “complicate” overstated. Our contribution is nursing content for Lee &amp; See’s organisational and cultural context.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6.1; Themes 3–4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Feedback asymmetry; “complementary reading”.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Accepted as complementary; gap admitted. Their reading is a plausible hypothesis. Feedback is incomplete both ways; our data include misses nurses caught; surveillance must be protected but is not enough; nurse-facing performance reports needed.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5.1.1.2; 5.1.1.3; 6.1; 7–26 months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Algorithm aversion (Dietvorst).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Shown where people could freely choose; our participants’ discretion was constrained. P17: compliance without trust. Silent override adds an organisational layer (P16).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5.1.1.2; 5.1.2.3; Dietvorst et al.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Calibration requires a reference; anchoring; concordant error.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Accepted, with a structural reason (shared documented observations) and evidence (Schwartz et al.). Two reference points: the patient and local performance data.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4.3; P03; Tanner; Schwartz et al.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local performance estimates; Wong et al.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Conceded. As they note, Wong concerned another model; its lesson transfers. Local evaluation specifics given.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4.3; Wong et al.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Symmetric capture; override-only field.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Override field was a governance recommendation. Symmetric, log-based capture welcomed, including periods without alerts; single-click acknowledgement for every alert.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Behavioural designs; Jabbour et al.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Accepted as going further than our proposal; feasible via simulation and vignettes; caution about explanations; a decisive test proposed.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6.4; P05; Jabbour et al.</w:t>
            </w:r>
          </w:p>
        </w:tc>
      </w:tr>
    </w:tbl>
    <w:p>
      <w:pPr>
        <w:spacing w:after="120" w:before="0" w:line="360"/>
        <w:jc w:val="both"/>
      </w:pP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Reference verification (13 references)</w:t>
      </w:r>
    </w:p>
    <w:p>
      <w:pPr>
        <w:spacing w:after="20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Direct access to Crossref, doi.org, PubMed, JSTOR and Wiley was blocked in our working environment, so every reference was verified in independent rounds using web-search records of the publisher and PubMed pages and the Consensus academic index, which reports DOIs and abstracts. Reviewers also checked that each source supports the exact sentence citing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900"/>
        <w:gridCol w:w="1150"/>
        <w:gridCol w:w="4526"/>
      </w:tblGrid>
      <w:tr>
        <w:trPr>
          <w:tblHeader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Verification notes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Samy R, Ramadan OME, Elsayed GEA. Nurs Crit Care 2026;31(5):e70620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PubMed PMID 42598921 and PMC13474463: 2026 Sep;31(5):e70620; doi:10.1111/nicc.70620.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Thorne S. Interpretive Description. 2nd ed. Routledge; 2016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WorldCat OCLC 928613451: second edition, Routledge, New York, 2016.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Blumer H. Am Sociol Rev 1954;19(1):3-10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Both quoted phrases on p. 7. DOI omitted: the JSTOR DOI could not be confirmed, which is acceptable for a 1954 article.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Parasuraman R, Manzey DH. Hum Factors 2010;52(3):381-410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Abstract: “Automation bias results in making both omission and commission errors when decision aids are imperfect”.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Lee JD, See KA. Hum Factors 2004;46(1):50-80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Calibration as correspondence between trust and capabilities; trust defined as an attitude (p. 54); dynamics and context in the abstract.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Kahneman D, Klein G. Am Psychol 2009;64(6):515-526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PMID 19739881. Quotation is the final sentence of the abstract.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Kohn SC, et al. Front Psychol 2021;12:604977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Classifies trust measures as self-report, behavioural and physiological, including trust attitudes.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Nisbett RE, Wilson TD. Psychol Rev 1977;84(3):231-259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Abstract limits the critique to access to “higher order cognitive processes”.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Dietvorst BJ, Simmons JP, Massey C. J Exp Psychol Gen 2015;144(1):114-126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PMID 25401381. Participants chose whether to tie incentives to algorithm or human forecasts.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Tanner CA. J Nurs Educ 2006;45(6):204-211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PMID 16780008. Quotation is conclusion 2 of the abstract.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Schwartz JM, et al. JMIR Hum Factors 2022;9(2):e33960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PMID 35550304. 17 clinicians: concordance between their impressions and system predictions influenced perceived accuracy.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Wong A, et al. JAMA Intern Med 2021;181(8):1065-1070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Epic Sepsis Model; AUC 0.63; missed 67% of sepsis cases.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Jabbour S, Fouhey D, Shepard S, et al. JAMA 2023;330(23):2275-2284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  <w:tc>
          <w:tcPr>
            <w:tcW w:type="dxa" w:w="4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doi:10.1001/jama.2023.22295. Vignette study of hospitalist physicians, nurse practitioners and physician assistants: “commonly used image-based AI model explanations did not mitigate this harmful effect”.</w:t>
            </w:r>
          </w:p>
        </w:tc>
      </w:tr>
    </w:tbl>
    <w:p>
      <w:pPr>
        <w:spacing w:after="120" w:before="0" w:line="360"/>
        <w:jc w:val="both"/>
      </w:pP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Items to confirm before sending</w:t>
      </w:r>
    </w:p>
    <w:p>
      <w:pPr>
        <w:pStyle w:val="ListParagraph"/>
        <w:numPr>
          <w:ilvl w:val="0"/>
          <w:numId w:val="2"/>
        </w:num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Both co-authors approve the final response, and agree to Email 1 being sent now.</w:t>
      </w:r>
    </w:p>
    <w:p>
      <w:pPr>
        <w:pStyle w:val="ListParagraph"/>
        <w:numPr>
          <w:ilvl w:val="0"/>
          <w:numId w:val="2"/>
        </w:num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Funding statement: “This response received no specific funding.” Confirm this is correct (the original study was funded by Najran University, grant NU/CPL/MRC/14/4617-1).</w:t>
      </w:r>
    </w:p>
    <w:p>
      <w:pPr>
        <w:pStyle w:val="ListParagraph"/>
        <w:numPr>
          <w:ilvl w:val="0"/>
          <w:numId w:val="2"/>
        </w:num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If the editors ask for the commentary to be cited formally, add it as reference 1 once its authors and DOI are known; the text needs no other change.</w:t>
      </w:r>
    </w:p>
    <w:p>
      <w:pPr>
        <w:pStyle w:val="ListParagraph"/>
        <w:numPr>
          <w:ilvl w:val="0"/>
          <w:numId w:val="2"/>
        </w:num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closing sentence names the commentators’ question (‘Calibrated to what?’) as the right question. This attributes their words without citing the commentary; keep it unless you prefer no reference to their wording at all.</w:t>
      </w:r>
    </w:p>
    <w:p>
      <w:pPr>
        <w:pStyle w:val="ListParagraph"/>
        <w:numPr>
          <w:ilvl w:val="0"/>
          <w:numId w:val="2"/>
        </w:num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Before proofs, re-check our quotations of the commentary against its final published version, in case the commentators revise it.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Private risk note: citation issues in our published article</w:t>
      </w:r>
    </w:p>
    <w:p>
      <w:pPr>
        <w:spacing w:after="20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commentators did not raise any of these, and the response does not mention them. A close reader comparing the two papers could notice them, so all authors should know. Whether to ask Wiley for a correction is the authors’ decision. The response itself cites Thorne, Tanner, Lee &amp; See and Parasuraman &amp; Manzey correctly, which quietly strengthens our theoretical footing.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200"/>
        <w:gridCol w:w="26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Location in article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Claim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Reference cited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Problem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Background, p. 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Clinical judgement “following Tanner”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[22–24] Zocco &amp; Ferro; Li et al.; O’Connor et al.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None is Tanner; Tanner (2006) is absent from the reference list.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Methods 4.2, p. 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Automation bias theory (omission and commission tendencies)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[36] Allen et al., Lancet Primary Care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an originating automation-bias source; Parasuraman &amp; Manzey, Skitka et al. and Lee &amp; See are cited nowhere.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Background, p. 2; Discussion, p. 10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Nurses’ involvement in ML decision support; probabilistic outputs of decision support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[20] Mrayyan et al. (concept analysis of autonomy)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Does not match either claim.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Introduction, p. 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 deterioration models improve outcomes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[3] Mousavi Shabestari et al. (uncertainty in decision-making)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Does not match the claim.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Discussion, p. 10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“human factors literature … asymmetric accountability”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[55, 56] two nursing-autonomy studies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Neither is human-factors literature.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Methods 4.1, p. 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 “as articulated by Thorne”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[30] Wilson 2025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Thorne’s own text not cited (minor).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Discussion, p. 11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“In critical care, where surveillance is central … profoundly professional in its effects.”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Sentence appears twice in consecutive paragraphs.</w:t>
            </w:r>
          </w:p>
        </w:tc>
      </w:tr>
    </w:tbl>
    <w:p>
      <w:pPr>
        <w:spacing w:after="120" w:before="0" w:line="360"/>
        <w:jc w:val="both"/>
      </w:pP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Timeline</w:t>
      </w:r>
    </w:p>
    <w:p>
      <w:pPr>
        <w:pStyle w:val="ListParagraph"/>
        <w:numPr>
          <w:ilvl w:val="0"/>
          <w:numId w:val="2"/>
        </w:num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Now: send Email 1 (02_Email_1_Confirm_Intention.docx) using “Reply all”.</w:t>
      </w:r>
    </w:p>
    <w:p>
      <w:pPr>
        <w:pStyle w:val="ListParagraph"/>
        <w:numPr>
          <w:ilvl w:val="0"/>
          <w:numId w:val="2"/>
        </w:num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Within the week: co-authors review 01_Response_to_Commentary_NICC.docx and confirm approval and the Funding statement.</w:t>
      </w:r>
    </w:p>
    <w:p>
      <w:pPr>
        <w:pStyle w:val="ListParagraph"/>
        <w:numPr>
          <w:ilvl w:val="0"/>
          <w:numId w:val="2"/>
        </w:num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By 25 October 2026: send Email 2 (03_Email_2_Submission_Cover.docx) to all in copy, with the response attached. Do not attach this briefing.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briefing: our response to the commentary on our NICC article</dc:title>
  <dc:creator>Osama Mohamed Elsayed Ramadan</dc:creator>
  <cp:lastModifiedBy>Un-named</cp:lastModifiedBy>
  <cp:revision>1</cp:revision>
  <dcterms:created xsi:type="dcterms:W3CDTF">2026-10-09T00:16:44.268Z</dcterms:created>
  <dcterms:modified xsi:type="dcterms:W3CDTF">2026-10-09T00:16:44.269Z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