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Revision</w:t>
      </w:r>
      <w:r>
        <w:t xml:space="preserve"> </w:t>
      </w:r>
      <w:r>
        <w:t xml:space="preserve">Report</w:t>
      </w:r>
      <w:r>
        <w:t xml:space="preserve"> </w:t>
      </w:r>
      <w:r>
        <w:t xml:space="preserve">and</w:t>
      </w:r>
      <w:r>
        <w:t xml:space="preserve"> </w:t>
      </w:r>
      <w:r>
        <w:t xml:space="preserve">Pre-Submission</w:t>
      </w:r>
      <w:r>
        <w:t xml:space="preserve"> </w:t>
      </w:r>
      <w:r>
        <w:t xml:space="preserve">Checklist</w:t>
      </w:r>
      <w:r>
        <w:t xml:space="preserve"> </w:t>
      </w:r>
      <w:r>
        <w:t xml:space="preserve">(Version</w:t>
      </w:r>
      <w:r>
        <w:t xml:space="preserve"> </w:t>
      </w:r>
      <w:r>
        <w:t xml:space="preserve">2)</w:t>
      </w:r>
    </w:p>
    <w:p>
      <w:pPr>
        <w:pStyle w:val="FirstParagraph"/>
      </w:pPr>
      <w:r>
        <w:rPr>
          <w:bCs/>
          <w:b/>
        </w:rPr>
        <w:t xml:space="preserve">Manuscript:</w:t>
      </w:r>
      <w:r>
        <w:t xml:space="preserve"> </w:t>
      </w:r>
      <w:r>
        <w:t xml:space="preserve">The Burden of Proof: Unit-Level Nurse Managers’ Judgements and Responses to Nurses’ Care Concerns When Quality Indicators Appear Reassuring—An Interpretive Description</w:t>
      </w:r>
    </w:p>
    <w:p>
      <w:pPr>
        <w:pStyle w:val="BodyText"/>
      </w:pPr>
      <w:r>
        <w:rPr>
          <w:bCs/>
          <w:b/>
        </w:rPr>
        <w:t xml:space="preserve">Target journal:</w:t>
      </w:r>
      <w:r>
        <w:t xml:space="preserve"> </w:t>
      </w:r>
      <w:r>
        <w:rPr>
          <w:iCs/>
          <w:i/>
        </w:rPr>
        <w:t xml:space="preserve">Applied Nursing Research</w:t>
      </w:r>
      <w:r>
        <w:t xml:space="preserve"> </w:t>
      </w:r>
      <w:r>
        <w:t xml:space="preserve">(Elsevier)</w:t>
      </w:r>
    </w:p>
    <w:bookmarkStart w:id="20" w:name="Xa9880ee803156cb225b3c2c4219a5dab87bfcdf"/>
    <w:p>
      <w:pPr>
        <w:pStyle w:val="Heading1"/>
      </w:pPr>
      <w:r>
        <w:t xml:space="preserve">1. Items the authors must complete or confirm before submission</w:t>
      </w:r>
    </w:p>
    <w:p>
      <w:pPr>
        <w:pStyle w:val="Compact"/>
        <w:numPr>
          <w:ilvl w:val="0"/>
          <w:numId w:val="1001"/>
        </w:numPr>
      </w:pPr>
      <w:r>
        <w:rPr>
          <w:bCs/>
          <w:b/>
        </w:rPr>
        <w:t xml:space="preserve">Author details.</w:t>
      </w:r>
      <w:r>
        <w:t xml:space="preserve"> </w:t>
      </w:r>
      <w:r>
        <w:t xml:space="preserve">Replace all bracketed placeholders on the Title Page and Cover Letter (names, affiliations, ORCIDs, corresponding author). Confirm or amend the CRediT roles, which were inferred from the roles described in Methods.</w:t>
      </w:r>
    </w:p>
    <w:p>
      <w:pPr>
        <w:pStyle w:val="Compact"/>
        <w:numPr>
          <w:ilvl w:val="0"/>
          <w:numId w:val="1001"/>
        </w:numPr>
      </w:pPr>
      <w:r>
        <w:rPr>
          <w:bCs/>
          <w:b/>
        </w:rPr>
        <w:t xml:space="preserve">Confidentiality wording in the interview script.</w:t>
      </w:r>
      <w:r>
        <w:t xml:space="preserve"> </w:t>
      </w:r>
      <w:r>
        <w:t xml:space="preserve">Supplementary File 1 reproduces the opening script as administered: it calls the safety-response procedure a</w:t>
      </w:r>
      <w:r>
        <w:t xml:space="preserve"> </w:t>
      </w:r>
      <w:r>
        <w:t xml:space="preserve">“</w:t>
      </w:r>
      <w:r>
        <w:t xml:space="preserve">limit to confidentiality</w:t>
      </w:r>
      <w:r>
        <w:t xml:space="preserve">”</w:t>
      </w:r>
      <w:r>
        <w:t xml:space="preserve">, whereas the approved consent documents specify</w:t>
      </w:r>
      <w:r>
        <w:t xml:space="preserve"> </w:t>
      </w:r>
      <w:r>
        <w:rPr>
          <w:iCs/>
          <w:i/>
        </w:rPr>
        <w:t xml:space="preserve">no</w:t>
      </w:r>
      <w:r>
        <w:t xml:space="preserve"> </w:t>
      </w:r>
      <w:r>
        <w:t xml:space="preserve">exceptions to confidentiality. The note beneath the script reconciles the two. Please confirm that the script was worded this way in practice. If it was, consider telling the IRB about the discrepancy before submission.</w:t>
      </w:r>
    </w:p>
    <w:p>
      <w:pPr>
        <w:pStyle w:val="Compact"/>
        <w:numPr>
          <w:ilvl w:val="0"/>
          <w:numId w:val="1001"/>
        </w:numPr>
      </w:pPr>
      <w:r>
        <w:rPr>
          <w:bCs/>
          <w:b/>
        </w:rPr>
        <w:t xml:space="preserve">Concerns not pursued.</w:t>
      </w:r>
      <w:r>
        <w:t xml:space="preserve"> </w:t>
      </w:r>
      <w:r>
        <w:t xml:space="preserve">The analytic matrices included a</w:t>
      </w:r>
      <w:r>
        <w:t xml:space="preserve"> </w:t>
      </w:r>
      <w:r>
        <w:t xml:space="preserve">“</w:t>
      </w:r>
      <w:r>
        <w:t xml:space="preserve">non-pursuit</w:t>
      </w:r>
      <w:r>
        <w:t xml:space="preserve">”</w:t>
      </w:r>
      <w:r>
        <w:t xml:space="preserve"> </w:t>
      </w:r>
      <w:r>
        <w:t xml:space="preserve">category, but the original manuscript reported no concern that was not pursued. The revision therefore adds this as a limitation (Section 4.5). If your matrices contain non-pursued concerns, add one sentence and, ideally, a quotation to Section 3.5 or 3.6; reviewers may ask.</w:t>
      </w:r>
    </w:p>
    <w:p>
      <w:pPr>
        <w:pStyle w:val="Compact"/>
        <w:numPr>
          <w:ilvl w:val="0"/>
          <w:numId w:val="1001"/>
        </w:numPr>
      </w:pPr>
      <w:r>
        <w:rPr>
          <w:bCs/>
          <w:b/>
        </w:rPr>
        <w:t xml:space="preserve">Distribution of documentation requests.</w:t>
      </w:r>
      <w:r>
        <w:t xml:space="preserve"> </w:t>
      </w:r>
      <w:r>
        <w:t xml:space="preserve">The 11 of 19 documentation requests are now reported across all qualifying accounts, in the text, Figure 1 and its caption. If your matrix shows how these requests were distributed across concern types (for example, staffing versus clinical), reporting it would strengthen Theme 2.</w:t>
      </w:r>
    </w:p>
    <w:p>
      <w:pPr>
        <w:pStyle w:val="Compact"/>
        <w:numPr>
          <w:ilvl w:val="0"/>
          <w:numId w:val="1001"/>
        </w:numPr>
      </w:pPr>
      <w:r>
        <w:rPr>
          <w:bCs/>
          <w:b/>
        </w:rPr>
        <w:t xml:space="preserve">Metadata.</w:t>
      </w:r>
      <w:r>
        <w:t xml:space="preserve"> </w:t>
      </w:r>
      <w:r>
        <w:t xml:space="preserve">All files now have empty Author and Last Modified By fields, and each carries Word’s</w:t>
      </w:r>
      <w:r>
        <w:t xml:space="preserve"> </w:t>
      </w:r>
      <w:r>
        <w:t xml:space="preserve">“</w:t>
      </w:r>
      <w:r>
        <w:t xml:space="preserve">remove personal information from file properties on save</w:t>
      </w:r>
      <w:r>
        <w:t xml:space="preserve">”</w:t>
      </w:r>
      <w:r>
        <w:t xml:space="preserve"> </w:t>
      </w:r>
      <w:r>
        <w:t xml:space="preserve">setting, so later saves should not re-insert your name. Before uploading, check each file under File › Info › Properties. If a name appears, run File › Info › Check for Issues › Inspect Document › Document Properties and Personal Information › Remove All.</w:t>
      </w:r>
    </w:p>
    <w:p>
      <w:pPr>
        <w:pStyle w:val="Compact"/>
        <w:numPr>
          <w:ilvl w:val="0"/>
          <w:numId w:val="1001"/>
        </w:numPr>
      </w:pPr>
      <w:r>
        <w:rPr>
          <w:bCs/>
          <w:b/>
        </w:rPr>
        <w:t xml:space="preserve">Length.</w:t>
      </w:r>
      <w:r>
        <w:t xml:space="preserve"> </w:t>
      </w:r>
      <w:r>
        <w:t xml:space="preserve">With word limits set aside, as requested, essential methodological and analytic detail has been restored. The main text is about 7,600 words. If the journal’s length limit is enforced, Section 2.6 and parts of Section 2.9 can move back to Supplementary File 3 with little loss.</w:t>
      </w:r>
    </w:p>
    <w:p>
      <w:pPr>
        <w:pStyle w:val="Compact"/>
        <w:numPr>
          <w:ilvl w:val="0"/>
          <w:numId w:val="1001"/>
        </w:numPr>
      </w:pPr>
      <w:r>
        <w:rPr>
          <w:bCs/>
          <w:b/>
        </w:rPr>
        <w:t xml:space="preserve">Anonymised review.</w:t>
      </w:r>
      <w:r>
        <w:t xml:space="preserve"> </w:t>
      </w:r>
      <w:r>
        <w:t xml:space="preserve">If the journal’s anonymised-review instructions require it, replace the IRB name in Section 2.9 of the manuscript with</w:t>
      </w:r>
      <w:r>
        <w:t xml:space="preserve"> </w:t>
      </w:r>
      <w:r>
        <w:t xml:space="preserve">“</w:t>
      </w:r>
      <w:r>
        <w:t xml:space="preserve">[removed for anonymised review]</w:t>
      </w:r>
      <w:r>
        <w:t xml:space="preserve">”</w:t>
      </w:r>
      <w:r>
        <w:t xml:space="preserve">; the full details remain on the Title Page.</w:t>
      </w:r>
    </w:p>
    <w:bookmarkEnd w:id="20"/>
    <w:bookmarkStart w:id="21" w:name="X6299278efd9494f75515a871cae188d4dd08588"/>
    <w:p>
      <w:pPr>
        <w:pStyle w:val="Heading1"/>
      </w:pPr>
      <w:r>
        <w:t xml:space="preserve">2. Presentation of qualitative data: claim, quotation, interpretation</w:t>
      </w:r>
    </w:p>
    <w:p>
      <w:pPr>
        <w:pStyle w:val="FirstParagraph"/>
      </w:pPr>
      <w:r>
        <w:t xml:space="preserve">Each quotation is now framed in three parts, as in interpretive description (Thorne, 2025) and as reviewers at leading nursing journals expect:</w:t>
      </w:r>
    </w:p>
    <w:p>
      <w:pPr>
        <w:pStyle w:val="Compact"/>
        <w:numPr>
          <w:ilvl w:val="0"/>
          <w:numId w:val="1002"/>
        </w:numPr>
      </w:pPr>
      <w:r>
        <w:rPr>
          <w:bCs/>
          <w:b/>
        </w:rPr>
        <w:t xml:space="preserve">Analytic claim:</w:t>
      </w:r>
      <w:r>
        <w:t xml:space="preserve"> </w:t>
      </w:r>
      <w:r>
        <w:t xml:space="preserve">a sentence stating the pattern.</w:t>
      </w:r>
    </w:p>
    <w:p>
      <w:pPr>
        <w:pStyle w:val="Compact"/>
        <w:numPr>
          <w:ilvl w:val="0"/>
          <w:numId w:val="1002"/>
        </w:numPr>
      </w:pPr>
      <w:r>
        <w:rPr>
          <w:bCs/>
          <w:b/>
        </w:rPr>
        <w:t xml:space="preserve">Quotation:</w:t>
      </w:r>
      <w:r>
        <w:t xml:space="preserve"> </w:t>
      </w:r>
      <w:r>
        <w:t xml:space="preserve">in italics, indented, with a code-only attribution (P05, H1) immediately after it.</w:t>
      </w:r>
    </w:p>
    <w:p>
      <w:pPr>
        <w:pStyle w:val="Compact"/>
        <w:numPr>
          <w:ilvl w:val="0"/>
          <w:numId w:val="1002"/>
        </w:numPr>
      </w:pPr>
      <w:r>
        <w:rPr>
          <w:bCs/>
          <w:b/>
        </w:rPr>
        <w:t xml:space="preserve">Interpretive commentary:</w:t>
      </w:r>
      <w:r>
        <w:t xml:space="preserve"> </w:t>
      </w:r>
      <w:r>
        <w:t xml:space="preserve">a sentence or two after the quotation explaining what it shows, how it relates to other accounts, or why it matters.</w:t>
      </w:r>
    </w:p>
    <w:p>
      <w:pPr>
        <w:pStyle w:val="FirstParagraph"/>
      </w:pPr>
      <w:r>
        <w:t xml:space="preserve">No subsection ends on a bare quotation; this was checked automatically for all 27 quotations. Attributions use participant and hospital codes only, because adding unit or experience would increase the risk of identification in a 38-person population. This is explained in Section 3.3, which also reports the spread of quotations: 21 of 23 participants, all six hospitals, 14 translated from Arabic.</w:t>
      </w:r>
    </w:p>
    <w:bookmarkEnd w:id="21"/>
    <w:bookmarkStart w:id="22" w:name="second-round-corrections"/>
    <w:p>
      <w:pPr>
        <w:pStyle w:val="Heading1"/>
      </w:pPr>
      <w:r>
        <w:t xml:space="preserve">3. Second-round corrections</w:t>
      </w:r>
    </w:p>
    <w:tbl>
      <w:tblPr>
        <w:tblStyle w:val="Table"/>
        <w:tblW w:type="pct" w:w="5000"/>
        <w:jc w:val="start"/>
        <w:tblLook w:firstRow="1" w:lastRow="0" w:firstColumn="0" w:lastColumn="0" w:noHBand="0" w:noVBand="0" w:val="0020"/>
      </w:tblPr>
      <w:tblGrid>
        <w:gridCol w:w="2640"/>
        <w:gridCol w:w="2640"/>
        <w:gridCol w:w="2640"/>
      </w:tblGrid>
      <w:tr>
        <w:trPr>
          <w:cantSplit/>
          <w:tblHeader w:val="true"/>
        </w:trPr>
        <w:tc>
          <w:tcPr/>
          <w:p>
            <w:pPr>
              <w:pStyle w:val="Compact"/>
              <w:jc w:val="left"/>
            </w:pPr>
            <w:r>
              <w:t xml:space="preserve">Concern raised</w:t>
            </w:r>
          </w:p>
        </w:tc>
        <w:tc>
          <w:tcPr/>
          <w:p>
            <w:pPr>
              <w:pStyle w:val="Compact"/>
              <w:jc w:val="left"/>
            </w:pPr>
            <w:r>
              <w:t xml:space="preserve">Correction made</w:t>
            </w:r>
          </w:p>
        </w:tc>
        <w:tc>
          <w:tcPr/>
          <w:p>
            <w:pPr>
              <w:pStyle w:val="Compact"/>
              <w:jc w:val="left"/>
            </w:pPr>
            <w:r>
              <w:t xml:space="preserve">Location</w:t>
            </w:r>
          </w:p>
        </w:tc>
      </w:tr>
      <w:tr>
        <w:trPr>
          <w:cantSplit/>
        </w:trPr>
        <w:tc>
          <w:tcPr/>
          <w:p>
            <w:pPr>
              <w:pStyle w:val="Compact"/>
              <w:jc w:val="left"/>
            </w:pPr>
            <w:r>
              <w:t xml:space="preserve">Figure implied that the 11 of 19 documentation requests belonged to the resource branch</w:t>
            </w:r>
          </w:p>
        </w:tc>
        <w:tc>
          <w:tcPr/>
          <w:p>
            <w:pPr>
              <w:pStyle w:val="Compact"/>
              <w:jc w:val="left"/>
            </w:pPr>
            <w:r>
              <w:t xml:space="preserve">The count moved to a separate</w:t>
            </w:r>
            <w:r>
              <w:t xml:space="preserve"> </w:t>
            </w:r>
            <w:r>
              <w:t xml:space="preserve">“</w:t>
            </w:r>
            <w:r>
              <w:t xml:space="preserve">Who obtains further information? (across both branches)</w:t>
            </w:r>
            <w:r>
              <w:t xml:space="preserve">”</w:t>
            </w:r>
            <w:r>
              <w:t xml:space="preserve"> </w:t>
            </w:r>
            <w:r>
              <w:t xml:space="preserve">panel; caption states the count spans all qualifying accounts</w:t>
            </w:r>
          </w:p>
        </w:tc>
        <w:tc>
          <w:tcPr/>
          <w:p>
            <w:pPr>
              <w:pStyle w:val="Compact"/>
              <w:jc w:val="left"/>
            </w:pPr>
            <w:r>
              <w:t xml:space="preserve">Figure 1; caption; Section 3.5.1</w:t>
            </w:r>
          </w:p>
        </w:tc>
      </w:tr>
      <w:tr>
        <w:trPr>
          <w:cantSplit/>
        </w:trPr>
        <w:tc>
          <w:tcPr/>
          <w:p>
            <w:pPr>
              <w:pStyle w:val="Compact"/>
              <w:jc w:val="left"/>
            </w:pPr>
            <w:r>
              <w:t xml:space="preserve">Pathways could be read as exclusive or sequential</w:t>
            </w:r>
          </w:p>
        </w:tc>
        <w:tc>
          <w:tcPr/>
          <w:p>
            <w:pPr>
              <w:pStyle w:val="Compact"/>
              <w:jc w:val="left"/>
            </w:pPr>
            <w:r>
              <w:t xml:space="preserve">Figure note and caption:</w:t>
            </w:r>
            <w:r>
              <w:t xml:space="preserve"> </w:t>
            </w:r>
            <w:r>
              <w:t xml:space="preserve">“</w:t>
            </w:r>
            <w:r>
              <w:t xml:space="preserve">Pathways are interpretive, non-exclusive and not necessarily sequential</w:t>
            </w:r>
            <w:r>
              <w:t xml:space="preserve">”</w:t>
            </w:r>
            <w:r>
              <w:t xml:space="preserve">; Sections 3.3 and 3.8 state the same</w:t>
            </w:r>
          </w:p>
        </w:tc>
        <w:tc>
          <w:tcPr/>
          <w:p>
            <w:pPr>
              <w:pStyle w:val="Compact"/>
              <w:jc w:val="left"/>
            </w:pPr>
            <w:r>
              <w:t xml:space="preserve">Figure 1; Sections 3.3, 3.8</w:t>
            </w:r>
          </w:p>
        </w:tc>
      </w:tr>
      <w:tr>
        <w:trPr>
          <w:cantSplit/>
        </w:trPr>
        <w:tc>
          <w:tcPr/>
          <w:p>
            <w:pPr>
              <w:pStyle w:val="Compact"/>
              <w:jc w:val="left"/>
            </w:pPr>
            <w:r>
              <w:t xml:space="preserve">“</w:t>
            </w:r>
            <w:r>
              <w:t xml:space="preserve">Assessment without prior evidence</w:t>
            </w:r>
            <w:r>
              <w:t xml:space="preserve">”</w:t>
            </w:r>
          </w:p>
        </w:tc>
        <w:tc>
          <w:tcPr/>
          <w:p>
            <w:pPr>
              <w:pStyle w:val="Compact"/>
              <w:jc w:val="left"/>
            </w:pPr>
            <w:r>
              <w:t xml:space="preserve">Replaced with</w:t>
            </w:r>
            <w:r>
              <w:t xml:space="preserve"> </w:t>
            </w:r>
            <w:r>
              <w:t xml:space="preserve">“</w:t>
            </w:r>
            <w:r>
              <w:t xml:space="preserve">assessment without requiring additional substantiation</w:t>
            </w:r>
            <w:r>
              <w:t xml:space="preserve">”</w:t>
            </w:r>
            <w:r>
              <w:t xml:space="preserve"> </w:t>
            </w:r>
            <w:r>
              <w:t xml:space="preserve">throughout; Section 3.5.4 now states that the nurse’s report was itself treated as sufficient grounds for inquiry</w:t>
            </w:r>
          </w:p>
        </w:tc>
        <w:tc>
          <w:tcPr/>
          <w:p>
            <w:pPr>
              <w:pStyle w:val="Compact"/>
              <w:jc w:val="left"/>
            </w:pPr>
            <w:r>
              <w:t xml:space="preserve">Abstract; Sections 3.5.4, 5; Table 2; Figure 1; Highlights; Cover letter</w:t>
            </w:r>
          </w:p>
        </w:tc>
      </w:tr>
      <w:tr>
        <w:trPr>
          <w:cantSplit/>
        </w:trPr>
        <w:tc>
          <w:tcPr/>
          <w:p>
            <w:pPr>
              <w:pStyle w:val="Compact"/>
              <w:jc w:val="left"/>
            </w:pPr>
            <w:r>
              <w:t xml:space="preserve">“</w:t>
            </w:r>
            <w:r>
              <w:t xml:space="preserve">Local action was faster</w:t>
            </w:r>
            <w:r>
              <w:t xml:space="preserve">”</w:t>
            </w:r>
          </w:p>
        </w:tc>
        <w:tc>
          <w:tcPr/>
          <w:p>
            <w:pPr>
              <w:pStyle w:val="Compact"/>
              <w:jc w:val="left"/>
            </w:pPr>
            <w:r>
              <w:t xml:space="preserve">“</w:t>
            </w:r>
            <w:r>
              <w:t xml:space="preserve">Managers described local action as faster than formal escalation</w:t>
            </w:r>
            <w:r>
              <w:t xml:space="preserve">”</w:t>
            </w:r>
          </w:p>
        </w:tc>
        <w:tc>
          <w:tcPr/>
          <w:p>
            <w:pPr>
              <w:pStyle w:val="Compact"/>
              <w:jc w:val="left"/>
            </w:pPr>
            <w:r>
              <w:t xml:space="preserve">Section 3.6.1; Table 2; Figure 1</w:t>
            </w:r>
          </w:p>
        </w:tc>
      </w:tr>
      <w:tr>
        <w:trPr>
          <w:cantSplit/>
        </w:trPr>
        <w:tc>
          <w:tcPr/>
          <w:p>
            <w:pPr>
              <w:pStyle w:val="Compact"/>
              <w:jc w:val="left"/>
            </w:pPr>
            <w:r>
              <w:t xml:space="preserve">Dashboard stability claim</w:t>
            </w:r>
          </w:p>
        </w:tc>
        <w:tc>
          <w:tcPr/>
          <w:p>
            <w:pPr>
              <w:pStyle w:val="Compact"/>
              <w:jc w:val="left"/>
            </w:pPr>
            <w:r>
              <w:t xml:space="preserve">Presented as</w:t>
            </w:r>
            <w:r>
              <w:t xml:space="preserve"> </w:t>
            </w:r>
            <w:r>
              <w:t xml:space="preserve">“</w:t>
            </w:r>
            <w:r>
              <w:t xml:space="preserve">one possible interpretation, which these data cannot test</w:t>
            </w:r>
            <w:r>
              <w:t xml:space="preserve">”</w:t>
            </w:r>
          </w:p>
        </w:tc>
        <w:tc>
          <w:tcPr/>
          <w:p>
            <w:pPr>
              <w:pStyle w:val="Compact"/>
              <w:jc w:val="left"/>
            </w:pPr>
            <w:r>
              <w:t xml:space="preserve">Section 4.3</w:t>
            </w:r>
          </w:p>
        </w:tc>
      </w:tr>
      <w:tr>
        <w:trPr>
          <w:cantSplit/>
        </w:trPr>
        <w:tc>
          <w:tcPr/>
          <w:p>
            <w:pPr>
              <w:pStyle w:val="Compact"/>
              <w:jc w:val="left"/>
            </w:pPr>
            <w:r>
              <w:t xml:space="preserve">“</w:t>
            </w:r>
            <w:r>
              <w:t xml:space="preserve">The framework supports</w:t>
            </w:r>
            <w:r>
              <w:t xml:space="preserve">”</w:t>
            </w:r>
          </w:p>
        </w:tc>
        <w:tc>
          <w:tcPr/>
          <w:p>
            <w:pPr>
              <w:pStyle w:val="Compact"/>
              <w:jc w:val="left"/>
            </w:pPr>
            <w:r>
              <w:t xml:space="preserve">“</w:t>
            </w:r>
            <w:r>
              <w:t xml:space="preserve">The proposed framework offers questions for proportionate inquiry</w:t>
            </w:r>
            <w:r>
              <w:t xml:space="preserve">”</w:t>
            </w:r>
          </w:p>
        </w:tc>
        <w:tc>
          <w:tcPr/>
          <w:p>
            <w:pPr>
              <w:pStyle w:val="Compact"/>
              <w:jc w:val="left"/>
            </w:pPr>
            <w:r>
              <w:t xml:space="preserve">Section 5</w:t>
            </w:r>
          </w:p>
        </w:tc>
      </w:tr>
      <w:tr>
        <w:trPr>
          <w:cantSplit/>
        </w:trPr>
        <w:tc>
          <w:tcPr/>
          <w:p>
            <w:pPr>
              <w:pStyle w:val="Compact"/>
              <w:jc w:val="left"/>
            </w:pPr>
            <w:r>
              <w:t xml:space="preserve">Novelty claim too categorical</w:t>
            </w:r>
          </w:p>
        </w:tc>
        <w:tc>
          <w:tcPr/>
          <w:p>
            <w:pPr>
              <w:pStyle w:val="Compact"/>
              <w:jc w:val="left"/>
            </w:pPr>
            <w:r>
              <w:t xml:space="preserve">“</w:t>
            </w:r>
            <w:r>
              <w:t xml:space="preserve">…remains insufficiently understood, in Saudi Arabia and elsewhere</w:t>
            </w:r>
            <w:r>
              <w:t xml:space="preserve">”</w:t>
            </w:r>
            <w:r>
              <w:t xml:space="preserve">; Introduction paragraph 2 now acknowledges what prior studies show</w:t>
            </w:r>
          </w:p>
        </w:tc>
        <w:tc>
          <w:tcPr/>
          <w:p>
            <w:pPr>
              <w:pStyle w:val="Compact"/>
              <w:jc w:val="left"/>
            </w:pPr>
            <w:r>
              <w:t xml:space="preserve">Abstract; Introduction; Cover letter</w:t>
            </w:r>
          </w:p>
        </w:tc>
      </w:tr>
      <w:tr>
        <w:trPr>
          <w:cantSplit/>
        </w:trPr>
        <w:tc>
          <w:tcPr/>
          <w:p>
            <w:pPr>
              <w:pStyle w:val="Compact"/>
              <w:jc w:val="left"/>
            </w:pPr>
            <w:r>
              <w:t xml:space="preserve">Fricker interpretation</w:t>
            </w:r>
          </w:p>
        </w:tc>
        <w:tc>
          <w:tcPr/>
          <w:p>
            <w:pPr>
              <w:pStyle w:val="Compact"/>
              <w:jc w:val="left"/>
            </w:pPr>
            <w:r>
              <w:t xml:space="preserve">Testimonial injustice defined as a credibility deficit arising from identity prejudice; the text states that differences in trust or familiarity do not establish prejudicial discounting and that the study did not examine this; retained only as a cautious lens</w:t>
            </w:r>
          </w:p>
        </w:tc>
        <w:tc>
          <w:tcPr/>
          <w:p>
            <w:pPr>
              <w:pStyle w:val="Compact"/>
              <w:jc w:val="left"/>
            </w:pPr>
            <w:r>
              <w:t xml:space="preserve">Section 4.2</w:t>
            </w:r>
          </w:p>
        </w:tc>
      </w:tr>
      <w:tr>
        <w:trPr>
          <w:cantSplit/>
        </w:trPr>
        <w:tc>
          <w:tcPr/>
          <w:p>
            <w:pPr>
              <w:pStyle w:val="Compact"/>
              <w:jc w:val="left"/>
            </w:pPr>
            <w:r>
              <w:t xml:space="preserve">Last Modified By metadata</w:t>
            </w:r>
          </w:p>
        </w:tc>
        <w:tc>
          <w:tcPr/>
          <w:p>
            <w:pPr>
              <w:pStyle w:val="Compact"/>
              <w:jc w:val="left"/>
            </w:pPr>
            <w:r>
              <w:t xml:space="preserve">All personal metadata removed and Word’s remove-personal-information-on-save setting applied to every file</w:t>
            </w:r>
          </w:p>
        </w:tc>
        <w:tc>
          <w:tcPr/>
          <w:p>
            <w:pPr>
              <w:pStyle w:val="Compact"/>
              <w:jc w:val="left"/>
            </w:pPr>
            <w:r>
              <w:t xml:space="preserve">All .docx files</w:t>
            </w:r>
          </w:p>
        </w:tc>
      </w:tr>
      <w:tr>
        <w:trPr>
          <w:cantSplit/>
        </w:trPr>
        <w:tc>
          <w:tcPr/>
          <w:p>
            <w:pPr>
              <w:pStyle w:val="Compact"/>
              <w:jc w:val="left"/>
            </w:pPr>
            <w:r>
              <w:t xml:space="preserve">Table 1 column header</w:t>
            </w:r>
          </w:p>
        </w:tc>
        <w:tc>
          <w:tcPr/>
          <w:p>
            <w:pPr>
              <w:pStyle w:val="Compact"/>
              <w:jc w:val="left"/>
            </w:pPr>
            <w:r>
              <w:t xml:space="preserve">“</w:t>
            </w:r>
            <w:r>
              <w:t xml:space="preserve">n (%)</w:t>
            </w:r>
            <w:r>
              <w:t xml:space="preserve">”</w:t>
            </w:r>
            <w:r>
              <w:t xml:space="preserve"> </w:t>
            </w:r>
            <w:r>
              <w:t xml:space="preserve">changed to</w:t>
            </w:r>
            <w:r>
              <w:t xml:space="preserve"> </w:t>
            </w:r>
            <w:r>
              <w:t xml:space="preserve">“</w:t>
            </w:r>
            <w:r>
              <w:t xml:space="preserve">Value</w:t>
            </w:r>
            <w:r>
              <w:t xml:space="preserve">”</w:t>
            </w:r>
          </w:p>
        </w:tc>
        <w:tc>
          <w:tcPr/>
          <w:p>
            <w:pPr>
              <w:pStyle w:val="Compact"/>
              <w:jc w:val="left"/>
            </w:pPr>
            <w:r>
              <w:t xml:space="preserve">Table 1</w:t>
            </w:r>
          </w:p>
        </w:tc>
      </w:tr>
      <w:tr>
        <w:trPr>
          <w:cantSplit/>
        </w:trPr>
        <w:tc>
          <w:tcPr/>
          <w:p>
            <w:pPr>
              <w:pStyle w:val="Compact"/>
              <w:jc w:val="left"/>
            </w:pPr>
            <w:r>
              <w:t xml:space="preserve">Table 1 footnote</w:t>
            </w:r>
          </w:p>
        </w:tc>
        <w:tc>
          <w:tcPr/>
          <w:p>
            <w:pPr>
              <w:pStyle w:val="Compact"/>
              <w:jc w:val="left"/>
            </w:pPr>
            <w:r>
              <w:t xml:space="preserve">“</w:t>
            </w:r>
            <w:r>
              <w:t xml:space="preserve">Selected demographic categories were combined</w:t>
            </w:r>
            <w:r>
              <w:t xml:space="preserve">”</w:t>
            </w:r>
            <w:r>
              <w:t xml:space="preserve">; notes that unit type is reported in full because quotations are not attributed by unit. Matching wording in Supplementary Files 2 and 3</w:t>
            </w:r>
          </w:p>
        </w:tc>
        <w:tc>
          <w:tcPr/>
          <w:p>
            <w:pPr>
              <w:pStyle w:val="Compact"/>
              <w:jc w:val="left"/>
            </w:pPr>
            <w:r>
              <w:t xml:space="preserve">Table 1; Supplementary Files 2 and 3</w:t>
            </w:r>
          </w:p>
        </w:tc>
      </w:tr>
      <w:tr>
        <w:trPr>
          <w:cantSplit/>
        </w:trPr>
        <w:tc>
          <w:tcPr/>
          <w:p>
            <w:pPr>
              <w:pStyle w:val="Compact"/>
              <w:jc w:val="left"/>
            </w:pPr>
            <w:r>
              <w:t xml:space="preserve">Table 2 row splitting</w:t>
            </w:r>
          </w:p>
        </w:tc>
        <w:tc>
          <w:tcPr/>
          <w:p>
            <w:pPr>
              <w:pStyle w:val="Compact"/>
              <w:jc w:val="left"/>
            </w:pPr>
            <w:r>
              <w:t xml:space="preserve">Rows cannot split across pages; header row repeats; theme cells merged vertically</w:t>
            </w:r>
          </w:p>
        </w:tc>
        <w:tc>
          <w:tcPr/>
          <w:p>
            <w:pPr>
              <w:pStyle w:val="Compact"/>
              <w:jc w:val="left"/>
            </w:pPr>
            <w:r>
              <w:t xml:space="preserve">Table 2 (also applied to Tables 1 and 3)</w:t>
            </w:r>
          </w:p>
        </w:tc>
      </w:tr>
      <w:tr>
        <w:trPr>
          <w:cantSplit/>
        </w:trPr>
        <w:tc>
          <w:tcPr/>
          <w:p>
            <w:pPr>
              <w:pStyle w:val="Compact"/>
              <w:jc w:val="left"/>
            </w:pPr>
            <w:r>
              <w:t xml:space="preserve">SRQR S4 location</w:t>
            </w:r>
          </w:p>
        </w:tc>
        <w:tc>
          <w:tcPr/>
          <w:p>
            <w:pPr>
              <w:pStyle w:val="Compact"/>
              <w:jc w:val="left"/>
            </w:pPr>
            <w:r>
              <w:t xml:space="preserve">“</w:t>
            </w:r>
            <w:r>
              <w:t xml:space="preserve">1.1–1.2</w:t>
            </w:r>
            <w:r>
              <w:t xml:space="preserve">”</w:t>
            </w:r>
            <w:r>
              <w:t xml:space="preserve"> </w:t>
            </w:r>
            <w:r>
              <w:t xml:space="preserve">changed to</w:t>
            </w:r>
            <w:r>
              <w:t xml:space="preserve"> </w:t>
            </w:r>
            <w:r>
              <w:t xml:space="preserve">“</w:t>
            </w:r>
            <w:r>
              <w:t xml:space="preserve">1.1</w:t>
            </w:r>
            <w:r>
              <w:t xml:space="preserve">”</w:t>
            </w:r>
          </w:p>
        </w:tc>
        <w:tc>
          <w:tcPr/>
          <w:p>
            <w:pPr>
              <w:pStyle w:val="Compact"/>
              <w:jc w:val="left"/>
            </w:pPr>
            <w:r>
              <w:t xml:space="preserve">Supplementary File 2</w:t>
            </w:r>
          </w:p>
        </w:tc>
      </w:tr>
    </w:tbl>
    <w:bookmarkEnd w:id="22"/>
    <w:bookmarkStart w:id="23" w:name="X15a20231ab96bf30e5241d0aa0741978dd47f49"/>
    <w:p>
      <w:pPr>
        <w:pStyle w:val="Heading1"/>
      </w:pPr>
      <w:r>
        <w:t xml:space="preserve">4. Essential content restored or added for peer review</w:t>
      </w:r>
    </w:p>
    <w:p>
      <w:pPr>
        <w:pStyle w:val="Compact"/>
        <w:numPr>
          <w:ilvl w:val="0"/>
          <w:numId w:val="1003"/>
        </w:numPr>
      </w:pPr>
      <w:r>
        <w:rPr>
          <w:bCs/>
          <w:b/>
        </w:rPr>
        <w:t xml:space="preserve">Setting:</w:t>
      </w:r>
      <w:r>
        <w:t xml:space="preserve"> </w:t>
      </w:r>
      <w:r>
        <w:t xml:space="preserve">named accreditation body (Saudi Central Board for Accreditation of Healthcare Institutions); two tertiary and four secondary hospitals; three to five participants per hospital.</w:t>
      </w:r>
    </w:p>
    <w:p>
      <w:pPr>
        <w:pStyle w:val="Compact"/>
        <w:numPr>
          <w:ilvl w:val="0"/>
          <w:numId w:val="1003"/>
        </w:numPr>
      </w:pPr>
      <w:r>
        <w:rPr>
          <w:bCs/>
          <w:b/>
        </w:rPr>
        <w:t xml:space="preserve">Sampling:</w:t>
      </w:r>
      <w:r>
        <w:t xml:space="preserve"> </w:t>
      </w:r>
      <w:r>
        <w:t xml:space="preserve">the plan did not require every hospital–unit combination; the dimensions guided diversity rather than subgroup comparison.</w:t>
      </w:r>
    </w:p>
    <w:p>
      <w:pPr>
        <w:pStyle w:val="Compact"/>
        <w:numPr>
          <w:ilvl w:val="0"/>
          <w:numId w:val="1003"/>
        </w:numPr>
      </w:pPr>
      <w:r>
        <w:rPr>
          <w:bCs/>
          <w:b/>
        </w:rPr>
        <w:t xml:space="preserve">Recruitment and consent:</w:t>
      </w:r>
      <w:r>
        <w:t xml:space="preserve"> </w:t>
      </w:r>
      <w:r>
        <w:t xml:space="preserve">administrative permission from the directorate and each hospital; rooms booked under a generic title; off-site and video options (off-site not used); the right to decline questions or stop.</w:t>
      </w:r>
    </w:p>
    <w:p>
      <w:pPr>
        <w:pStyle w:val="Compact"/>
        <w:numPr>
          <w:ilvl w:val="0"/>
          <w:numId w:val="1003"/>
        </w:numPr>
      </w:pPr>
      <w:r>
        <w:rPr>
          <w:bCs/>
          <w:b/>
        </w:rPr>
        <w:t xml:space="preserve">Data collection:</w:t>
      </w:r>
      <w:r>
        <w:t xml:space="preserve"> </w:t>
      </w:r>
      <w:r>
        <w:t xml:space="preserve">pilot timing and setting; dates of guide refinements; video interviews recorded as audio only; participants asked not to name others; structured field-note template.</w:t>
      </w:r>
    </w:p>
    <w:p>
      <w:pPr>
        <w:pStyle w:val="Compact"/>
        <w:numPr>
          <w:ilvl w:val="0"/>
          <w:numId w:val="1003"/>
        </w:numPr>
      </w:pPr>
      <w:r>
        <w:rPr>
          <w:bCs/>
          <w:b/>
        </w:rPr>
        <w:t xml:space="preserve">Data management:</w:t>
      </w:r>
      <w:r>
        <w:t xml:space="preserve"> </w:t>
      </w:r>
      <w:r>
        <w:t xml:space="preserve">access by role, deletion of audio after verification, what the translation checker and auditor received, and retention periods.</w:t>
      </w:r>
    </w:p>
    <w:p>
      <w:pPr>
        <w:pStyle w:val="Compact"/>
        <w:numPr>
          <w:ilvl w:val="0"/>
          <w:numId w:val="1003"/>
        </w:numPr>
      </w:pPr>
      <w:r>
        <w:rPr>
          <w:bCs/>
          <w:b/>
        </w:rPr>
        <w:t xml:space="preserve">Analysis:</w:t>
      </w:r>
      <w:r>
        <w:t xml:space="preserve"> </w:t>
      </w:r>
      <w:r>
        <w:t xml:space="preserve">five explicit phases (familiarisation; initial coding; classification of accounts; comparison and challenge; interpretation), with the rationale for not calculating inter-coder reliability.</w:t>
      </w:r>
    </w:p>
    <w:p>
      <w:pPr>
        <w:pStyle w:val="Compact"/>
        <w:numPr>
          <w:ilvl w:val="0"/>
          <w:numId w:val="1003"/>
        </w:numPr>
      </w:pPr>
      <w:r>
        <w:rPr>
          <w:bCs/>
          <w:b/>
        </w:rPr>
        <w:t xml:space="preserve">Rigour:</w:t>
      </w:r>
      <w:r>
        <w:t xml:space="preserve"> </w:t>
      </w:r>
      <w:r>
        <w:t xml:space="preserve">Thorne’s four criteria each linked to concrete procedures; the member-reflection process (two-page bilingual summary, three-week window, 10 responses).</w:t>
      </w:r>
    </w:p>
    <w:p>
      <w:pPr>
        <w:pStyle w:val="Compact"/>
        <w:numPr>
          <w:ilvl w:val="0"/>
          <w:numId w:val="1003"/>
        </w:numPr>
      </w:pPr>
      <w:r>
        <w:rPr>
          <w:bCs/>
          <w:b/>
        </w:rPr>
        <w:t xml:space="preserve">Ethics:</w:t>
      </w:r>
      <w:r>
        <w:t xml:space="preserve"> </w:t>
      </w:r>
      <w:r>
        <w:t xml:space="preserve">scope of the approval, the support-service provision and aggregation of small categories.</w:t>
      </w:r>
    </w:p>
    <w:p>
      <w:pPr>
        <w:pStyle w:val="Compact"/>
        <w:numPr>
          <w:ilvl w:val="0"/>
          <w:numId w:val="1003"/>
        </w:numPr>
      </w:pPr>
      <w:r>
        <w:rPr>
          <w:bCs/>
          <w:b/>
        </w:rPr>
        <w:t xml:space="preserve">Results:</w:t>
      </w:r>
      <w:r>
        <w:t xml:space="preserve"> </w:t>
      </w:r>
      <w:r>
        <w:t xml:space="preserve">spread of quotations across participants and hospitals; explicit statement that a single account could contribute to more than one theme.</w:t>
      </w:r>
    </w:p>
    <w:p>
      <w:pPr>
        <w:pStyle w:val="Compact"/>
        <w:numPr>
          <w:ilvl w:val="0"/>
          <w:numId w:val="1003"/>
        </w:numPr>
      </w:pPr>
      <w:r>
        <w:rPr>
          <w:bCs/>
          <w:b/>
        </w:rPr>
        <w:t xml:space="preserve">Limitations:</w:t>
      </w:r>
      <w:r>
        <w:t xml:space="preserve"> </w:t>
      </w:r>
      <w:r>
        <w:t xml:space="preserve">possible under-reporting of concerns that were not pursued.</w:t>
      </w:r>
    </w:p>
    <w:bookmarkEnd w:id="23"/>
    <w:bookmarkStart w:id="24" w:name="verification-performed"/>
    <w:p>
      <w:pPr>
        <w:pStyle w:val="Heading1"/>
      </w:pPr>
      <w:r>
        <w:t xml:space="preserve">5. Verification performed</w:t>
      </w:r>
    </w:p>
    <w:p>
      <w:pPr>
        <w:pStyle w:val="Compact"/>
        <w:numPr>
          <w:ilvl w:val="0"/>
          <w:numId w:val="1004"/>
        </w:numPr>
      </w:pPr>
      <w:r>
        <w:t xml:space="preserve">All 27 participant quotations were checked automatically against the original manuscript: word-for-word identical.</w:t>
      </w:r>
    </w:p>
    <w:p>
      <w:pPr>
        <w:pStyle w:val="Compact"/>
        <w:numPr>
          <w:ilvl w:val="0"/>
          <w:numId w:val="1004"/>
        </w:numPr>
      </w:pPr>
      <w:r>
        <w:t xml:space="preserve">Every in-text citation matches the reference list (44 references), and the 2025–2026 references were spot-checked against a bibliographic database.</w:t>
      </w:r>
    </w:p>
    <w:p>
      <w:pPr>
        <w:pStyle w:val="Compact"/>
        <w:numPr>
          <w:ilvl w:val="0"/>
          <w:numId w:val="1004"/>
        </w:numPr>
      </w:pPr>
      <w:r>
        <w:t xml:space="preserve">Key figures were cross-checked across all files: 38 eligible, 29 volunteers, 23 interviewed, 19 qualifying, 15 of 19, 11 of 19, 14 Arabic and 9 English interviews, 18 face to face and 5 by video, 42–81 minutes, 10 member reflections, approval No. 9804 of 26 December 2025.</w:t>
      </w:r>
    </w:p>
    <w:p>
      <w:pPr>
        <w:pStyle w:val="Compact"/>
        <w:numPr>
          <w:ilvl w:val="0"/>
          <w:numId w:val="1004"/>
        </w:numPr>
      </w:pPr>
      <w:r>
        <w:t xml:space="preserve">All Word files pass Office Open XML schema validation; each file was rendered and visually inspected.</w:t>
      </w:r>
    </w:p>
    <w:bookmarkEnd w:id="24"/>
    <w:bookmarkStart w:id="25" w:name="submission-file-list"/>
    <w:p>
      <w:pPr>
        <w:pStyle w:val="Heading1"/>
      </w:pPr>
      <w:r>
        <w:t xml:space="preserve">6. Submission file list</w:t>
      </w:r>
    </w:p>
    <w:tbl>
      <w:tblPr>
        <w:tblStyle w:val="Table"/>
        <w:tblW w:type="pct" w:w="5000"/>
        <w:jc w:val="start"/>
        <w:tblLook w:firstRow="1" w:lastRow="0" w:firstColumn="0" w:lastColumn="0" w:noHBand="0" w:noVBand="0" w:val="0020"/>
      </w:tblPr>
      <w:tblGrid>
        <w:gridCol w:w="2640"/>
        <w:gridCol w:w="2640"/>
        <w:gridCol w:w="2640"/>
      </w:tblGrid>
      <w:tr>
        <w:trPr>
          <w:cantSplit/>
          <w:tblHeader w:val="true"/>
        </w:trPr>
        <w:tc>
          <w:tcPr/>
          <w:p>
            <w:pPr>
              <w:pStyle w:val="Compact"/>
              <w:jc w:val="left"/>
            </w:pPr>
            <w:r>
              <w:t xml:space="preserve">No.</w:t>
            </w:r>
          </w:p>
        </w:tc>
        <w:tc>
          <w:tcPr/>
          <w:p>
            <w:pPr>
              <w:pStyle w:val="Compact"/>
              <w:jc w:val="left"/>
            </w:pPr>
            <w:r>
              <w:t xml:space="preserve">File</w:t>
            </w:r>
          </w:p>
        </w:tc>
        <w:tc>
          <w:tcPr/>
          <w:p>
            <w:pPr>
              <w:pStyle w:val="Compact"/>
              <w:jc w:val="left"/>
            </w:pPr>
            <w:r>
              <w:t xml:space="preserve">Upload as</w:t>
            </w:r>
          </w:p>
        </w:tc>
      </w:tr>
      <w:tr>
        <w:trPr>
          <w:cantSplit/>
        </w:trPr>
        <w:tc>
          <w:tcPr/>
          <w:p>
            <w:pPr>
              <w:pStyle w:val="Compact"/>
              <w:jc w:val="left"/>
            </w:pPr>
            <w:r>
              <w:t xml:space="preserve">01</w:t>
            </w:r>
          </w:p>
        </w:tc>
        <w:tc>
          <w:tcPr/>
          <w:p>
            <w:pPr>
              <w:pStyle w:val="Compact"/>
              <w:jc w:val="left"/>
            </w:pPr>
            <w:r>
              <w:t xml:space="preserve">01_Cover_Letter.docx</w:t>
            </w:r>
          </w:p>
        </w:tc>
        <w:tc>
          <w:tcPr/>
          <w:p>
            <w:pPr>
              <w:pStyle w:val="Compact"/>
              <w:jc w:val="left"/>
            </w:pPr>
            <w:r>
              <w:t xml:space="preserve">Cover letter</w:t>
            </w:r>
          </w:p>
        </w:tc>
      </w:tr>
      <w:tr>
        <w:trPr>
          <w:cantSplit/>
        </w:trPr>
        <w:tc>
          <w:tcPr/>
          <w:p>
            <w:pPr>
              <w:pStyle w:val="Compact"/>
              <w:jc w:val="left"/>
            </w:pPr>
            <w:r>
              <w:t xml:space="preserve">02</w:t>
            </w:r>
          </w:p>
        </w:tc>
        <w:tc>
          <w:tcPr/>
          <w:p>
            <w:pPr>
              <w:pStyle w:val="Compact"/>
              <w:jc w:val="left"/>
            </w:pPr>
            <w:r>
              <w:t xml:space="preserve">02_Title_Page.docx</w:t>
            </w:r>
          </w:p>
        </w:tc>
        <w:tc>
          <w:tcPr/>
          <w:p>
            <w:pPr>
              <w:pStyle w:val="Compact"/>
              <w:jc w:val="left"/>
            </w:pPr>
            <w:r>
              <w:t xml:space="preserve">Title page (with author details)</w:t>
            </w:r>
          </w:p>
        </w:tc>
      </w:tr>
      <w:tr>
        <w:trPr>
          <w:cantSplit/>
        </w:trPr>
        <w:tc>
          <w:tcPr/>
          <w:p>
            <w:pPr>
              <w:pStyle w:val="Compact"/>
              <w:jc w:val="left"/>
            </w:pPr>
            <w:r>
              <w:t xml:space="preserve">03</w:t>
            </w:r>
          </w:p>
        </w:tc>
        <w:tc>
          <w:tcPr/>
          <w:p>
            <w:pPr>
              <w:pStyle w:val="Compact"/>
              <w:jc w:val="left"/>
            </w:pPr>
            <w:r>
              <w:t xml:space="preserve">03_Highlights.docx</w:t>
            </w:r>
          </w:p>
        </w:tc>
        <w:tc>
          <w:tcPr/>
          <w:p>
            <w:pPr>
              <w:pStyle w:val="Compact"/>
              <w:jc w:val="left"/>
            </w:pPr>
            <w:r>
              <w:t xml:space="preserve">Highlights</w:t>
            </w:r>
          </w:p>
        </w:tc>
      </w:tr>
      <w:tr>
        <w:trPr>
          <w:cantSplit/>
        </w:trPr>
        <w:tc>
          <w:tcPr/>
          <w:p>
            <w:pPr>
              <w:pStyle w:val="Compact"/>
              <w:jc w:val="left"/>
            </w:pPr>
            <w:r>
              <w:t xml:space="preserve">04</w:t>
            </w:r>
          </w:p>
        </w:tc>
        <w:tc>
          <w:tcPr/>
          <w:p>
            <w:pPr>
              <w:pStyle w:val="Compact"/>
              <w:jc w:val="left"/>
            </w:pPr>
            <w:r>
              <w:t xml:space="preserve">04_Manuscript_Anonymised.docx</w:t>
            </w:r>
          </w:p>
        </w:tc>
        <w:tc>
          <w:tcPr/>
          <w:p>
            <w:pPr>
              <w:pStyle w:val="Compact"/>
              <w:jc w:val="left"/>
            </w:pPr>
            <w:r>
              <w:t xml:space="preserve">Manuscript (no author details)</w:t>
            </w:r>
          </w:p>
        </w:tc>
      </w:tr>
      <w:tr>
        <w:trPr>
          <w:cantSplit/>
        </w:trPr>
        <w:tc>
          <w:tcPr/>
          <w:p>
            <w:pPr>
              <w:pStyle w:val="Compact"/>
              <w:jc w:val="left"/>
            </w:pPr>
            <w:r>
              <w:t xml:space="preserve">05</w:t>
            </w:r>
          </w:p>
        </w:tc>
        <w:tc>
          <w:tcPr/>
          <w:p>
            <w:pPr>
              <w:pStyle w:val="Compact"/>
              <w:jc w:val="left"/>
            </w:pPr>
            <w:r>
              <w:t xml:space="preserve">05_Table_1_Participant_Characteristics.docx</w:t>
            </w:r>
          </w:p>
        </w:tc>
        <w:tc>
          <w:tcPr/>
          <w:p>
            <w:pPr>
              <w:pStyle w:val="Compact"/>
              <w:jc w:val="left"/>
            </w:pPr>
            <w:r>
              <w:t xml:space="preserve">Table</w:t>
            </w:r>
          </w:p>
        </w:tc>
      </w:tr>
      <w:tr>
        <w:trPr>
          <w:cantSplit/>
        </w:trPr>
        <w:tc>
          <w:tcPr/>
          <w:p>
            <w:pPr>
              <w:pStyle w:val="Compact"/>
              <w:jc w:val="left"/>
            </w:pPr>
            <w:r>
              <w:t xml:space="preserve">06</w:t>
            </w:r>
          </w:p>
        </w:tc>
        <w:tc>
          <w:tcPr/>
          <w:p>
            <w:pPr>
              <w:pStyle w:val="Compact"/>
              <w:jc w:val="left"/>
            </w:pPr>
            <w:r>
              <w:t xml:space="preserve">06_Table_2_Themes_and_Objectives.docx</w:t>
            </w:r>
          </w:p>
        </w:tc>
        <w:tc>
          <w:tcPr/>
          <w:p>
            <w:pPr>
              <w:pStyle w:val="Compact"/>
              <w:jc w:val="left"/>
            </w:pPr>
            <w:r>
              <w:t xml:space="preserve">Table</w:t>
            </w:r>
          </w:p>
        </w:tc>
      </w:tr>
      <w:tr>
        <w:trPr>
          <w:cantSplit/>
        </w:trPr>
        <w:tc>
          <w:tcPr/>
          <w:p>
            <w:pPr>
              <w:pStyle w:val="Compact"/>
              <w:jc w:val="left"/>
            </w:pPr>
            <w:r>
              <w:t xml:space="preserve">07</w:t>
            </w:r>
          </w:p>
        </w:tc>
        <w:tc>
          <w:tcPr/>
          <w:p>
            <w:pPr>
              <w:pStyle w:val="Compact"/>
              <w:jc w:val="left"/>
            </w:pPr>
            <w:r>
              <w:t xml:space="preserve">07_Table_3_Proposed_Practice_Framework.docx</w:t>
            </w:r>
          </w:p>
        </w:tc>
        <w:tc>
          <w:tcPr/>
          <w:p>
            <w:pPr>
              <w:pStyle w:val="Compact"/>
              <w:jc w:val="left"/>
            </w:pPr>
            <w:r>
              <w:t xml:space="preserve">Table</w:t>
            </w:r>
          </w:p>
        </w:tc>
      </w:tr>
      <w:tr>
        <w:trPr>
          <w:cantSplit/>
        </w:trPr>
        <w:tc>
          <w:tcPr/>
          <w:p>
            <w:pPr>
              <w:pStyle w:val="Compact"/>
              <w:jc w:val="left"/>
            </w:pPr>
            <w:r>
              <w:t xml:space="preserve">08</w:t>
            </w:r>
          </w:p>
        </w:tc>
        <w:tc>
          <w:tcPr/>
          <w:p>
            <w:pPr>
              <w:pStyle w:val="Compact"/>
              <w:jc w:val="left"/>
            </w:pPr>
            <w:r>
              <w:t xml:space="preserve">08_Figure_1.pdf or 08_Figure_1.tiff</w:t>
            </w:r>
          </w:p>
        </w:tc>
        <w:tc>
          <w:tcPr/>
          <w:p>
            <w:pPr>
              <w:pStyle w:val="Compact"/>
              <w:jc w:val="left"/>
            </w:pPr>
            <w:r>
              <w:t xml:space="preserve">Figure (upload one; the PDF is vector)</w:t>
            </w:r>
          </w:p>
        </w:tc>
      </w:tr>
      <w:tr>
        <w:trPr>
          <w:cantSplit/>
        </w:trPr>
        <w:tc>
          <w:tcPr/>
          <w:p>
            <w:pPr>
              <w:pStyle w:val="Compact"/>
              <w:jc w:val="left"/>
            </w:pPr>
            <w:r>
              <w:t xml:space="preserve">09</w:t>
            </w:r>
          </w:p>
        </w:tc>
        <w:tc>
          <w:tcPr/>
          <w:p>
            <w:pPr>
              <w:pStyle w:val="Compact"/>
              <w:jc w:val="left"/>
            </w:pPr>
            <w:r>
              <w:t xml:space="preserve">09_Supplementary_File_1_Interview_Guide.docx</w:t>
            </w:r>
          </w:p>
        </w:tc>
        <w:tc>
          <w:tcPr/>
          <w:p>
            <w:pPr>
              <w:pStyle w:val="Compact"/>
              <w:jc w:val="left"/>
            </w:pPr>
            <w:r>
              <w:t xml:space="preserve">Supplementary material</w:t>
            </w:r>
          </w:p>
        </w:tc>
      </w:tr>
      <w:tr>
        <w:trPr>
          <w:cantSplit/>
        </w:trPr>
        <w:tc>
          <w:tcPr/>
          <w:p>
            <w:pPr>
              <w:pStyle w:val="Compact"/>
              <w:jc w:val="left"/>
            </w:pPr>
            <w:r>
              <w:t xml:space="preserve">10</w:t>
            </w:r>
          </w:p>
        </w:tc>
        <w:tc>
          <w:tcPr/>
          <w:p>
            <w:pPr>
              <w:pStyle w:val="Compact"/>
              <w:jc w:val="left"/>
            </w:pPr>
            <w:r>
              <w:t xml:space="preserve">10_Supplementary_File_2_SRQR_COREQ.docx</w:t>
            </w:r>
          </w:p>
        </w:tc>
        <w:tc>
          <w:tcPr/>
          <w:p>
            <w:pPr>
              <w:pStyle w:val="Compact"/>
              <w:jc w:val="left"/>
            </w:pPr>
            <w:r>
              <w:t xml:space="preserve">Supplementary material</w:t>
            </w:r>
          </w:p>
        </w:tc>
      </w:tr>
      <w:tr>
        <w:trPr>
          <w:cantSplit/>
        </w:trPr>
        <w:tc>
          <w:tcPr/>
          <w:p>
            <w:pPr>
              <w:pStyle w:val="Compact"/>
              <w:jc w:val="left"/>
            </w:pPr>
            <w:r>
              <w:t xml:space="preserve">11</w:t>
            </w:r>
          </w:p>
        </w:tc>
        <w:tc>
          <w:tcPr/>
          <w:p>
            <w:pPr>
              <w:pStyle w:val="Compact"/>
              <w:jc w:val="left"/>
            </w:pPr>
            <w:r>
              <w:t xml:space="preserve">11_Supplementary_File_3_Eligibility_Data_Management_Ethics.docx</w:t>
            </w:r>
          </w:p>
        </w:tc>
        <w:tc>
          <w:tcPr/>
          <w:p>
            <w:pPr>
              <w:pStyle w:val="Compact"/>
              <w:jc w:val="left"/>
            </w:pPr>
            <w:r>
              <w:t xml:space="preserve">Supplementary material</w:t>
            </w:r>
          </w:p>
        </w:tc>
      </w:tr>
    </w:tbl>
    <w:bookmarkEnd w:id="25"/>
    <w:sectPr>
      <w:footerReference w:type="default" r:id="rIdFtr1"/>
      <w:pgSz w:w="12240" w:h="15840"/>
      <w:pgMar w:top="1440" w:right="1440" w:bottom="1440" w:left="1440" w:header="720" w:footer="576" w:gutter="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w:p>
    <w:pPr>
      <w:suppressLineNumbers/>
      <w:spacing w:line="240" w:lineRule="auto"/>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w="http://schemas.openxmlformats.org/wordprocessingml/2006/main">
  <w:zoom w:percent="100"/>
  <w:removePersonalInformation/>
  <w:removeDateAndTime/>
  <w:proofState w:spelling="clean" w:grammar="clean"/>
  <w:defaultTabStop w:val="720"/>
  <w:characterSpacingControl w:val="doNotCompress"/>
  <w:footnotePr>
    <w:footnote w:id="-1"/>
    <w:footnote w:id="0"/>
  </w:footnotePr>
  <w:compat>
    <w:compatSetting w:name="compatibilityMode" w:uri="http://schemas.microsoft.com/office/word" w:val="15"/>
  </w:compat>
  <w:themeFontLang w:val="en-GB"/>
</w:settings>
</file>

<file path=word/styles.xml><?xml version="1.0" encoding="utf-8"?>
<w:styles xmlns:w="http://schemas.openxmlformats.org/wordprocessingml/2006/main" xmlns:r="http://schemas.openxmlformats.org/officeDocument/2006/relationships">
  <w:docDefaults>
    <w:rPrDefault>
      <w:rPr>
        <w:rFonts w:ascii="Times New Roman" w:hAnsi="Times New Roman" w:eastAsia="Times New Roman" w:cs="Times New Roman"/>
        <w:sz w:val="24"/>
        <w:szCs w:val="24"/>
      </w:rPr>
    </w:rPrDefault>
    <w:pPrDefault>
      <w:pPr>
        <w:spacing w:before="0" w:after="120" w:line="240" w:lineRule="auto"/>
      </w:pPr>
    </w:pPrDefault>
  </w:docDefaults>
  <w:style w:type="paragraph" w:default="1" w:styleId="Normal">
    <w:name w:val="Normal"/>
    <w:qFormat/>
    <w:pPr>
      <w:spacing w:before="0" w:after="120" w:line="240" w:lineRule="auto"/>
    </w:pPr>
    <w:rPr>
      <w:rFonts w:ascii="Times New Roman" w:hAnsi="Times New Roman" w:eastAsia="Times New Roman" w:cs="Times New Roman"/>
      <w:sz w:val="24"/>
      <w:szCs w:val="24"/>
    </w:rPr>
  </w:style>
  <w:style w:type="paragraph" w:styleId="BodyText">
    <w:name w:val="Body Text"/>
    <w:basedOn w:val="Normal"/>
    <w:next w:val="BodyText"/>
    <w:qFormat/>
    <w:pPr>
      <w:spacing w:before="0" w:after="120" w:line="240" w:lineRule="auto"/>
      <w:ind w:firstLine="0"/>
    </w:pPr>
  </w:style>
  <w:style w:type="paragraph" w:styleId="FirstParagraph">
    <w:name w:val="First Paragraph"/>
    <w:basedOn w:val="BodyText"/>
    <w:next w:val="BodyText"/>
    <w:qFormat/>
  </w:style>
  <w:style w:type="paragraph" w:styleId="Compact">
    <w:name w:val="Compact"/>
    <w:basedOn w:val="BodyText"/>
    <w:next w:val="BodyText"/>
    <w:qFormat/>
    <w:pPr>
      <w:spacing w:before="0" w:after="0" w:line="240" w:lineRule="auto"/>
    </w:pPr>
  </w:style>
  <w:style w:type="paragraph" w:styleId="Title">
    <w:name w:val="Title"/>
    <w:basedOn w:val="Normal"/>
    <w:next w:val="BodyText"/>
    <w:qFormat/>
    <w:pPr>
      <w:spacing w:before="0" w:after="240" w:line="240" w:lineRule="auto"/>
      <w:jc w:val="center"/>
    </w:pPr>
    <w:rPr>
      <w:b/>
      <w:sz w:val="28"/>
      <w:szCs w:val="28"/>
    </w:rPr>
  </w:style>
  <w:style w:type="paragraph" w:styleId="Subtitle">
    <w:name w:val="Subtitle"/>
    <w:basedOn w:val="Normal"/>
    <w:next w:val="BodyText"/>
    <w:qFormat/>
    <w:pPr>
      <w:spacing w:before="0" w:after="0" w:line="240" w:lineRule="auto"/>
      <w:jc w:val="center"/>
    </w:pPr>
  </w:style>
  <w:style w:type="paragraph" w:styleId="Author">
    <w:name w:val="Author"/>
    <w:basedOn w:val="Normal"/>
    <w:next w:val="BodyText"/>
    <w:qFormat/>
    <w:pPr>
      <w:spacing w:before="0" w:after="0" w:line="240" w:lineRule="auto"/>
      <w:jc w:val="center"/>
    </w:pPr>
  </w:style>
  <w:style w:type="paragraph" w:styleId="Date">
    <w:name w:val="Date"/>
    <w:basedOn w:val="Normal"/>
    <w:next w:val="BodyText"/>
    <w:qFormat/>
    <w:pPr>
      <w:spacing w:before="0" w:after="0" w:line="240" w:lineRule="auto"/>
      <w:jc w:val="center"/>
    </w:pPr>
  </w:style>
  <w:style w:type="paragraph" w:styleId="Abstract">
    <w:name w:val="Abstract"/>
    <w:basedOn w:val="Normal"/>
    <w:next w:val="BodyText"/>
    <w:qFormat/>
  </w:style>
  <w:style w:type="paragraph" w:styleId="AbstractTitle">
    <w:name w:val="Abstract Title"/>
    <w:basedOn w:val="Normal"/>
    <w:next w:val="BodyText"/>
    <w:qFormat/>
    <w:rPr>
      <w:b/>
    </w:rPr>
  </w:style>
  <w:style w:type="paragraph" w:styleId="Bibliography">
    <w:name w:val="Bibliography"/>
    <w:basedOn w:val="Normal"/>
    <w:next w:val="BodyText"/>
    <w:qFormat/>
    <w:pPr>
      <w:spacing w:before="0" w:after="120" w:line="240" w:lineRule="auto"/>
      <w:ind w:left="720" w:hanging="720"/>
    </w:pPr>
  </w:style>
  <w:style w:type="paragraph" w:styleId="Heading1">
    <w:name w:val="heading 1"/>
    <w:basedOn w:val="Normal"/>
    <w:next w:val="BodyText"/>
    <w:qFormat/>
    <w:pPr>
      <w:keepNext/>
      <w:spacing w:before="240" w:after="0" w:line="240" w:lineRule="auto"/>
      <w:outlineLvl w:val="0"/>
    </w:pPr>
    <w:rPr>
      <w:b/>
    </w:rPr>
  </w:style>
  <w:style w:type="paragraph" w:styleId="Heading2">
    <w:name w:val="heading 2"/>
    <w:basedOn w:val="Normal"/>
    <w:next w:val="BodyText"/>
    <w:qFormat/>
    <w:pPr>
      <w:keepNext/>
      <w:spacing w:before="120" w:after="0" w:line="240" w:lineRule="auto"/>
      <w:outlineLvl w:val="1"/>
    </w:pPr>
    <w:rPr>
      <w:b/>
      <w:i/>
    </w:rPr>
  </w:style>
  <w:style w:type="paragraph" w:styleId="Heading3">
    <w:name w:val="heading 3"/>
    <w:basedOn w:val="Normal"/>
    <w:next w:val="BodyText"/>
    <w:qFormat/>
    <w:pPr>
      <w:keepNext/>
      <w:spacing w:before="120" w:after="0" w:line="240" w:lineRule="auto"/>
      <w:outlineLvl w:val="2"/>
    </w:pPr>
    <w:rPr>
      <w:i/>
    </w:rPr>
  </w:style>
  <w:style w:type="paragraph" w:styleId="Heading4">
    <w:name w:val="heading 4"/>
    <w:basedOn w:val="Normal"/>
    <w:next w:val="BodyText"/>
    <w:qFormat/>
    <w:pPr>
      <w:keepNext/>
      <w:spacing w:before="0" w:after="0" w:line="240" w:lineRule="auto"/>
      <w:outlineLvl w:val="3"/>
    </w:pPr>
    <w:rPr>
      <w:i/>
    </w:rPr>
  </w:style>
  <w:style w:type="paragraph" w:styleId="BlockText">
    <w:name w:val="Block Text"/>
    <w:basedOn w:val="BodyText"/>
    <w:next w:val="BodyText"/>
    <w:qFormat/>
    <w:pPr>
      <w:spacing w:before="0" w:after="120" w:line="240" w:lineRule="auto"/>
      <w:ind w:left="720" w:right="720"/>
    </w:pPr>
  </w:style>
  <w:style w:type="paragraph" w:styleId="TableCaption">
    <w:name w:val="Table Caption"/>
    <w:basedOn w:val="Normal"/>
    <w:next w:val="BodyText"/>
    <w:qFormat/>
    <w:pPr>
      <w:keepNext/>
      <w:spacing w:before="120" w:after="120" w:line="240" w:lineRule="auto"/>
    </w:pPr>
    <w:rPr>
      <w:b/>
    </w:rPr>
  </w:style>
  <w:style w:type="paragraph" w:styleId="Caption">
    <w:name w:val="Caption"/>
    <w:basedOn w:val="Normal"/>
    <w:next w:val="BodyText"/>
    <w:qFormat/>
    <w:pPr>
      <w:spacing w:before="0" w:after="120" w:line="240" w:lineRule="auto"/>
    </w:pPr>
  </w:style>
  <w:style w:type="paragraph" w:styleId="FootnoteText">
    <w:name w:val="footnote text"/>
    <w:basedOn w:val="Normal"/>
    <w:next w:val="BodyText"/>
    <w:qFormat/>
    <w:pPr>
      <w:spacing w:before="0" w:after="0" w:line="240" w:lineRule="auto"/>
    </w:pPr>
    <w:rPr>
      <w:sz w:val="20"/>
    </w:rPr>
  </w:style>
  <w:style w:type="paragraph" w:styleId="TableText">
    <w:name w:val="Table Text"/>
    <w:basedOn w:val="Normal"/>
    <w:next w:val="BodyText"/>
    <w:qFormat/>
    <w:pPr>
      <w:spacing w:before="0" w:after="0" w:line="240" w:lineRule="auto"/>
    </w:pPr>
    <w:rPr>
      <w:sz w:val="20"/>
      <w:szCs w:val="20"/>
    </w:rPr>
  </w:style>
  <w:style w:type="paragraph" w:styleId="Note">
    <w:name w:val="Table Note"/>
    <w:basedOn w:val="Normal"/>
    <w:next w:val="BodyText"/>
    <w:qFormat/>
    <w:pPr>
      <w:spacing w:before="0" w:after="60" w:line="240" w:lineRule="auto"/>
    </w:pPr>
    <w:rPr>
      <w:sz w:val="20"/>
      <w:szCs w:val="20"/>
    </w:rPr>
  </w:style>
  <w:style w:type="character" w:default="1" w:styleId="DefaultParagraphFont">
    <w:name w:val="Default Paragraph Font"/>
    <w:uiPriority w:val="1"/>
    <w:semiHidden/>
  </w:style>
  <w:style w:type="character" w:styleId="BodyTextChar">
    <w:name w:val="Body Text Char"/>
  </w:style>
  <w:style w:type="character" w:styleId="Hyperlink">
    <w:name w:val="Hyperlink"/>
    <w:rPr>
      <w:color w:val="1F4E79"/>
    </w:rPr>
  </w:style>
  <w:style w:type="character" w:styleId="FootnoteReference">
    <w:name w:val="footnote reference"/>
    <w:rPr>
      <w:vertAlign w:val="superscript"/>
    </w:rPr>
  </w:style>
  <w:style w:type="table" w:default="1" w:styleId="TableNormal">
    <w:name w:val="Normal Table"/>
    <w:tblPr>
      <w:tblInd w:w="0" w:type="dxa"/>
      <w:tblCellMar>
        <w:top w:w="0" w:type="dxa"/>
        <w:left w:w="108" w:type="dxa"/>
        <w:bottom w:w="0" w:type="dxa"/>
        <w:right w:w="108" w:type="dxa"/>
      </w:tblCellMar>
    </w:tblPr>
  </w:style>
  <w:style w:type="table" w:styleId="Table">
    <w:name w:val="Table"/>
    <w:basedOn w:val="TableNormal"/>
    <w:pPr>
      <w:spacing w:before="20" w:after="20" w:line="240" w:lineRule="auto"/>
    </w:pPr>
    <w:rPr>
      <w:sz w:val="20"/>
      <w:szCs w:val="20"/>
    </w:rPr>
    <w:tblPr>
      <w:tblBorders>
        <w:top w:val="single" w:sz="8" w:space="0" w:color="000000"/>
        <w:bottom w:val="single" w:sz="8" w:space="0" w:color="000000"/>
        <w:insideH w:val="single" w:sz="2" w:space="0" w:color="BFBFBF"/>
      </w:tblBorders>
    </w:tblPr>
    <w:tblStylePr w:type="firstRow">
      <w:rPr>
        <w:b/>
      </w:rPr>
      <w:tcPr>
        <w:tcBorders>
          <w:bottom w:val="single" w:sz="8" w:space="0" w:color="000000"/>
        </w:tcBorders>
      </w:tcPr>
    </w:tblStyle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Ftr1" Type="http://schemas.openxmlformats.org/officeDocument/2006/relationships/footer" Target="footer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Burden of Proof: Unit-Level Nurse Managers’ Judgements and Responses to Nurses’ Care Concerns When Quality Indicators Appear Reassuring—An Interpretive Description</dc:title>
  <dc:creator/>
  <cp:lastModifiedBy/>
  <cp:revision>1</cp:revision>
  <dcterms:created xsi:type="dcterms:W3CDTF">2026-10-28T00:00:00Z</dcterms:created>
  <dcterms:modified xsi:type="dcterms:W3CDTF">2026-10-28T00:00:00Z</dcterms:modified>
</cp:coreProperties>
</file>