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Burden</w:t>
      </w:r>
      <w:r>
        <w:t xml:space="preserve"> </w:t>
      </w:r>
      <w:r>
        <w:t xml:space="preserve">of</w:t>
      </w:r>
      <w:r>
        <w:t xml:space="preserve"> </w:t>
      </w:r>
      <w:r>
        <w:t xml:space="preserve">Proof:</w:t>
      </w:r>
      <w:r>
        <w:t xml:space="preserve"> </w:t>
      </w:r>
      <w:r>
        <w:t xml:space="preserve">Unit-Level</w:t>
      </w:r>
      <w:r>
        <w:t xml:space="preserve"> </w:t>
      </w:r>
      <w:r>
        <w:t xml:space="preserve">Nurse</w:t>
      </w:r>
      <w:r>
        <w:t xml:space="preserve"> </w:t>
      </w:r>
      <w:r>
        <w:t xml:space="preserve">Managers’</w:t>
      </w:r>
      <w:r>
        <w:t xml:space="preserve"> </w:t>
      </w:r>
      <w:r>
        <w:t xml:space="preserve">Judgements</w:t>
      </w:r>
      <w:r>
        <w:t xml:space="preserve"> </w:t>
      </w:r>
      <w:r>
        <w:t xml:space="preserve">and</w:t>
      </w:r>
      <w:r>
        <w:t xml:space="preserve"> </w:t>
      </w:r>
      <w:r>
        <w:t xml:space="preserve">Responses</w:t>
      </w:r>
      <w:r>
        <w:t xml:space="preserve"> </w:t>
      </w:r>
      <w:r>
        <w:t xml:space="preserve">to</w:t>
      </w:r>
      <w:r>
        <w:t xml:space="preserve"> </w:t>
      </w:r>
      <w:r>
        <w:t xml:space="preserve">Nurses’</w:t>
      </w:r>
      <w:r>
        <w:t xml:space="preserve"> </w:t>
      </w:r>
      <w:r>
        <w:t xml:space="preserve">Care</w:t>
      </w:r>
      <w:r>
        <w:t xml:space="preserve"> </w:t>
      </w:r>
      <w:r>
        <w:t xml:space="preserve">Concerns</w:t>
      </w:r>
      <w:r>
        <w:t xml:space="preserve"> </w:t>
      </w:r>
      <w:r>
        <w:t xml:space="preserve">When</w:t>
      </w:r>
      <w:r>
        <w:t xml:space="preserve"> </w:t>
      </w:r>
      <w:r>
        <w:t xml:space="preserve">Quality</w:t>
      </w:r>
      <w:r>
        <w:t xml:space="preserve"> </w:t>
      </w:r>
      <w:r>
        <w:t xml:space="preserve">Indicators</w:t>
      </w:r>
      <w:r>
        <w:t xml:space="preserve"> </w:t>
      </w:r>
      <w:r>
        <w:t xml:space="preserve">Appear</w:t>
      </w:r>
      <w:r>
        <w:t xml:space="preserve"> </w:t>
      </w:r>
      <w:r>
        <w:t xml:space="preserve">Reassuring—An</w:t>
      </w:r>
      <w:r>
        <w:t xml:space="preserve"> </w:t>
      </w:r>
      <w:r>
        <w:t xml:space="preserve">Interpretive</w:t>
      </w:r>
      <w:r>
        <w:t xml:space="preserve"> </w:t>
      </w:r>
      <w:r>
        <w:t xml:space="preserve">Description</w:t>
      </w:r>
    </w:p>
    <w:bookmarkStart w:id="20" w:name="abstract"/>
    <w:p>
      <w:pPr>
        <w:pStyle w:val="Heading1"/>
      </w:pPr>
      <w:r>
        <w:t xml:space="preserve">Abstract</w:t>
      </w:r>
    </w:p>
    <w:p>
      <w:pPr>
        <w:pStyle w:val="FirstParagraph"/>
      </w:pPr>
      <w:r>
        <w:rPr>
          <w:bCs/>
          <w:b/>
        </w:rPr>
        <w:t xml:space="preserve">Aim:</w:t>
      </w:r>
      <w:r>
        <w:t xml:space="preserve"> </w:t>
      </w:r>
      <w:r>
        <w:t xml:space="preserve">To explore how unit-level nurse managers judge and respond to nurses’ care concerns when routinely reported quality indicators appear reassuring.</w:t>
      </w:r>
    </w:p>
    <w:p>
      <w:pPr>
        <w:pStyle w:val="BodyText"/>
      </w:pPr>
      <w:r>
        <w:rPr>
          <w:bCs/>
          <w:b/>
        </w:rPr>
        <w:t xml:space="preserve">Background:</w:t>
      </w:r>
      <w:r>
        <w:t xml:space="preserve"> </w:t>
      </w:r>
      <w:r>
        <w:t xml:space="preserve">Nurses’ concerns can reveal problems that quality dashboards do not show. How managers decide what substantiation such concerns require, and who must supply it, remains insufficiently understood.</w:t>
      </w:r>
    </w:p>
    <w:p>
      <w:pPr>
        <w:pStyle w:val="BodyText"/>
      </w:pPr>
      <w:r>
        <w:rPr>
          <w:bCs/>
          <w:b/>
        </w:rPr>
        <w:t xml:space="preserve">Methods:</w:t>
      </w:r>
      <w:r>
        <w:t xml:space="preserve"> </w:t>
      </w:r>
      <w:r>
        <w:t xml:space="preserve">An interpretive description using semi-structured, incident-focused interviews with 23 nurse managers from six public hospitals in northern Saudi Arabia (January–June 2026). Arabic and English transcripts were analysed iteratively in the source language using inductive coding, constant comparison and sensitising concepts.</w:t>
      </w:r>
    </w:p>
    <w:p>
      <w:pPr>
        <w:pStyle w:val="BodyText"/>
      </w:pPr>
      <w:r>
        <w:rPr>
          <w:bCs/>
          <w:b/>
        </w:rPr>
        <w:t xml:space="preserve">Results:</w:t>
      </w:r>
      <w:r>
        <w:t xml:space="preserve"> </w:t>
      </w:r>
      <w:r>
        <w:t xml:space="preserve">Nineteen managers described a concern raised while indicators appeared satisfactory; in 15 of these accounts, the cited indicator did not measure the aspect or period of care at issue. Four themes were constructed: weighing concerns against reassuring indicators; allocating the burden of proof; responding, escalating and closing the loop; and organisational conditions shaping the burden of proof. Satisfactory indicators could create a presumption of safety. The burden of proof was conditional: concerns about immediate clinical risk prompted assessment without requiring additional substantiation, whereas concerns requiring additional resources often demanded documentation or numerical justification. Managers either requested this from nurses or gathered it themselves, anticipating senior managers’ expectations. Local adjustments and informal feedback were not consistently captured in organisational reporting.</w:t>
      </w:r>
    </w:p>
    <w:p>
      <w:pPr>
        <w:pStyle w:val="BodyText"/>
      </w:pPr>
      <w:r>
        <w:rPr>
          <w:bCs/>
          <w:b/>
        </w:rPr>
        <w:t xml:space="preserve">Conclusions:</w:t>
      </w:r>
      <w:r>
        <w:t xml:space="preserve"> </w:t>
      </w:r>
      <w:r>
        <w:t xml:space="preserve">Reassuring indicators should be interpreted against the specific concern raised. Distinguishing the threshold for starting inquiry from the justification needed for resource decisions, agreeing who investigates, recording local responses and giving explicit feedback may strengthen responsiveness to nurses’ concerns.</w:t>
      </w:r>
    </w:p>
    <w:p>
      <w:pPr>
        <w:pStyle w:val="BodyText"/>
      </w:pPr>
      <w:r>
        <w:rPr>
          <w:bCs/>
          <w:b/>
        </w:rPr>
        <w:t xml:space="preserve">Keywords:</w:t>
      </w:r>
      <w:r>
        <w:t xml:space="preserve"> </w:t>
      </w:r>
      <w:r>
        <w:t xml:space="preserve">Nurse administrators; Quality indicators; Patient safety; Speaking up; Interpretive description; Saudi Arabia</w:t>
      </w:r>
    </w:p>
    <w:bookmarkEnd w:id="20"/>
    <w:bookmarkStart w:id="22" w:name="introduction"/>
    <w:p>
      <w:pPr>
        <w:pStyle w:val="Heading1"/>
      </w:pPr>
      <w:r>
        <w:t xml:space="preserve">1. Introduction</w:t>
      </w:r>
    </w:p>
    <w:p>
      <w:pPr>
        <w:pStyle w:val="FirstParagraph"/>
      </w:pPr>
      <w:r>
        <w:t xml:space="preserve">Nurses’ concerns can reveal unmet care needs and emerging safety problems before these appear as recorded harm. In Saudi hospitals, nurses’ unit-level assessments of care quality have been associated with independently recorded pressure-injury incidence (Alanazi et al., 2023). Yet troubling staff accounts can coexist with reassuring performance information (Martin et al., 2015). Inquiries into serious care failures have shown how attention to favourable measures can displace persistent warnings from staff (Francis, 2013), and performance-measurement research cautions that what is measured can come to stand for what matters (Bevan &amp; Hood, 2006). For a unit-level nurse manager who receives a concern while the dashboard is</w:t>
      </w:r>
      <w:r>
        <w:t xml:space="preserve"> </w:t>
      </w:r>
      <w:r>
        <w:t xml:space="preserve">“</w:t>
      </w:r>
      <w:r>
        <w:t xml:space="preserve">green</w:t>
      </w:r>
      <w:r>
        <w:t xml:space="preserve">”</w:t>
      </w:r>
      <w:r>
        <w:t xml:space="preserve">, this creates a practical</w:t>
      </w:r>
      <w:r>
        <w:t xml:space="preserve"> </w:t>
      </w:r>
      <w:r>
        <w:t xml:space="preserve">“</w:t>
      </w:r>
      <w:r>
        <w:t xml:space="preserve">burden of proof</w:t>
      </w:r>
      <w:r>
        <w:t xml:space="preserve">”</w:t>
      </w:r>
      <w:r>
        <w:t xml:space="preserve"> </w:t>
      </w:r>
      <w:r>
        <w:t xml:space="preserve">question: what, if anything, must a concern demonstrate before it warrants investigation, and who must demonstrate it?</w:t>
      </w:r>
    </w:p>
    <w:p>
      <w:pPr>
        <w:pStyle w:val="BodyText"/>
      </w:pPr>
      <w:r>
        <w:t xml:space="preserve">Research on speaking up explains much about the person raising a concern. Anticipated reactions and interpersonal expectations shape nurses’ decisions to speak (S. E. Lee et al., 2022), and communication openness, psychological safety and management support are associated with safety voice (Ahn, 2026; Cho et al., 2023; Seo &amp; Lee, 2022). Speaking up does not, however, ensure a meaningful response. Nurses have described organisational disregard and feeling unheard despite available communication channels (Abrams et al., 2023; Rietze et al., 2026). Attention has therefore turned to the receiver. Nurse leaders describe listening and follow-through as part of safety leadership, constrained by resources and authority (Harton &amp; Skemp, 2022). Studies have examined managers’ handling of missed care (Kohanová et al., 2024), their difficulty supporting speaking up within existing governance (Dong et al., 2026) and their assessment of reports of unprofessional behaviour (Bagot et al., 2023). A scoping review identifies cultural, individual and structural influences on managerial responses (Ghorbankhani et al., 2025). These studies show that managers’ responses matter, but they say less about how managers weigh a concern against formal performance information and decide who must substantiate it.</w:t>
      </w:r>
    </w:p>
    <w:p>
      <w:pPr>
        <w:pStyle w:val="BodyText"/>
      </w:pPr>
      <w:r>
        <w:t xml:space="preserve">In this study, quality indicators are routinely reported unit or organisational measures of care quality and patient safety;</w:t>
      </w:r>
      <w:r>
        <w:t xml:space="preserve"> </w:t>
      </w:r>
      <w:r>
        <w:t xml:space="preserve">“</w:t>
      </w:r>
      <w:r>
        <w:t xml:space="preserve">reassuring</w:t>
      </w:r>
      <w:r>
        <w:t xml:space="preserve">”</w:t>
      </w:r>
      <w:r>
        <w:t xml:space="preserve"> </w:t>
      </w:r>
      <w:r>
        <w:t xml:space="preserve">denotes results that managers interpret as satisfactory against targets or benchmarks. Dashboard use depends on data quality, usefulness and managerial knowledge (Young et al., 2025), and professional judgement adds contextual knowledge to decisions about nursing resources (Allen et al., 2023). A concern and an indicator may also address different aspects or periods of care, so a satisfactory result does not necessarily resolve the issue raised. Three sensitising concepts informed the study.</w:t>
      </w:r>
      <w:r>
        <w:t xml:space="preserve"> </w:t>
      </w:r>
      <w:r>
        <w:t xml:space="preserve">“</w:t>
      </w:r>
      <w:r>
        <w:t xml:space="preserve">Soft intelligence</w:t>
      </w:r>
      <w:r>
        <w:t xml:space="preserve">”</w:t>
      </w:r>
      <w:r>
        <w:t xml:space="preserve"> </w:t>
      </w:r>
      <w:r>
        <w:t xml:space="preserve">describes experiential information that resists straightforward measurement (Martin et al., 2015).</w:t>
      </w:r>
      <w:r>
        <w:t xml:space="preserve"> </w:t>
      </w:r>
      <w:r>
        <w:t xml:space="preserve">“</w:t>
      </w:r>
      <w:r>
        <w:t xml:space="preserve">Problem-sensing</w:t>
      </w:r>
      <w:r>
        <w:t xml:space="preserve">”</w:t>
      </w:r>
      <w:r>
        <w:t xml:space="preserve"> </w:t>
      </w:r>
      <w:r>
        <w:t xml:space="preserve">versus</w:t>
      </w:r>
      <w:r>
        <w:t xml:space="preserve"> </w:t>
      </w:r>
      <w:r>
        <w:t xml:space="preserve">“</w:t>
      </w:r>
      <w:r>
        <w:t xml:space="preserve">comfort-seeking</w:t>
      </w:r>
      <w:r>
        <w:t xml:space="preserve">”</w:t>
      </w:r>
      <w:r>
        <w:t xml:space="preserve"> </w:t>
      </w:r>
      <w:r>
        <w:t xml:space="preserve">distinguishes organisations that seek out unwelcome signals from those that favour reassurance (Dixon-Woods et al., 2014). Formal processes can also discourage voice when staff must convert uncertain concerns into demonstrable facts (Martin et al., 2018). Building on this work,</w:t>
      </w:r>
      <w:r>
        <w:t xml:space="preserve"> </w:t>
      </w:r>
      <w:r>
        <w:t xml:space="preserve">“</w:t>
      </w:r>
      <w:r>
        <w:t xml:space="preserve">burden of proof</w:t>
      </w:r>
      <w:r>
        <w:t xml:space="preserve">”</w:t>
      </w:r>
      <w:r>
        <w:t xml:space="preserve"> </w:t>
      </w:r>
      <w:r>
        <w:t xml:space="preserve">was used to examine what substantiation managers require, who is expected to obtain it and how these expectations shape investigation, action and feedback.</w:t>
      </w:r>
    </w:p>
    <w:p>
      <w:pPr>
        <w:pStyle w:val="BodyText"/>
      </w:pPr>
      <w:r>
        <w:t xml:space="preserve">Saudi Arabia is a relevant setting because national guidance links leadership, safety culture and performance measurement, including indicator validation against benchmarks and internal targets (Saudi Patient Safety Center, 2025). A national survey found more favourable reporting-culture perceptions among managers and quality staff than among several frontline groups (Alkahf &amp; Alonazi, 2024). Saudi qualitative studies show how indicators organise nursing accountability (Alshehri et al., 2026) and how managerial behaviour can restrict reporting and weaken feedback (Alshmemri, 2026). How unit managers allocate responsibility for substantiating nurses’ concerns when indicators appear reassuring nevertheless remains insufficiently understood, in Saudi Arabia and elsewhere.</w:t>
      </w:r>
    </w:p>
    <w:bookmarkStart w:id="21" w:name="aim-research-question-and-objectives"/>
    <w:p>
      <w:pPr>
        <w:pStyle w:val="Heading2"/>
      </w:pPr>
      <w:r>
        <w:t xml:space="preserve">1.1 Aim, research question and objectives</w:t>
      </w:r>
    </w:p>
    <w:p>
      <w:pPr>
        <w:pStyle w:val="FirstParagraph"/>
      </w:pPr>
      <w:r>
        <w:t xml:space="preserve">The study aimed to develop a practice-relevant understanding of how unit-level nurse managers judge and respond to nurses’ care concerns when routinely reported quality indicators appear reassuring. The research question was: How do unit-level nurse managers in Saudi hospitals judge and respond to nurses’ care concerns when available quality indicators appear reassuring? The objectives were to:</w:t>
      </w:r>
    </w:p>
    <w:p>
      <w:pPr>
        <w:pStyle w:val="Compact"/>
        <w:numPr>
          <w:ilvl w:val="0"/>
          <w:numId w:val="1001"/>
        </w:numPr>
      </w:pPr>
      <w:r>
        <w:t xml:space="preserve">Examine how managers interpret concerns alongside indicators and contextual information.</w:t>
      </w:r>
    </w:p>
    <w:p>
      <w:pPr>
        <w:pStyle w:val="Compact"/>
        <w:numPr>
          <w:ilvl w:val="0"/>
          <w:numId w:val="1001"/>
        </w:numPr>
      </w:pPr>
      <w:r>
        <w:t xml:space="preserve">Explore whether managers seek further substantiation, what information they seek and who is expected to obtain it.</w:t>
      </w:r>
    </w:p>
    <w:p>
      <w:pPr>
        <w:pStyle w:val="Compact"/>
        <w:numPr>
          <w:ilvl w:val="0"/>
          <w:numId w:val="1001"/>
        </w:numPr>
      </w:pPr>
      <w:r>
        <w:t xml:space="preserve">Describe managers’ reported investigation, action, escalation, follow-up and feedback.</w:t>
      </w:r>
    </w:p>
    <w:p>
      <w:pPr>
        <w:pStyle w:val="Compact"/>
        <w:numPr>
          <w:ilvl w:val="0"/>
          <w:numId w:val="1001"/>
        </w:numPr>
      </w:pPr>
      <w:r>
        <w:t xml:space="preserve">Identify organisational conditions shaping managers’ judgements and capacity to respond.</w:t>
      </w:r>
    </w:p>
    <w:bookmarkEnd w:id="21"/>
    <w:bookmarkEnd w:id="22"/>
    <w:bookmarkStart w:id="32" w:name="methods"/>
    <w:p>
      <w:pPr>
        <w:pStyle w:val="Heading1"/>
      </w:pPr>
      <w:r>
        <w:t xml:space="preserve">2. Methods</w:t>
      </w:r>
    </w:p>
    <w:bookmarkStart w:id="23" w:name="study-design"/>
    <w:p>
      <w:pPr>
        <w:pStyle w:val="Heading2"/>
      </w:pPr>
      <w:r>
        <w:t xml:space="preserve">2.1 Study design</w:t>
      </w:r>
    </w:p>
    <w:p>
      <w:pPr>
        <w:pStyle w:val="FirstParagraph"/>
      </w:pPr>
      <w:r>
        <w:t xml:space="preserve">Interpretive description (Thorne, 2025) was chosen because the study addressed an applied nursing-management question and sought understanding that could inform practice, rather than theory generation or a description of lived experience. Its constructivist, naturalistic orientation treats participants’ accounts as situated interpretations rather than verified records of events. The sensitising concepts informed interview probes but did not constitute a coding framework; initial coding was inductive, and analysis deliberately sought accounts that challenged the concepts, including concerns acted on without additional substantiation. The possible influence of the evidence-focused framing was examined during analysis (Section 2.7). Reporting follows the Standards for Reporting Qualitative Research (SRQR; O’Brien et al., 2014); SRQR and COREQ (Tong et al., 2007) checklists are mapped in Supplementary File 2.</w:t>
      </w:r>
    </w:p>
    <w:bookmarkEnd w:id="23"/>
    <w:bookmarkStart w:id="24" w:name="setting-and-participants"/>
    <w:p>
      <w:pPr>
        <w:pStyle w:val="Heading2"/>
      </w:pPr>
      <w:r>
        <w:t xml:space="preserve">2.2 Setting and participants</w:t>
      </w:r>
    </w:p>
    <w:p>
      <w:pPr>
        <w:pStyle w:val="FirstParagraph"/>
      </w:pPr>
      <w:r>
        <w:t xml:space="preserve">The study took place in six public hospitals in the Jouf region of northern Saudi Arabia, selected purposively for variation in size (200–420 beds), level of care (two tertiary and four secondary hospitals), clinical specialties and patient acuity. All held accreditation from the Saudi Central Board for Accreditation of Healthcare Institutions and operated within one regional healthcare directorate. Clinical units reported quality and patient-safety indicators monthly to hospital quality departments, including falls, hospital-acquired pressure injuries, device-associated infections, medication-administration incidents, incident-reporting counts and patient-experience scores. Dashboards displayed results against organisational targets and national benchmarks for discussion at monthly quality meetings. Head nurses or nurse managers were accountable for unit indicator performance and reported to the Director of Nursing. Workforces included Saudi and internationally educated nurses, and Arabic and English were both used professionally.</w:t>
      </w:r>
    </w:p>
    <w:p>
      <w:pPr>
        <w:pStyle w:val="BodyText"/>
      </w:pPr>
      <w:r>
        <w:t xml:space="preserve">Eligible participants were registered nurses holding substantive head nurse or nurse manager posts with 24-hour managerial accountability for an inpatient, critical care or emergency unit that reported routine quality indicators. They had at least six months in their current role, allowing experience of repeated reporting and review cycles, and could be interviewed in Arabic or English. Managers of non-clinical or outpatient-only areas, and individuals with a current supervisory, employment or academic relationship with a member of the research team, were excluded. Eligibility did not require experience of a particular type of incident; the classification of accounts is described in Section 2.7. Full criteria and their rationale are provided in Supplementary File 3 (S3.1).</w:t>
      </w:r>
    </w:p>
    <w:bookmarkEnd w:id="24"/>
    <w:bookmarkStart w:id="25" w:name="sampling-and-sample-adequacy"/>
    <w:p>
      <w:pPr>
        <w:pStyle w:val="Heading2"/>
      </w:pPr>
      <w:r>
        <w:t xml:space="preserve">2.3 Sampling and sample adequacy</w:t>
      </w:r>
    </w:p>
    <w:p>
      <w:pPr>
        <w:pStyle w:val="FirstParagraph"/>
      </w:pPr>
      <w:r>
        <w:t xml:space="preserve">Purposive maximum-variation sampling addressed hospital, unit type, managerial experience (&lt;5, 5–10 or &gt;10 years) and country of initial nursing education (Saudi Arabia or elsewhere). These dimensions guided diversity of experience rather than statistical comparison between subgroups. Because every eligible manager received the same invitation, purposive decisions concerned the order in which volunteers were interviewed. As analysis developed, interviews were prioritised with volunteers whose experience could extend emerging comparisons, such as managers with consistently on-target dashboards or recent experience of escalating concerns.</w:t>
      </w:r>
    </w:p>
    <w:p>
      <w:pPr>
        <w:pStyle w:val="BodyText"/>
      </w:pPr>
      <w:r>
        <w:t xml:space="preserve">A provisional sample of 18–25 managers was planned using information power, considering the focused aim, the specificity of participants, the anticipated depth of incident-based dialogue and the planned comparison across settings (Malterud et al., 2016). Empirical evidence on interview sample sizes provided a contextual benchmark rather than a numerical stopping rule (Hennink &amp; Kaiser, 2022). The plan sought at least three participants per hospital and two per unit type, without requiring every hospital–unit combination. Recruitment closed after 23 interviews, when these coverage goals were met and the team judged that the interpretation addressed all four objectives, accounted for contrasting cases and explained meaningful contextual variation. This judgement and its supporting comparisons were documented in the audit trail.</w:t>
      </w:r>
    </w:p>
    <w:bookmarkEnd w:id="25"/>
    <w:bookmarkStart w:id="26" w:name="recruitment-and-consent"/>
    <w:p>
      <w:pPr>
        <w:pStyle w:val="Heading2"/>
      </w:pPr>
      <w:r>
        <w:t xml:space="preserve">2.4 Recruitment and consent</w:t>
      </w:r>
    </w:p>
    <w:p>
      <w:pPr>
        <w:pStyle w:val="FirstParagraph"/>
      </w:pPr>
      <w:r>
        <w:t xml:space="preserve">Following ethical approval, administrative permission was obtained in January 2026 from the regional healthcare directorate and each participating hospital. Directors of Nursing acted solely as gatekeepers, emailing one standard invitation and a bilingual information sheet to all 38 eligible managers. Interested managers contacted the researchers directly, and Directors were not told who volunteered, who was interviewed or when. Twenty-nine managers volunteered and 23 were interviewed: two could not be scheduled because of annual leave, one withdrew before interview citing workload and three volunteered after recruitment had closed. Nine invitees did not respond, and no reasons were sought. No participant withdrew after interview (Supplementary File 3, S3.2).</w:t>
      </w:r>
    </w:p>
    <w:p>
      <w:pPr>
        <w:pStyle w:val="BodyText"/>
      </w:pPr>
      <w:r>
        <w:t xml:space="preserve">The researchers arranged interviews directly with participants. Private rooms in non-clinical education or training areas were booked under a generic study title without participant names; off-site and video interviews were also offered. The information sheet identified the interviewer’s name, academic role, nursing-management background and the study purpose. Participants had at least 48 hours to consider participation, gave written informed consent and reconfirmed consent to audio recording at the start of the interview. They could decline questions, stop the interview or withdraw their data within 14 days. No incentives were offered.</w:t>
      </w:r>
    </w:p>
    <w:bookmarkEnd w:id="26"/>
    <w:bookmarkStart w:id="27" w:name="data-collection"/>
    <w:p>
      <w:pPr>
        <w:pStyle w:val="Heading2"/>
      </w:pPr>
      <w:r>
        <w:t xml:space="preserve">2.5 Data collection</w:t>
      </w:r>
    </w:p>
    <w:p>
      <w:pPr>
        <w:pStyle w:val="FirstParagraph"/>
      </w:pPr>
      <w:r>
        <w:t xml:space="preserve">Data were collected from January to June 2026 through one semi-structured interview per participant and a brief paper questionnaire on demographic and professional characteristics. The interview guide (Supplementary File 1) was developed from the study objectives, the literature available at the time and the sensitising concepts. Two senior nurse leaders and a qualitative methodologist reviewed it for relevance, clarity and cultural appropriateness. Two bilingual nurse researchers undertook Arabic translation and back-translation, resolving discrepancies for conceptual rather than literal equivalence (Squires, 2009). Two pilot interviews in early January 2026 with managers from a non-participating hospital in the region led to minor changes in wording and sequencing; pilot data were excluded. During data collection, a probe on informal channels was added after interview 6 and a probe on written documentation after interview 12. These refinements stayed within the approved scope and were recorded in the audit trail (Supplementary File 1, S1.9).</w:t>
      </w:r>
    </w:p>
    <w:p>
      <w:pPr>
        <w:pStyle w:val="BodyText"/>
      </w:pPr>
      <w:r>
        <w:t xml:space="preserve">Prompts informed by the critical incident technique (Flanagan, 1954) asked managers to describe a recent occasion, within the previous 12 months, when a nurse raised a concern while indicators appeared satisfactory, and a contrasting occasion handled differently. Probes explored what happened, how indicator results informed judgement, whether further information was sought, who obtained it and what investigation, action, escalation, follow-up or feedback followed. Whether indicators were</w:t>
      </w:r>
      <w:r>
        <w:t xml:space="preserve"> </w:t>
      </w:r>
      <w:r>
        <w:t xml:space="preserve">“</w:t>
      </w:r>
      <w:r>
        <w:t xml:space="preserve">reassuring</w:t>
      </w:r>
      <w:r>
        <w:t xml:space="preserve">”</w:t>
      </w:r>
      <w:r>
        <w:t xml:space="preserve"> </w:t>
      </w:r>
      <w:r>
        <w:t xml:space="preserve">was taken from each manager’s account rather than classified independently by the researchers. Managers who could not recall such an occasion were invited to describe the closest comparable one before continuing with the contrasting-occasion questions. Later sections addressed general expectations about evidence and responsibility and organisational conditions, including resources, authority and reporting arrangements. One question (D2:</w:t>
      </w:r>
      <w:r>
        <w:t xml:space="preserve"> </w:t>
      </w:r>
      <w:r>
        <w:t xml:space="preserve">“</w:t>
      </w:r>
      <w:r>
        <w:t xml:space="preserve">In your experience, whose job is it to show that a concern is real?</w:t>
      </w:r>
      <w:r>
        <w:t xml:space="preserve">”</w:t>
      </w:r>
      <w:r>
        <w:t xml:space="preserve">) presupposed that a concern might need to be shown to be real. It is reported as administered; its possible influence was examined during analysis (Section 2.7) and is addressed in the limitations.</w:t>
      </w:r>
    </w:p>
    <w:p>
      <w:pPr>
        <w:pStyle w:val="BodyText"/>
      </w:pPr>
      <w:r>
        <w:t xml:space="preserve">The first author (R1), a bilingual researcher trained in qualitative interviewing with no supervisory, employment or evaluative relationship with participants, conducted all interviews. Participants chose Arabic (n = 14) or English (n = 9), and face-to-face (n = 18) or video (n = 5) interviews; no participant chose an off-site location. Video interviews used an institutionally licensed Microsoft Teams account for the live connection only; no platform recording or transcription function was used. Only the participant and interviewer were present. Participants were asked not to name patients or colleagues. Interviews lasted 42–81 minutes (mean 58) and were audio-recorded on encrypted digital recorders; video interviews were recorded as audio only. R1 completed structured field notes immediately afterwards on context, rapport, emerging analytic ideas and reflexive observations (Supplementary File 1, S1.8).</w:t>
      </w:r>
    </w:p>
    <w:bookmarkEnd w:id="27"/>
    <w:bookmarkStart w:id="28" w:name="data-management-and-language"/>
    <w:p>
      <w:pPr>
        <w:pStyle w:val="Heading2"/>
      </w:pPr>
      <w:r>
        <w:t xml:space="preserve">2.6 Data management and language</w:t>
      </w:r>
    </w:p>
    <w:p>
      <w:pPr>
        <w:pStyle w:val="FirstParagraph"/>
      </w:pPr>
      <w:r>
        <w:t xml:space="preserve">A Saudi-based professional bilingual transcriptionist working under a confidentiality agreement transcribed interviews verbatim in their original language. R1 checked each transcript against its recording, removed identifying details and assigned participant (P01–P23) and hospital (H1–H6) codes. Apart from the transcriptionist, audio files were accessible only to R1 and R2; each file was deleted after transcript verification and de-identification, with deletion dates recorded in the audit trail. Research files were stored on an encrypted, password-protected institutional drive hosted in Saudi Arabia. No automated transcription or generative artificial intelligence (AI) tools were used to handle or analyse research data. The translation checker received de-identified quotation excerpts only, and the independent methodologist received de-identified transcripts and the audit trail. De-identified data will be retained for five years after publication and then securely destroyed; consent forms and the identification key are stored separately for the same period (Supplementary File 3, S3.3).</w:t>
      </w:r>
    </w:p>
    <w:p>
      <w:pPr>
        <w:pStyle w:val="BodyText"/>
      </w:pPr>
      <w:r>
        <w:t xml:space="preserve">Both analysts worked with Arabic transcripts in Arabic and English transcripts in English, using English code labels. This retained source-language meaning during interpretation, although code labelling and translation still required interpretive choices. Only quotations selected for reporting were translated, by R1, and a bilingual nurse researcher checked each for conceptual equivalence (Squires, 2009).</w:t>
      </w:r>
    </w:p>
    <w:bookmarkEnd w:id="28"/>
    <w:bookmarkStart w:id="29" w:name="data-analysis"/>
    <w:p>
      <w:pPr>
        <w:pStyle w:val="Heading2"/>
      </w:pPr>
      <w:r>
        <w:t xml:space="preserve">2.7 Data analysis</w:t>
      </w:r>
    </w:p>
    <w:p>
      <w:pPr>
        <w:pStyle w:val="FirstParagraph"/>
      </w:pPr>
      <w:r>
        <w:t xml:space="preserve">Analysis followed the iterative logic of interpretive description from February to August 2026, overlapping with data collection and continuing after the final interview (Thorne, 2025). NVivo 14 (Lumivero) supported data organisation, coding, memos and comparison matrices. Analysis proceeded in five overlapping phases.</w:t>
      </w:r>
    </w:p>
    <w:p>
      <w:pPr>
        <w:pStyle w:val="BodyText"/>
      </w:pPr>
      <w:r>
        <w:rPr>
          <w:iCs/>
          <w:i/>
        </w:rPr>
        <w:t xml:space="preserve">Familiarisation.</w:t>
      </w:r>
      <w:r>
        <w:t xml:space="preserve"> </w:t>
      </w:r>
      <w:r>
        <w:t xml:space="preserve">R1 and R2 read transcripts and field notes repeatedly and wrote initial memos.</w:t>
      </w:r>
    </w:p>
    <w:p>
      <w:pPr>
        <w:pStyle w:val="BodyText"/>
      </w:pPr>
      <w:r>
        <w:rPr>
          <w:iCs/>
          <w:i/>
        </w:rPr>
        <w:t xml:space="preserve">Initial coding.</w:t>
      </w:r>
      <w:r>
        <w:t xml:space="preserve"> </w:t>
      </w:r>
      <w:r>
        <w:t xml:space="preserve">R1 and R2 independently coded the first four transcripts, two in each language, using broad descriptive and interpretive codes, and agreed a provisional, revisable coding structure. Differences were discussed for their interpretive implications rather than treated as measurement error; inter-coder reliability statistics were not calculated because they are inconsistent with an interpretive aim. R1 then coded the remaining transcripts. R2 independently coded eight further transcripts, selected across hospitals, languages and contrasting responses, and reviewed R1’s coding of the remainder. Dated versions of the coding structure were retained.</w:t>
      </w:r>
    </w:p>
    <w:p>
      <w:pPr>
        <w:pStyle w:val="BodyText"/>
      </w:pPr>
      <w:r>
        <w:rPr>
          <w:iCs/>
          <w:i/>
        </w:rPr>
        <w:t xml:space="preserve">Classification of accounts.</w:t>
      </w:r>
      <w:r>
        <w:t xml:space="preserve"> </w:t>
      </w:r>
      <w:r>
        <w:t xml:space="preserve">Because eligibility did not require a qualifying incident, R1 and R2 classified each account as (a) a concern raised by a nurse while, by the manager’s account, routinely reported indicators appeared satisfactory; (b) a concern raised in other circumstances, such as when indicators were unfavourable or not referred to; or (c) no specific incident. For category (a), the analysts recorded which indicators the manager cited and whether, as described, those indicators measured the aspect or period of care to which the concern related. Category (b) and (c) accounts were retained for what they showed about general expectations and organisational conditions, but were identified separately in matrices and not used as evidence of judgements in qualifying situations.</w:t>
      </w:r>
    </w:p>
    <w:p>
      <w:pPr>
        <w:pStyle w:val="BodyText"/>
      </w:pPr>
      <w:r>
        <w:rPr>
          <w:iCs/>
          <w:i/>
        </w:rPr>
        <w:t xml:space="preserve">Comparison and challenge.</w:t>
      </w:r>
      <w:r>
        <w:t xml:space="preserve"> </w:t>
      </w:r>
      <w:r>
        <w:t xml:space="preserve">Matrices compared accounts within and across hospitals, unit types, managerial experience, concern types and reported responses (acceptance, investigation, escalation and non-pursuit). After eight interviews, the analysts explicitly examined how emerging interpretations related to the sensitising concepts, retaining accounts that challenged or extended them, such as concerns accepted without additional substantiation and accounts in which managers described indicators as having failed to signal a problem. Because Section D questions, particularly D2, foregrounded evidence and responsibility, expectations described within incident accounts were distinguished in memos from those offered in response to Section D prompts; claims about evidential expectations rest primarily on the former.</w:t>
      </w:r>
    </w:p>
    <w:p>
      <w:pPr>
        <w:pStyle w:val="BodyText"/>
      </w:pPr>
      <w:r>
        <w:rPr>
          <w:iCs/>
          <w:i/>
        </w:rPr>
        <w:t xml:space="preserve">Interpretation.</w:t>
      </w:r>
      <w:r>
        <w:t xml:space="preserve"> </w:t>
      </w:r>
      <w:r>
        <w:t xml:space="preserve">Codes and comparisons were developed into themes describing how managers reasoned and responded under different conditions, through fourteen approximately fortnightly meetings of R1, R2 and R3 supported by peer debriefing. The resulting interpretation informed proposed practice considerations, which were not evaluated for feasibility or effects.</w:t>
      </w:r>
    </w:p>
    <w:bookmarkEnd w:id="29"/>
    <w:bookmarkStart w:id="30" w:name="rigour-and-reflexivity"/>
    <w:p>
      <w:pPr>
        <w:pStyle w:val="Heading2"/>
      </w:pPr>
      <w:r>
        <w:t xml:space="preserve">2.8 Rigour and reflexivity</w:t>
      </w:r>
    </w:p>
    <w:p>
      <w:pPr>
        <w:pStyle w:val="FirstParagraph"/>
      </w:pPr>
      <w:r>
        <w:t xml:space="preserve">Rigour followed Thorne’s (2025) criteria.</w:t>
      </w:r>
      <w:r>
        <w:t xml:space="preserve"> </w:t>
      </w:r>
      <w:r>
        <w:rPr>
          <w:iCs/>
          <w:i/>
        </w:rPr>
        <w:t xml:space="preserve">Epistemological integrity</w:t>
      </w:r>
      <w:r>
        <w:t xml:space="preserve"> </w:t>
      </w:r>
      <w:r>
        <w:t xml:space="preserve">was supported by aligning the applied question, the interpretive stance and inductive analysis.</w:t>
      </w:r>
      <w:r>
        <w:t xml:space="preserve"> </w:t>
      </w:r>
      <w:r>
        <w:rPr>
          <w:iCs/>
          <w:i/>
        </w:rPr>
        <w:t xml:space="preserve">Representative credibility</w:t>
      </w:r>
      <w:r>
        <w:t xml:space="preserve"> </w:t>
      </w:r>
      <w:r>
        <w:t xml:space="preserve">was supported by variation in sampling, incident-based interviewing, deliberate examination of contrasting accounts and restriction of claims about qualifying situations to the accounts that described them.</w:t>
      </w:r>
      <w:r>
        <w:t xml:space="preserve"> </w:t>
      </w:r>
      <w:r>
        <w:rPr>
          <w:iCs/>
          <w:i/>
        </w:rPr>
        <w:t xml:space="preserve">Analytic logic</w:t>
      </w:r>
      <w:r>
        <w:t xml:space="preserve"> </w:t>
      </w:r>
      <w:r>
        <w:t xml:space="preserve">was documented through matrices, dated coding versions and memos linking evidence to interpretation; an independent qualitative methodologist reviewed the audit trail after interview 12 and at the end of analysis.</w:t>
      </w:r>
      <w:r>
        <w:t xml:space="preserve"> </w:t>
      </w:r>
      <w:r>
        <w:rPr>
          <w:iCs/>
          <w:i/>
        </w:rPr>
        <w:t xml:space="preserve">Interpretive authority</w:t>
      </w:r>
      <w:r>
        <w:t xml:space="preserve"> </w:t>
      </w:r>
      <w:r>
        <w:t xml:space="preserve">was supported by selecting quotations across participants to show both pattern and variation, and by describing context and participant characteristics so that readers can judge relevance to other settings.</w:t>
      </w:r>
    </w:p>
    <w:p>
      <w:pPr>
        <w:pStyle w:val="BodyText"/>
      </w:pPr>
      <w:r>
        <w:t xml:space="preserve">Transcripts were not returned to participants. All 23 participants were offered a two-page bilingual summary of preliminary interpretations, with three weeks to comment by email or brief call; 10 responded. These reflections were treated as additional perspectives rather than confirmation of a single correct interpretation (Smith &amp; McGannon, 2018) and led to refinement of the interpretation of informal feedback (Section 3.6.3).</w:t>
      </w:r>
    </w:p>
    <w:p>
      <w:pPr>
        <w:pStyle w:val="BodyText"/>
      </w:pPr>
      <w:r>
        <w:t xml:space="preserve">The team comprised three bilingual researchers. R1 was a male nurse academic (RN, PhD) with doctoral training in qualitative methods and previous unit-management experience in a Saudi hospital outside the study region. R2 was a qualitative health-services researcher with no clinical or managerial role in Saudi hospitals. R3 was a nurse leader with quality and patient-safety experience. No team member had an employment, supervisory or evaluative relationship with participants or study sites, and R1 had no prior personal acquaintance with any participant. R1’s professional familiarity supported rapport but could encourage assumed shared meaning or sympathy with managerial constraints; clarifying probes, a reflexive journal, R2’s outsider perspective and peer debriefing were used to challenge these influences (Olmos-Vega et al., 2023). Confidentiality, a non-evaluative stance and requests for both difficult and successful incidents addressed the possibility of favourable self-presentation, without assuming that it was eliminated.</w:t>
      </w:r>
    </w:p>
    <w:bookmarkEnd w:id="30"/>
    <w:bookmarkStart w:id="31" w:name="ethics"/>
    <w:p>
      <w:pPr>
        <w:pStyle w:val="Heading2"/>
      </w:pPr>
      <w:r>
        <w:t xml:space="preserve">2.9 Ethics</w:t>
      </w:r>
    </w:p>
    <w:p>
      <w:pPr>
        <w:pStyle w:val="FirstParagraph"/>
      </w:pPr>
      <w:r>
        <w:t xml:space="preserve">The Institutional Review Board of King Abdulaziz Specialist Hospital, Aljouf Health Cluster (committee registration H-13-S-161), approved the study on 26 December 2025 (No. 9804). Approval covered interviews, domestic transcription, optional member reflection and access to de-identified data by the specified support roles. The study was conducted within the Saudi research-ethics and personal-data-protection framework (Kingdom of Saudi Arabia, 2010, 2021) and followed the ethical principles of the 2024 revision of the Declaration of Helsinki (World Medical Association, 2025). Professional and reputational risks were reduced through confidential recruitment, restricted data access, removal or generalisation of identifying details and aggregation of small categories of participant characteristics. Participants were informed that, if they disclosed an ongoing, unaddressed risk of serious harm, the interviewer would encourage them to use organisational reporting channels; this procedure did not involve disclosure by the researchers, and no such disclosure occurred. Information about the hospital employee-support service was available to participants distressed by recalling difficult events. Safeguards are detailed in Supplementary File 3.</w:t>
      </w:r>
    </w:p>
    <w:bookmarkEnd w:id="31"/>
    <w:bookmarkEnd w:id="32"/>
    <w:bookmarkStart w:id="54" w:name="results"/>
    <w:p>
      <w:pPr>
        <w:pStyle w:val="Heading1"/>
      </w:pPr>
      <w:r>
        <w:t xml:space="preserve">3. Results</w:t>
      </w:r>
    </w:p>
    <w:bookmarkStart w:id="33" w:name="participants"/>
    <w:p>
      <w:pPr>
        <w:pStyle w:val="Heading2"/>
      </w:pPr>
      <w:r>
        <w:t xml:space="preserve">3.1 Participants</w:t>
      </w:r>
    </w:p>
    <w:p>
      <w:pPr>
        <w:pStyle w:val="FirstParagraph"/>
      </w:pPr>
      <w:r>
        <w:t xml:space="preserve">Twenty-three of the 38 eligible nurse managers participated, from all six hospitals (Table 1). Seventeen were women, and 20 were aged 35 years or older. Thirteen were Saudi nationals educated in Saudi Arabia, and ten had completed their basic nursing education outside Saudi Arabia. Fifteen held a diploma or bachelor’s degree as their highest nursing qualification and eight a master’s degree or doctorate. Nursing experience ranged from 7 to 31 years (mean 17.6), managerial experience was under five years for seven managers, and time in the current post ranged from 0.5 to 14 years (median 4). Nine managers worked in two tertiary hospitals and 14 in four secondary hospitals, with three to five participants per hospital.</w:t>
      </w:r>
    </w:p>
    <w:bookmarkEnd w:id="33"/>
    <w:bookmarkStart w:id="34" w:name="incident-accounts"/>
    <w:p>
      <w:pPr>
        <w:pStyle w:val="Heading2"/>
      </w:pPr>
      <w:r>
        <w:t xml:space="preserve">3.2 Incident accounts</w:t>
      </w:r>
    </w:p>
    <w:p>
      <w:pPr>
        <w:pStyle w:val="FirstParagraph"/>
      </w:pPr>
      <w:r>
        <w:t xml:space="preserve">Nineteen managers described a recent occasion when a nurse raised a concern while, by the manager’s account, routine unit indicators appeared satisfactory. Two described concerns raised when indicators were unfavourable or not referred to, and two described usual practice without a specific incident. These four accounts informed anticipated evidential demands and organisational conditions (Sections 3.5.3 and 3.7) rather than judgements in qualifying situations.</w:t>
      </w:r>
    </w:p>
    <w:p>
      <w:pPr>
        <w:pStyle w:val="BodyText"/>
      </w:pPr>
      <w:r>
        <w:t xml:space="preserve">The indicators cited in qualifying accounts concerned falls (n = 8), hospital-acquired pressure injuries (n = 6), patient experience (n = 3) and medication-administration incidents (n = 2). The concerns involved staffing or skill mix (n = 7), missed or delayed care (n = 6), deterioration or clinical monitoring (n = 3), and clinical practice or communication (n = 3). In 15 accounts, the cited indicator did not measure the aspect or period of care described in the concern; in four, both addressed the same care domain. These counts characterise the interview accounts, not the prevalence of events in practice.</w:t>
      </w:r>
    </w:p>
    <w:bookmarkEnd w:id="34"/>
    <w:bookmarkStart w:id="35" w:name="overview-of-themes"/>
    <w:p>
      <w:pPr>
        <w:pStyle w:val="Heading2"/>
      </w:pPr>
      <w:r>
        <w:t xml:space="preserve">3.3 Overview of themes</w:t>
      </w:r>
    </w:p>
    <w:p>
      <w:pPr>
        <w:pStyle w:val="FirstParagraph"/>
      </w:pPr>
      <w:r>
        <w:t xml:space="preserve">Four themes were constructed (Table 2; Fig. 1). Together they describe a conditional burden of proof: evidential expectations varied with the perceived urgency of a concern, the response it might require and the authority available to the manager. The themes are related dimensions of reasoning rather than a fixed sequence, and the patterns within them were not mutually exclusive: a single account could contribute to more than one theme. The 27 quotations presented come from 21 of the 23 participants across all six hospitals; 14 were translated from Arabic. Quotations are attributed by participant and hospital code only, to protect anonymity in a small regional population. A dagger (†) identifies translation from Arabic, and square brackets indicate clarification or replacement of identifying details.</w:t>
      </w:r>
    </w:p>
    <w:bookmarkEnd w:id="35"/>
    <w:bookmarkStart w:id="39" w:name="X6fc120d13b451b61c4291371de19c358ea9eb03"/>
    <w:p>
      <w:pPr>
        <w:pStyle w:val="Heading2"/>
      </w:pPr>
      <w:r>
        <w:t xml:space="preserve">3.4 Theme 1.</w:t>
      </w:r>
      <w:r>
        <w:t xml:space="preserve"> </w:t>
      </w:r>
      <w:r>
        <w:t xml:space="preserve">“</w:t>
      </w:r>
      <w:r>
        <w:t xml:space="preserve">Green can mean nothing has happened yet</w:t>
      </w:r>
      <w:r>
        <w:t xml:space="preserve">”</w:t>
      </w:r>
      <w:r>
        <w:t xml:space="preserve">: Weighing concerns against reassuring indicators</w:t>
      </w:r>
    </w:p>
    <w:p>
      <w:pPr>
        <w:pStyle w:val="FirstParagraph"/>
      </w:pPr>
      <w:r>
        <w:t xml:space="preserve">Managers described satisfactory indicators as an influential starting point but differed in whether they treated those results as sufficient reassurance. They assessed the relationship between a measure and a concern alongside the credibility of the messenger and the specificity of the account.</w:t>
      </w:r>
    </w:p>
    <w:bookmarkStart w:id="36" w:name="indicators-as-a-starting-presumption"/>
    <w:p>
      <w:pPr>
        <w:pStyle w:val="Heading3"/>
      </w:pPr>
      <w:r>
        <w:t xml:space="preserve">3.4.1 Indicators as a starting presumption</w:t>
      </w:r>
    </w:p>
    <w:p>
      <w:pPr>
        <w:pStyle w:val="FirstParagraph"/>
      </w:pPr>
      <w:r>
        <w:t xml:space="preserve">Satisfactory results could establish a presumption of safety before a concern was examined. Managers linked this presumption to organisational expectations:</w:t>
      </w:r>
    </w:p>
    <w:p>
      <w:pPr>
        <w:pStyle w:val="BlockText"/>
      </w:pPr>
      <w:r>
        <w:rPr>
          <w:iCs/>
          <w:i/>
        </w:rPr>
        <w:t xml:space="preserve">“</w:t>
      </w:r>
      <w:r>
        <w:rPr>
          <w:iCs/>
          <w:i/>
        </w:rPr>
        <w:t xml:space="preserve">When the dashboard is green for three months, you start from the position that the unit is safe. Not because you decided it, but because that is what everyone above you is looking at.</w:t>
      </w:r>
      <w:r>
        <w:rPr>
          <w:iCs/>
          <w:i/>
        </w:rPr>
        <w:t xml:space="preserve">”</w:t>
      </w:r>
      <w:r>
        <w:t xml:space="preserve"> </w:t>
      </w:r>
      <w:r>
        <w:t xml:space="preserve">(P05, H1)</w:t>
      </w:r>
    </w:p>
    <w:p>
      <w:pPr>
        <w:pStyle w:val="FirstParagraph"/>
      </w:pPr>
      <w:r>
        <w:t xml:space="preserve">The manager located the presumption not in personal judgement but in what senior managers attended to. A favourable outcome measure could also initially outweigh a concern about the conditions under which care was delivered:</w:t>
      </w:r>
    </w:p>
    <w:p>
      <w:pPr>
        <w:pStyle w:val="BlockText"/>
      </w:pPr>
      <w:r>
        <w:rPr>
          <w:iCs/>
          <w:i/>
        </w:rPr>
        <w:t xml:space="preserve">“</w:t>
      </w:r>
      <w:r>
        <w:rPr>
          <w:iCs/>
          <w:i/>
        </w:rPr>
        <w:t xml:space="preserve">The falls rate was zero for the whole quarter. So when she told me the night shift could not watch the confused patients, my first thought, honestly, was: but we have no falls.</w:t>
      </w:r>
      <w:r>
        <w:rPr>
          <w:iCs/>
          <w:i/>
        </w:rPr>
        <w:t xml:space="preserve">”</w:t>
      </w:r>
      <w:r>
        <w:t xml:space="preserve"> </w:t>
      </w:r>
      <w:r>
        <w:t xml:space="preserve">(P15, H4†)</w:t>
      </w:r>
    </w:p>
    <w:p>
      <w:pPr>
        <w:pStyle w:val="FirstParagraph"/>
      </w:pPr>
      <w:r>
        <w:t xml:space="preserve">This account set the absence of recorded falls against a current supervision concern. The two addressed different things, yet the outcome measure framed the manager’s first response. Other managers described learning through experience to question the reassurance offered by an event-free period:</w:t>
      </w:r>
    </w:p>
    <w:p>
      <w:pPr>
        <w:pStyle w:val="BlockText"/>
      </w:pPr>
      <w:r>
        <w:rPr>
          <w:iCs/>
          <w:i/>
        </w:rPr>
        <w:t xml:space="preserve">“</w:t>
      </w:r>
      <w:r>
        <w:rPr>
          <w:iCs/>
          <w:i/>
        </w:rPr>
        <w:t xml:space="preserve">After many years you learn that green can mean nothing has happened yet. It does not mean nothing is happening.</w:t>
      </w:r>
      <w:r>
        <w:rPr>
          <w:iCs/>
          <w:i/>
        </w:rPr>
        <w:t xml:space="preserve">”</w:t>
      </w:r>
      <w:r>
        <w:t xml:space="preserve"> </w:t>
      </w:r>
      <w:r>
        <w:t xml:space="preserve">(P10, H3)</w:t>
      </w:r>
    </w:p>
    <w:p>
      <w:pPr>
        <w:pStyle w:val="FirstParagraph"/>
      </w:pPr>
      <w:r>
        <w:t xml:space="preserve">The distinction between nothing having happened and nothing happening expressed the limit of a retrospective outcome measure as evidence about present risk.</w:t>
      </w:r>
    </w:p>
    <w:bookmarkEnd w:id="36"/>
    <w:bookmarkStart w:id="37" w:name="recognising-what-indicators-cannot-show"/>
    <w:p>
      <w:pPr>
        <w:pStyle w:val="Heading3"/>
      </w:pPr>
      <w:r>
        <w:t xml:space="preserve">3.4.2 Recognising what indicators cannot show</w:t>
      </w:r>
    </w:p>
    <w:p>
      <w:pPr>
        <w:pStyle w:val="FirstParagraph"/>
      </w:pPr>
      <w:r>
        <w:t xml:space="preserve">Managers identified differences in the timing and content of indicators and concerns. A pressure-injury measure, for example, was contrasted with delayed repositioning:</w:t>
      </w:r>
    </w:p>
    <w:p>
      <w:pPr>
        <w:pStyle w:val="BlockText"/>
      </w:pPr>
      <w:r>
        <w:rPr>
          <w:iCs/>
          <w:i/>
        </w:rPr>
        <w:t xml:space="preserve">“</w:t>
      </w:r>
      <w:r>
        <w:rPr>
          <w:iCs/>
          <w:i/>
        </w:rPr>
        <w:t xml:space="preserve">Our pressure injury rate was excellent. But the nurse was telling me we were turning patients every four hours instead of two because we were short. The indicator will show that in a month, maybe two. By then it is a wound.</w:t>
      </w:r>
      <w:r>
        <w:rPr>
          <w:iCs/>
          <w:i/>
        </w:rPr>
        <w:t xml:space="preserve">”</w:t>
      </w:r>
      <w:r>
        <w:t xml:space="preserve"> </w:t>
      </w:r>
      <w:r>
        <w:t xml:space="preserve">(P02, H1)</w:t>
      </w:r>
    </w:p>
    <w:p>
      <w:pPr>
        <w:pStyle w:val="FirstParagraph"/>
      </w:pPr>
      <w:r>
        <w:t xml:space="preserve">The concern described a current care process, whereas the indicator recorded an outcome that would register only after harm had occurred. Such comparisons did not necessarily involve two contradictory assessments of the same phenomenon. Where the concern and indicator addressed the same domain, apparent reassurance could instead prompt scrutiny of how the data were produced:</w:t>
      </w:r>
    </w:p>
    <w:p>
      <w:pPr>
        <w:pStyle w:val="BlockText"/>
      </w:pPr>
      <w:r>
        <w:rPr>
          <w:iCs/>
          <w:i/>
        </w:rPr>
        <w:t xml:space="preserve">“</w:t>
      </w:r>
      <w:r>
        <w:rPr>
          <w:iCs/>
          <w:i/>
        </w:rPr>
        <w:t xml:space="preserve">This time the concern and the indicator were about the same thing. And that made me more worried, not less: zero pressure injuries with that acuity and that staffing did not make sense to me. So I started asking how the skin assessments were being recorded.</w:t>
      </w:r>
      <w:r>
        <w:rPr>
          <w:iCs/>
          <w:i/>
        </w:rPr>
        <w:t xml:space="preserve">”</w:t>
      </w:r>
      <w:r>
        <w:t xml:space="preserve"> </w:t>
      </w:r>
      <w:r>
        <w:t xml:space="preserve">(P07, H2†)</w:t>
      </w:r>
    </w:p>
    <w:p>
      <w:pPr>
        <w:pStyle w:val="FirstParagraph"/>
      </w:pPr>
      <w:r>
        <w:t xml:space="preserve">Here the concern became a reason to question the favourable result, rather than the result becoming a reason to discount the concern. Both accounts show managers treating the relevance of a favourable result as open to interpretation.</w:t>
      </w:r>
    </w:p>
    <w:bookmarkEnd w:id="37"/>
    <w:bookmarkStart w:id="38" w:name="X12c2b3a1e4d8805c57ceb5e4fe93be1be62dfb8"/>
    <w:p>
      <w:pPr>
        <w:pStyle w:val="Heading3"/>
      </w:pPr>
      <w:r>
        <w:t xml:space="preserve">3.4.3 Credibility through the messenger and the detail</w:t>
      </w:r>
    </w:p>
    <w:p>
      <w:pPr>
        <w:pStyle w:val="FirstParagraph"/>
      </w:pPr>
      <w:r>
        <w:t xml:space="preserve">Managers weighed experience, previous interactions, corroboration and the specificity of an account when judging credibility. Prior views of the nurse could influence attention:</w:t>
      </w:r>
    </w:p>
    <w:p>
      <w:pPr>
        <w:pStyle w:val="BlockText"/>
      </w:pPr>
      <w:r>
        <w:rPr>
          <w:iCs/>
          <w:i/>
        </w:rPr>
        <w:t xml:space="preserve">“</w:t>
      </w:r>
      <w:r>
        <w:rPr>
          <w:iCs/>
          <w:i/>
        </w:rPr>
        <w:t xml:space="preserve">If it comes from a senior nurse who has never complained before, I take it immediately. Some staff complain every shift, and I am sorry to say I listen to them less.</w:t>
      </w:r>
      <w:r>
        <w:rPr>
          <w:iCs/>
          <w:i/>
        </w:rPr>
        <w:t xml:space="preserve">”</w:t>
      </w:r>
      <w:r>
        <w:t xml:space="preserve"> </w:t>
      </w:r>
      <w:r>
        <w:t xml:space="preserve">(P13, H3)</w:t>
      </w:r>
    </w:p>
    <w:p>
      <w:pPr>
        <w:pStyle w:val="FirstParagraph"/>
      </w:pPr>
      <w:r>
        <w:t xml:space="preserve">Reputation could therefore shape attention before the content of a particular concern was examined. Concrete detail, by contrast, made a concern easier to investigate:</w:t>
      </w:r>
    </w:p>
    <w:p>
      <w:pPr>
        <w:pStyle w:val="BlockText"/>
      </w:pPr>
      <w:r>
        <w:rPr>
          <w:iCs/>
          <w:i/>
        </w:rPr>
        <w:t xml:space="preserve">“</w:t>
      </w:r>
      <w:r>
        <w:rPr>
          <w:iCs/>
          <w:i/>
        </w:rPr>
        <w:t xml:space="preserve">Detail matters.</w:t>
      </w:r>
      <w:r>
        <w:rPr>
          <w:iCs/>
          <w:i/>
        </w:rPr>
        <w:t xml:space="preserve"> </w:t>
      </w:r>
      <w:r>
        <w:rPr>
          <w:iCs/>
          <w:i/>
        </w:rPr>
        <w:t xml:space="preserve">‘</w:t>
      </w:r>
      <w:r>
        <w:rPr>
          <w:iCs/>
          <w:i/>
        </w:rPr>
        <w:t xml:space="preserve">The unit is unsafe</w:t>
      </w:r>
      <w:r>
        <w:rPr>
          <w:iCs/>
          <w:i/>
        </w:rPr>
        <w:t xml:space="preserve">’</w:t>
      </w:r>
      <w:r>
        <w:rPr>
          <w:iCs/>
          <w:i/>
        </w:rPr>
        <w:t xml:space="preserve"> </w:t>
      </w:r>
      <w:r>
        <w:rPr>
          <w:iCs/>
          <w:i/>
        </w:rPr>
        <w:t xml:space="preserve">I cannot do anything with.</w:t>
      </w:r>
      <w:r>
        <w:rPr>
          <w:iCs/>
          <w:i/>
        </w:rPr>
        <w:t xml:space="preserve"> </w:t>
      </w:r>
      <w:r>
        <w:rPr>
          <w:iCs/>
          <w:i/>
        </w:rPr>
        <w:t xml:space="preserve">‘</w:t>
      </w:r>
      <w:r>
        <w:rPr>
          <w:iCs/>
          <w:i/>
        </w:rPr>
        <w:t xml:space="preserve">The patient in the side room waited forty minutes for suction</w:t>
      </w:r>
      <w:r>
        <w:rPr>
          <w:iCs/>
          <w:i/>
        </w:rPr>
        <w:t xml:space="preserve">’</w:t>
      </w:r>
      <w:r>
        <w:rPr>
          <w:iCs/>
          <w:i/>
        </w:rPr>
        <w:t xml:space="preserve">, that I can check.</w:t>
      </w:r>
      <w:r>
        <w:rPr>
          <w:iCs/>
          <w:i/>
        </w:rPr>
        <w:t xml:space="preserve">”</w:t>
      </w:r>
      <w:r>
        <w:t xml:space="preserve"> </w:t>
      </w:r>
      <w:r>
        <w:t xml:space="preserve">(P21, H6)</w:t>
      </w:r>
    </w:p>
    <w:p>
      <w:pPr>
        <w:pStyle w:val="FirstParagraph"/>
      </w:pPr>
      <w:r>
        <w:t xml:space="preserve">Specificity mattered because it converted a general worry into something checkable. Some managers questioned the fairness of relying on familiarity with particular nurses:</w:t>
      </w:r>
    </w:p>
    <w:p>
      <w:pPr>
        <w:pStyle w:val="BlockText"/>
      </w:pPr>
      <w:r>
        <w:rPr>
          <w:iCs/>
          <w:i/>
        </w:rPr>
        <w:t xml:space="preserve">“</w:t>
      </w:r>
      <w:r>
        <w:rPr>
          <w:iCs/>
          <w:i/>
        </w:rPr>
        <w:t xml:space="preserve">I know I trust some nurses more than others. I worry about that, because the quiet ones are often the ones who do not tell me at all.</w:t>
      </w:r>
      <w:r>
        <w:rPr>
          <w:iCs/>
          <w:i/>
        </w:rPr>
        <w:t xml:space="preserve">”</w:t>
      </w:r>
      <w:r>
        <w:t xml:space="preserve"> </w:t>
      </w:r>
      <w:r>
        <w:t xml:space="preserve">(P01, H1†)</w:t>
      </w:r>
    </w:p>
    <w:p>
      <w:pPr>
        <w:pStyle w:val="FirstParagraph"/>
      </w:pPr>
      <w:r>
        <w:t xml:space="preserve">The accounts thus revealed both practical attempts to assess information and recognition that habitual judgements about the messenger could obscure concerns raised less confidently.</w:t>
      </w:r>
    </w:p>
    <w:bookmarkEnd w:id="38"/>
    <w:bookmarkEnd w:id="39"/>
    <w:bookmarkStart w:id="44" w:name="X1e33e32a39a5a908d1ab0d7ce734a5a682089de"/>
    <w:p>
      <w:pPr>
        <w:pStyle w:val="Heading2"/>
      </w:pPr>
      <w:r>
        <w:t xml:space="preserve">3.5 Theme 2.</w:t>
      </w:r>
      <w:r>
        <w:t xml:space="preserve"> </w:t>
      </w:r>
      <w:r>
        <w:t xml:space="preserve">“</w:t>
      </w:r>
      <w:r>
        <w:t xml:space="preserve">It passes down the line</w:t>
      </w:r>
      <w:r>
        <w:t xml:space="preserve">”</w:t>
      </w:r>
      <w:r>
        <w:t xml:space="preserve">: Allocating the burden of proof</w:t>
      </w:r>
    </w:p>
    <w:p>
      <w:pPr>
        <w:pStyle w:val="FirstParagraph"/>
      </w:pPr>
      <w:r>
        <w:t xml:space="preserve">Managers decided whether further information was needed and who should obtain it. Responsibility shifted between the nurse, the manager and anticipated organisational demands; it was not a uniform requirement applied to every concern.</w:t>
      </w:r>
    </w:p>
    <w:bookmarkStart w:id="40" w:name="asking-nurses-to-document-concerns"/>
    <w:p>
      <w:pPr>
        <w:pStyle w:val="Heading3"/>
      </w:pPr>
      <w:r>
        <w:t xml:space="preserve">3.5.1 Asking nurses to document concerns</w:t>
      </w:r>
    </w:p>
    <w:p>
      <w:pPr>
        <w:pStyle w:val="FirstParagraph"/>
      </w:pPr>
      <w:r>
        <w:t xml:space="preserve">In 11 of the 19 qualifying accounts, managers requested a written account or incident report before acting. This count is reported across qualifying accounts rather than by concern type. Documentation arose spontaneously in early interviews and was explored more systematically through the probe added after interview 12. Managers described writing as a route into organisational processes:</w:t>
      </w:r>
    </w:p>
    <w:p>
      <w:pPr>
        <w:pStyle w:val="BlockText"/>
      </w:pPr>
      <w:r>
        <w:rPr>
          <w:iCs/>
          <w:i/>
        </w:rPr>
        <w:t xml:space="preserve">“</w:t>
      </w:r>
      <w:r>
        <w:rPr>
          <w:iCs/>
          <w:i/>
        </w:rPr>
        <w:t xml:space="preserve">The nurse was upset. She said,</w:t>
      </w:r>
      <w:r>
        <w:rPr>
          <w:iCs/>
          <w:i/>
        </w:rPr>
        <w:t xml:space="preserve"> </w:t>
      </w:r>
      <w:r>
        <w:rPr>
          <w:iCs/>
          <w:i/>
        </w:rPr>
        <w:t xml:space="preserve">‘</w:t>
      </w:r>
      <w:r>
        <w:rPr>
          <w:iCs/>
          <w:i/>
        </w:rPr>
        <w:t xml:space="preserve">I already told you, why do I need to write it?</w:t>
      </w:r>
      <w:r>
        <w:rPr>
          <w:iCs/>
          <w:i/>
        </w:rPr>
        <w:t xml:space="preserve">’</w:t>
      </w:r>
      <w:r>
        <w:rPr>
          <w:iCs/>
          <w:i/>
        </w:rPr>
        <w:t xml:space="preserve"> </w:t>
      </w:r>
      <w:r>
        <w:rPr>
          <w:iCs/>
          <w:i/>
        </w:rPr>
        <w:t xml:space="preserve">I understood her, but when I go upstairs they ask me: where is the report?</w:t>
      </w:r>
      <w:r>
        <w:rPr>
          <w:iCs/>
          <w:i/>
        </w:rPr>
        <w:t xml:space="preserve">”</w:t>
      </w:r>
      <w:r>
        <w:t xml:space="preserve"> </w:t>
      </w:r>
      <w:r>
        <w:t xml:space="preserve">(P12, H3†)</w:t>
      </w:r>
    </w:p>
    <w:p>
      <w:pPr>
        <w:pStyle w:val="FirstParagraph"/>
      </w:pPr>
      <w:r>
        <w:t xml:space="preserve">The manager explained the request by anticipated questions from senior management rather than by doubt about the nurse’s account, while the nurse experienced it as having to raise the concern twice. Another account challenged the interpretation that documentation served only to make concerns visible:</w:t>
      </w:r>
    </w:p>
    <w:p>
      <w:pPr>
        <w:pStyle w:val="BlockText"/>
      </w:pPr>
      <w:r>
        <w:rPr>
          <w:iCs/>
          <w:i/>
        </w:rPr>
        <w:t xml:space="preserve">“</w:t>
      </w:r>
      <w:r>
        <w:rPr>
          <w:iCs/>
          <w:i/>
        </w:rPr>
        <w:t xml:space="preserve">Sometimes asking for documentation is how we slow things down. I have done that, I admit it. It gives you time, and sometimes the problem goes away by itself, and sometimes it does not.</w:t>
      </w:r>
      <w:r>
        <w:rPr>
          <w:iCs/>
          <w:i/>
        </w:rPr>
        <w:t xml:space="preserve">”</w:t>
      </w:r>
      <w:r>
        <w:t xml:space="preserve"> </w:t>
      </w:r>
      <w:r>
        <w:t xml:space="preserve">(P16, H4)</w:t>
      </w:r>
    </w:p>
    <w:p>
      <w:pPr>
        <w:pStyle w:val="FirstParagraph"/>
      </w:pPr>
      <w:r>
        <w:t xml:space="preserve">Documentation could therefore support investigation or postpone it. Its meaning depended on whether it enabled a response or became a condition that delayed further attention.</w:t>
      </w:r>
    </w:p>
    <w:bookmarkEnd w:id="40"/>
    <w:bookmarkStart w:id="41" w:name="Xd0f8ebb4534e609e66ce3dd16b461729ef31eb9"/>
    <w:p>
      <w:pPr>
        <w:pStyle w:val="Heading3"/>
      </w:pPr>
      <w:r>
        <w:t xml:space="preserve">3.5.2 Managers taking responsibility for substantiation</w:t>
      </w:r>
    </w:p>
    <w:p>
      <w:pPr>
        <w:pStyle w:val="FirstParagraph"/>
      </w:pPr>
      <w:r>
        <w:t xml:space="preserve">Some managers investigated concerns themselves through observation or record review, reducing what the reporting nurse had to supply:</w:t>
      </w:r>
    </w:p>
    <w:p>
      <w:pPr>
        <w:pStyle w:val="BlockText"/>
      </w:pPr>
      <w:r>
        <w:rPr>
          <w:iCs/>
          <w:i/>
        </w:rPr>
        <w:t xml:space="preserve">“</w:t>
      </w:r>
      <w:r>
        <w:rPr>
          <w:iCs/>
          <w:i/>
        </w:rPr>
        <w:t xml:space="preserve">I did not ask her to bring proof. I came in on the night shift twice, without announcing it, and I saw it with my own eyes.</w:t>
      </w:r>
      <w:r>
        <w:rPr>
          <w:iCs/>
          <w:i/>
        </w:rPr>
        <w:t xml:space="preserve">”</w:t>
      </w:r>
      <w:r>
        <w:t xml:space="preserve"> </w:t>
      </w:r>
      <w:r>
        <w:t xml:space="preserve">(P04, H1†)</w:t>
      </w:r>
    </w:p>
    <w:p>
      <w:pPr>
        <w:pStyle w:val="BlockText"/>
      </w:pPr>
      <w:r>
        <w:rPr>
          <w:iCs/>
          <w:i/>
        </w:rPr>
        <w:t xml:space="preserve">“</w:t>
      </w:r>
      <w:r>
        <w:rPr>
          <w:iCs/>
          <w:i/>
        </w:rPr>
        <w:t xml:space="preserve">Checking is my job, not hers. She raised it; it is my responsibility to find out whether it is true.</w:t>
      </w:r>
      <w:r>
        <w:rPr>
          <w:iCs/>
          <w:i/>
        </w:rPr>
        <w:t xml:space="preserve">”</w:t>
      </w:r>
      <w:r>
        <w:t xml:space="preserve"> </w:t>
      </w:r>
      <w:r>
        <w:t xml:space="preserve">(P19, H5†)</w:t>
      </w:r>
    </w:p>
    <w:p>
      <w:pPr>
        <w:pStyle w:val="FirstParagraph"/>
      </w:pPr>
      <w:r>
        <w:t xml:space="preserve">These managers positioned investigation as managerial work rather than as a condition placed on the nurse. Such work could, however, depend on personal capacity:</w:t>
      </w:r>
    </w:p>
    <w:p>
      <w:pPr>
        <w:pStyle w:val="BlockText"/>
      </w:pPr>
      <w:r>
        <w:rPr>
          <w:iCs/>
          <w:i/>
        </w:rPr>
        <w:t xml:space="preserve">“</w:t>
      </w:r>
      <w:r>
        <w:rPr>
          <w:iCs/>
          <w:i/>
        </w:rPr>
        <w:t xml:space="preserve">I audited ten charts myself. It took my whole weekend, but after that nobody could argue with it.</w:t>
      </w:r>
      <w:r>
        <w:rPr>
          <w:iCs/>
          <w:i/>
        </w:rPr>
        <w:t xml:space="preserve">”</w:t>
      </w:r>
      <w:r>
        <w:t xml:space="preserve"> </w:t>
      </w:r>
      <w:r>
        <w:t xml:space="preserve">(P18, H5)</w:t>
      </w:r>
    </w:p>
    <w:p>
      <w:pPr>
        <w:pStyle w:val="FirstParagraph"/>
      </w:pPr>
      <w:r>
        <w:t xml:space="preserve">The audit was persuasive, but it was produced in the manager’s own time, suggesting that responsiveness could rest on individual effort rather than on routine organisational provision for investigation.</w:t>
      </w:r>
    </w:p>
    <w:bookmarkEnd w:id="41"/>
    <w:bookmarkStart w:id="42" w:name="X99c7f776ee507e82c7632729729b901540ffeda"/>
    <w:p>
      <w:pPr>
        <w:pStyle w:val="Heading3"/>
      </w:pPr>
      <w:r>
        <w:t xml:space="preserve">3.5.3 Anticipating evidential demands from above</w:t>
      </w:r>
    </w:p>
    <w:p>
      <w:pPr>
        <w:pStyle w:val="FirstParagraph"/>
      </w:pPr>
      <w:r>
        <w:t xml:space="preserve">Managers with and without qualifying incidents described expecting senior managers to prioritise indicator results:</w:t>
      </w:r>
    </w:p>
    <w:p>
      <w:pPr>
        <w:pStyle w:val="BlockText"/>
      </w:pPr>
      <w:r>
        <w:rPr>
          <w:iCs/>
          <w:i/>
        </w:rPr>
        <w:t xml:space="preserve">“</w:t>
      </w:r>
      <w:r>
        <w:rPr>
          <w:iCs/>
          <w:i/>
        </w:rPr>
        <w:t xml:space="preserve">In the quality meeting, if you say</w:t>
      </w:r>
      <w:r>
        <w:rPr>
          <w:iCs/>
          <w:i/>
        </w:rPr>
        <w:t xml:space="preserve"> </w:t>
      </w:r>
      <w:r>
        <w:rPr>
          <w:iCs/>
          <w:i/>
        </w:rPr>
        <w:t xml:space="preserve">‘</w:t>
      </w:r>
      <w:r>
        <w:rPr>
          <w:iCs/>
          <w:i/>
        </w:rPr>
        <w:t xml:space="preserve">my nurses are worried</w:t>
      </w:r>
      <w:r>
        <w:rPr>
          <w:iCs/>
          <w:i/>
        </w:rPr>
        <w:t xml:space="preserve">’</w:t>
      </w:r>
      <w:r>
        <w:rPr>
          <w:iCs/>
          <w:i/>
        </w:rPr>
        <w:t xml:space="preserve">, the first question is</w:t>
      </w:r>
      <w:r>
        <w:rPr>
          <w:iCs/>
          <w:i/>
        </w:rPr>
        <w:t xml:space="preserve"> </w:t>
      </w:r>
      <w:r>
        <w:rPr>
          <w:iCs/>
          <w:i/>
        </w:rPr>
        <w:t xml:space="preserve">‘</w:t>
      </w:r>
      <w:r>
        <w:rPr>
          <w:iCs/>
          <w:i/>
        </w:rPr>
        <w:t xml:space="preserve">what do your indicators show?</w:t>
      </w:r>
      <w:r>
        <w:rPr>
          <w:iCs/>
          <w:i/>
        </w:rPr>
        <w:t xml:space="preserve">’</w:t>
      </w:r>
      <w:r>
        <w:rPr>
          <w:iCs/>
          <w:i/>
        </w:rPr>
        <w:t xml:space="preserve"> </w:t>
      </w:r>
      <w:r>
        <w:rPr>
          <w:iCs/>
          <w:i/>
        </w:rPr>
        <w:t xml:space="preserve">If they are green, the discussion is finished.</w:t>
      </w:r>
      <w:r>
        <w:rPr>
          <w:iCs/>
          <w:i/>
        </w:rPr>
        <w:t xml:space="preserve">”</w:t>
      </w:r>
      <w:r>
        <w:t xml:space="preserve"> </w:t>
      </w:r>
      <w:r>
        <w:t xml:space="preserve">(P14, H4†)</w:t>
      </w:r>
    </w:p>
    <w:p>
      <w:pPr>
        <w:pStyle w:val="FirstParagraph"/>
      </w:pPr>
      <w:r>
        <w:t xml:space="preserve">Indicator results functioned here as the threshold question for collective attention. Anticipated requirements could then be reproduced in requests to nurses:</w:t>
      </w:r>
    </w:p>
    <w:p>
      <w:pPr>
        <w:pStyle w:val="BlockText"/>
      </w:pPr>
      <w:r>
        <w:rPr>
          <w:iCs/>
          <w:i/>
        </w:rPr>
        <w:t xml:space="preserve">“</w:t>
      </w:r>
      <w:r>
        <w:rPr>
          <w:iCs/>
          <w:i/>
        </w:rPr>
        <w:t xml:space="preserve">So we learn to ask our nurses for the same proof the director asks us for. It passes down the line.</w:t>
      </w:r>
      <w:r>
        <w:rPr>
          <w:iCs/>
          <w:i/>
        </w:rPr>
        <w:t xml:space="preserve">”</w:t>
      </w:r>
      <w:r>
        <w:t xml:space="preserve"> </w:t>
      </w:r>
      <w:r>
        <w:t xml:space="preserve">(P22, H6†)</w:t>
      </w:r>
    </w:p>
    <w:p>
      <w:pPr>
        <w:pStyle w:val="FirstParagraph"/>
      </w:pPr>
      <w:r>
        <w:t xml:space="preserve">These accounts suggest that evidential demands were not generated solely at unit level. Managers described adapting their expectations to what they believed would secure attention higher in the organisation.</w:t>
      </w:r>
    </w:p>
    <w:bookmarkEnd w:id="42"/>
    <w:bookmarkStart w:id="43" w:name="acting-before-additional-substantiation"/>
    <w:p>
      <w:pPr>
        <w:pStyle w:val="Heading3"/>
      </w:pPr>
      <w:r>
        <w:t xml:space="preserve">3.5.4 Acting before additional substantiation</w:t>
      </w:r>
    </w:p>
    <w:p>
      <w:pPr>
        <w:pStyle w:val="FirstParagraph"/>
      </w:pPr>
      <w:r>
        <w:t xml:space="preserve">Contrasting occasions qualified the emphasis on proof. Concerns about an individual patient’s condition could prompt assessment without requiring the nurse to assemble further evidence:</w:t>
      </w:r>
    </w:p>
    <w:p>
      <w:pPr>
        <w:pStyle w:val="BlockText"/>
      </w:pPr>
      <w:r>
        <w:rPr>
          <w:iCs/>
          <w:i/>
        </w:rPr>
        <w:t xml:space="preserve">“</w:t>
      </w:r>
      <w:r>
        <w:rPr>
          <w:iCs/>
          <w:i/>
        </w:rPr>
        <w:t xml:space="preserve">If a nurse says a patient doesn’t look right, I don’t ask for evidence. I go to the bedside. That is different from a staffing complaint.</w:t>
      </w:r>
      <w:r>
        <w:rPr>
          <w:iCs/>
          <w:i/>
        </w:rPr>
        <w:t xml:space="preserve">”</w:t>
      </w:r>
      <w:r>
        <w:t xml:space="preserve"> </w:t>
      </w:r>
      <w:r>
        <w:t xml:space="preserve">(P08, H2)</w:t>
      </w:r>
    </w:p>
    <w:p>
      <w:pPr>
        <w:pStyle w:val="FirstParagraph"/>
      </w:pPr>
      <w:r>
        <w:t xml:space="preserve">Medication concerns similarly prompted immediate checking:</w:t>
      </w:r>
    </w:p>
    <w:p>
      <w:pPr>
        <w:pStyle w:val="BlockText"/>
      </w:pPr>
      <w:r>
        <w:rPr>
          <w:iCs/>
          <w:i/>
        </w:rPr>
        <w:t xml:space="preserve">“</w:t>
      </w:r>
      <w:r>
        <w:rPr>
          <w:iCs/>
          <w:i/>
        </w:rPr>
        <w:t xml:space="preserve">With [these patients] and medications, if she has a doubt, we stop and we double-check. I do not need anything else.</w:t>
      </w:r>
      <w:r>
        <w:rPr>
          <w:iCs/>
          <w:i/>
        </w:rPr>
        <w:t xml:space="preserve">”</w:t>
      </w:r>
      <w:r>
        <w:t xml:space="preserve"> </w:t>
      </w:r>
      <w:r>
        <w:t xml:space="preserve">(P03, H1†)</w:t>
      </w:r>
    </w:p>
    <w:p>
      <w:pPr>
        <w:pStyle w:val="FirstParagraph"/>
      </w:pPr>
      <w:r>
        <w:t xml:space="preserve">In these accounts the nurse’s report was itself treated as sufficient grounds for inquiry, and assessment and double-checking were themselves investigative actions. The distinction was between beginning a response and requiring additional substantiation before beginning one. The first manager’s explicit contrast with</w:t>
      </w:r>
      <w:r>
        <w:t xml:space="preserve"> </w:t>
      </w:r>
      <w:r>
        <w:t xml:space="preserve">“</w:t>
      </w:r>
      <w:r>
        <w:t xml:space="preserve">a staffing complaint</w:t>
      </w:r>
      <w:r>
        <w:t xml:space="preserve">”</w:t>
      </w:r>
      <w:r>
        <w:t xml:space="preserve"> </w:t>
      </w:r>
      <w:r>
        <w:t xml:space="preserve">points to the other side of this distinction: resource-related concerns were often described as requiring a more developed case, suggesting that evidential expectations reflected the anticipated response as well as perceived urgency.</w:t>
      </w:r>
    </w:p>
    <w:bookmarkEnd w:id="43"/>
    <w:bookmarkEnd w:id="44"/>
    <w:bookmarkStart w:id="48" w:name="X375b01d9199214a666b6c668c090e5a722b9d64"/>
    <w:p>
      <w:pPr>
        <w:pStyle w:val="Heading2"/>
      </w:pPr>
      <w:r>
        <w:t xml:space="preserve">3.6 Theme 3.</w:t>
      </w:r>
      <w:r>
        <w:t xml:space="preserve"> </w:t>
      </w:r>
      <w:r>
        <w:t xml:space="preserve">“</w:t>
      </w:r>
      <w:r>
        <w:t xml:space="preserve">It never reaches the dashboard</w:t>
      </w:r>
      <w:r>
        <w:t xml:space="preserve">”</w:t>
      </w:r>
      <w:r>
        <w:t xml:space="preserve">: Responding, escalating and closing the loop</w:t>
      </w:r>
    </w:p>
    <w:p>
      <w:pPr>
        <w:pStyle w:val="FirstParagraph"/>
      </w:pPr>
      <w:r>
        <w:t xml:space="preserve">Managers described local adjustments, escalation beyond their authority and feedback to the nurse. These responses differed in their reported speed and their organisational visibility.</w:t>
      </w:r>
    </w:p>
    <w:bookmarkStart w:id="45" w:name="graduated-local-responses"/>
    <w:p>
      <w:pPr>
        <w:pStyle w:val="Heading3"/>
      </w:pPr>
      <w:r>
        <w:t xml:space="preserve">3.6.1 Graduated local responses</w:t>
      </w:r>
    </w:p>
    <w:p>
      <w:pPr>
        <w:pStyle w:val="FirstParagraph"/>
      </w:pPr>
      <w:r>
        <w:t xml:space="preserve">Managers often described reallocating staff, changing assignments or adding checks within their existing authority:</w:t>
      </w:r>
    </w:p>
    <w:p>
      <w:pPr>
        <w:pStyle w:val="BlockText"/>
      </w:pPr>
      <w:r>
        <w:rPr>
          <w:iCs/>
          <w:i/>
        </w:rPr>
        <w:t xml:space="preserve">“</w:t>
      </w:r>
      <w:r>
        <w:rPr>
          <w:iCs/>
          <w:i/>
        </w:rPr>
        <w:t xml:space="preserve">Most of the time I solve it inside: I move a nurse from the day shift, I change the assignment. It never reaches the dashboard, good or bad.</w:t>
      </w:r>
      <w:r>
        <w:rPr>
          <w:iCs/>
          <w:i/>
        </w:rPr>
        <w:t xml:space="preserve">”</w:t>
      </w:r>
      <w:r>
        <w:t xml:space="preserve"> </w:t>
      </w:r>
      <w:r>
        <w:t xml:space="preserve">(P06, H2†)</w:t>
      </w:r>
    </w:p>
    <w:p>
      <w:pPr>
        <w:pStyle w:val="FirstParagraph"/>
      </w:pPr>
      <w:r>
        <w:t xml:space="preserve">Managers described local action as faster than formal escalation. The phrase</w:t>
      </w:r>
      <w:r>
        <w:t xml:space="preserve"> </w:t>
      </w:r>
      <w:r>
        <w:t xml:space="preserve">“</w:t>
      </w:r>
      <w:r>
        <w:t xml:space="preserve">good or bad</w:t>
      </w:r>
      <w:r>
        <w:t xml:space="preserve">”</w:t>
      </w:r>
      <w:r>
        <w:t xml:space="preserve"> </w:t>
      </w:r>
      <w:r>
        <w:t xml:space="preserve">indicates, however, that neither the problem nor its resolution entered organisational reporting, so the reported speed of local responses coexisted with limited organisational visibility of the problems prompting them.</w:t>
      </w:r>
    </w:p>
    <w:bookmarkEnd w:id="45"/>
    <w:bookmarkStart w:id="46" w:name="escalation-as-translation"/>
    <w:p>
      <w:pPr>
        <w:pStyle w:val="Heading3"/>
      </w:pPr>
      <w:r>
        <w:t xml:space="preserve">3.6.2 Escalation as translation</w:t>
      </w:r>
    </w:p>
    <w:p>
      <w:pPr>
        <w:pStyle w:val="FirstParagraph"/>
      </w:pPr>
      <w:r>
        <w:t xml:space="preserve">When a response exceeded their authority, managers described translating care concerns into measures they expected senior managers to recognise:</w:t>
      </w:r>
    </w:p>
    <w:p>
      <w:pPr>
        <w:pStyle w:val="BlockText"/>
      </w:pPr>
      <w:r>
        <w:rPr>
          <w:iCs/>
          <w:i/>
        </w:rPr>
        <w:t xml:space="preserve">“</w:t>
      </w:r>
      <w:r>
        <w:rPr>
          <w:iCs/>
          <w:i/>
        </w:rPr>
        <w:t xml:space="preserve">I could not go to the director with</w:t>
      </w:r>
      <w:r>
        <w:rPr>
          <w:iCs/>
          <w:i/>
        </w:rPr>
        <w:t xml:space="preserve"> </w:t>
      </w:r>
      <w:r>
        <w:rPr>
          <w:iCs/>
          <w:i/>
        </w:rPr>
        <w:t xml:space="preserve">‘</w:t>
      </w:r>
      <w:r>
        <w:rPr>
          <w:iCs/>
          <w:i/>
        </w:rPr>
        <w:t xml:space="preserve">turning is delayed</w:t>
      </w:r>
      <w:r>
        <w:rPr>
          <w:iCs/>
          <w:i/>
        </w:rPr>
        <w:t xml:space="preserve">’</w:t>
      </w:r>
      <w:r>
        <w:rPr>
          <w:iCs/>
          <w:i/>
        </w:rPr>
        <w:t xml:space="preserve">. I went with the acuity scores and the overtime hours, because that is the language they respond to.</w:t>
      </w:r>
      <w:r>
        <w:rPr>
          <w:iCs/>
          <w:i/>
        </w:rPr>
        <w:t xml:space="preserve">”</w:t>
      </w:r>
      <w:r>
        <w:t xml:space="preserve"> </w:t>
      </w:r>
      <w:r>
        <w:t xml:space="preserve">(P02, H1)</w:t>
      </w:r>
    </w:p>
    <w:p>
      <w:pPr>
        <w:pStyle w:val="FirstParagraph"/>
      </w:pPr>
      <w:r>
        <w:t xml:space="preserve">The account of delayed care was reframed through workload and overtime. This could make the issue actionable within existing procedures, but managers also described occasions when attention followed harm:</w:t>
      </w:r>
    </w:p>
    <w:p>
      <w:pPr>
        <w:pStyle w:val="BlockText"/>
      </w:pPr>
      <w:r>
        <w:rPr>
          <w:iCs/>
          <w:i/>
        </w:rPr>
        <w:t xml:space="preserve">“</w:t>
      </w:r>
      <w:r>
        <w:rPr>
          <w:iCs/>
          <w:i/>
        </w:rPr>
        <w:t xml:space="preserve">The escalation worked only after we had a fall. Then everyone listened. Before that, the concern had no number.</w:t>
      </w:r>
      <w:r>
        <w:rPr>
          <w:iCs/>
          <w:i/>
        </w:rPr>
        <w:t xml:space="preserve">”</w:t>
      </w:r>
      <w:r>
        <w:t xml:space="preserve"> </w:t>
      </w:r>
      <w:r>
        <w:t xml:space="preserve">(P23, H6)</w:t>
      </w:r>
    </w:p>
    <w:p>
      <w:pPr>
        <w:pStyle w:val="FirstParagraph"/>
      </w:pPr>
      <w:r>
        <w:t xml:space="preserve">This account illustrates a perceived gap between an earlier warning and organisational attention, with recorded harm becoming the evidence that made the concern recognisable.</w:t>
      </w:r>
    </w:p>
    <w:bookmarkEnd w:id="46"/>
    <w:bookmarkStart w:id="47" w:name="informal-and-uneven-feedback"/>
    <w:p>
      <w:pPr>
        <w:pStyle w:val="Heading3"/>
      </w:pPr>
      <w:r>
        <w:t xml:space="preserve">3.6.3 Informal and uneven feedback</w:t>
      </w:r>
    </w:p>
    <w:p>
      <w:pPr>
        <w:pStyle w:val="FirstParagraph"/>
      </w:pPr>
      <w:r>
        <w:t xml:space="preserve">Member reflection changed the preliminary interpretation of absent feedback to one of feedback that was often informal and incompletely recorded. Managers described communication in passing rather than explicit closure:</w:t>
      </w:r>
    </w:p>
    <w:p>
      <w:pPr>
        <w:pStyle w:val="BlockText"/>
      </w:pPr>
      <w:r>
        <w:rPr>
          <w:iCs/>
          <w:i/>
        </w:rPr>
        <w:t xml:space="preserve">“</w:t>
      </w:r>
      <w:r>
        <w:rPr>
          <w:iCs/>
          <w:i/>
        </w:rPr>
        <w:t xml:space="preserve">Did I go back to her formally? No. I told her in the corridor that we had added a nurse at night. I think she knew.</w:t>
      </w:r>
      <w:r>
        <w:rPr>
          <w:iCs/>
          <w:i/>
        </w:rPr>
        <w:t xml:space="preserve">”</w:t>
      </w:r>
      <w:r>
        <w:t xml:space="preserve"> </w:t>
      </w:r>
      <w:r>
        <w:t xml:space="preserve">(P05, H1)</w:t>
      </w:r>
    </w:p>
    <w:p>
      <w:pPr>
        <w:pStyle w:val="FirstParagraph"/>
      </w:pPr>
      <w:r>
        <w:t xml:space="preserve">Communication occurred, but its reach depended on the manager’s assumption that the nurse had understood. Others acknowledged that follow-up was sometimes omitted:</w:t>
      </w:r>
    </w:p>
    <w:p>
      <w:pPr>
        <w:pStyle w:val="BlockText"/>
      </w:pPr>
      <w:r>
        <w:rPr>
          <w:iCs/>
          <w:i/>
        </w:rPr>
        <w:t xml:space="preserve">“</w:t>
      </w:r>
      <w:r>
        <w:rPr>
          <w:iCs/>
          <w:i/>
        </w:rPr>
        <w:t xml:space="preserve">Honestly, sometimes I forget to tell them what happened. They only see that nothing changed, or that something changed and they don’t know why.</w:t>
      </w:r>
      <w:r>
        <w:rPr>
          <w:iCs/>
          <w:i/>
        </w:rPr>
        <w:t xml:space="preserve">”</w:t>
      </w:r>
      <w:r>
        <w:t xml:space="preserve"> </w:t>
      </w:r>
      <w:r>
        <w:t xml:space="preserve">(P19, H5†)</w:t>
      </w:r>
    </w:p>
    <w:p>
      <w:pPr>
        <w:pStyle w:val="FirstParagraph"/>
      </w:pPr>
      <w:r>
        <w:t xml:space="preserve">Managers believed that a lack of feedback could discourage further concerns. These accounts distinguish a managerial response from communicating that response clearly to the person who raised the concern; the same manager who took responsibility for checking (Section 3.5.2) described omitting this final step.</w:t>
      </w:r>
    </w:p>
    <w:bookmarkEnd w:id="47"/>
    <w:bookmarkEnd w:id="48"/>
    <w:bookmarkStart w:id="52" w:name="X0f4925ebe1a9899ac84f0784e77bb608565a27b"/>
    <w:p>
      <w:pPr>
        <w:pStyle w:val="Heading2"/>
      </w:pPr>
      <w:r>
        <w:t xml:space="preserve">3.7 Theme 4.</w:t>
      </w:r>
      <w:r>
        <w:t xml:space="preserve"> </w:t>
      </w:r>
      <w:r>
        <w:t xml:space="preserve">“</w:t>
      </w:r>
      <w:r>
        <w:t xml:space="preserve">The concern needs justification</w:t>
      </w:r>
      <w:r>
        <w:t xml:space="preserve">”</w:t>
      </w:r>
      <w:r>
        <w:t xml:space="preserve">: Organisational conditions shaping the burden of proof</w:t>
      </w:r>
    </w:p>
    <w:p>
      <w:pPr>
        <w:pStyle w:val="FirstParagraph"/>
      </w:pPr>
      <w:r>
        <w:t xml:space="preserve">General accounts across the six hospitals, including those of managers who had not described a qualifying incident, located evidential expectations within meeting structures, resource authority and communication arrangements.</w:t>
      </w:r>
    </w:p>
    <w:bookmarkStart w:id="49" w:name="dashboard-centred-quality-meetings"/>
    <w:p>
      <w:pPr>
        <w:pStyle w:val="Heading3"/>
      </w:pPr>
      <w:r>
        <w:t xml:space="preserve">3.7.1 Dashboard-centred quality meetings</w:t>
      </w:r>
    </w:p>
    <w:p>
      <w:pPr>
        <w:pStyle w:val="FirstParagraph"/>
      </w:pPr>
      <w:r>
        <w:t xml:space="preserve">Managers described fixed meeting agendas organised around indicator results:</w:t>
      </w:r>
    </w:p>
    <w:p>
      <w:pPr>
        <w:pStyle w:val="BlockText"/>
      </w:pPr>
      <w:r>
        <w:rPr>
          <w:iCs/>
          <w:i/>
        </w:rPr>
        <w:t xml:space="preserve">“</w:t>
      </w:r>
      <w:r>
        <w:rPr>
          <w:iCs/>
          <w:i/>
        </w:rPr>
        <w:t xml:space="preserve">The quality meeting has fixed slides: falls, pressure injuries, infections. There is no slide for</w:t>
      </w:r>
      <w:r>
        <w:rPr>
          <w:iCs/>
          <w:i/>
        </w:rPr>
        <w:t xml:space="preserve"> </w:t>
      </w:r>
      <w:r>
        <w:rPr>
          <w:iCs/>
          <w:i/>
        </w:rPr>
        <w:t xml:space="preserve">‘</w:t>
      </w:r>
      <w:r>
        <w:rPr>
          <w:iCs/>
          <w:i/>
        </w:rPr>
        <w:t xml:space="preserve">what my nurses are telling me</w:t>
      </w:r>
      <w:r>
        <w:rPr>
          <w:iCs/>
          <w:i/>
        </w:rPr>
        <w:t xml:space="preserve">’</w:t>
      </w:r>
      <w:r>
        <w:rPr>
          <w:iCs/>
          <w:i/>
        </w:rPr>
        <w:t xml:space="preserve">.</w:t>
      </w:r>
      <w:r>
        <w:rPr>
          <w:iCs/>
          <w:i/>
        </w:rPr>
        <w:t xml:space="preserve">”</w:t>
      </w:r>
      <w:r>
        <w:t xml:space="preserve"> </w:t>
      </w:r>
      <w:r>
        <w:t xml:space="preserve">(P20, H5†)</w:t>
      </w:r>
    </w:p>
    <w:p>
      <w:pPr>
        <w:pStyle w:val="FirstParagraph"/>
      </w:pPr>
      <w:r>
        <w:t xml:space="preserve">Managers perceived little routine space for concerns without an associated measure, and described accreditation preparation as intensifying attention to indicators. The agenda was therefore experienced as shaping which forms of knowledge could receive collective attention.</w:t>
      </w:r>
    </w:p>
    <w:bookmarkEnd w:id="49"/>
    <w:bookmarkStart w:id="50" w:name="limited-managerial-authority"/>
    <w:p>
      <w:pPr>
        <w:pStyle w:val="Heading3"/>
      </w:pPr>
      <w:r>
        <w:t xml:space="preserve">3.7.2 Limited managerial authority</w:t>
      </w:r>
    </w:p>
    <w:p>
      <w:pPr>
        <w:pStyle w:val="FirstParagraph"/>
      </w:pPr>
      <w:r>
        <w:t xml:space="preserve">The requirement to justify resources could become a requirement to justify the concern itself:</w:t>
      </w:r>
    </w:p>
    <w:p>
      <w:pPr>
        <w:pStyle w:val="BlockText"/>
      </w:pPr>
      <w:r>
        <w:rPr>
          <w:iCs/>
          <w:i/>
        </w:rPr>
        <w:t xml:space="preserve">“</w:t>
      </w:r>
      <w:r>
        <w:rPr>
          <w:iCs/>
          <w:i/>
        </w:rPr>
        <w:t xml:space="preserve">I cannot hire, I cannot pay overtime above the limit. Anything that costs money needs justification, so the concern needs justification.</w:t>
      </w:r>
      <w:r>
        <w:rPr>
          <w:iCs/>
          <w:i/>
        </w:rPr>
        <w:t xml:space="preserve">”</w:t>
      </w:r>
      <w:r>
        <w:t xml:space="preserve"> </w:t>
      </w:r>
      <w:r>
        <w:t xml:space="preserve">(P16, H4)</w:t>
      </w:r>
    </w:p>
    <w:p>
      <w:pPr>
        <w:pStyle w:val="FirstParagraph"/>
      </w:pPr>
      <w:r>
        <w:t xml:space="preserve">A manager in a tertiary hospital described a similar boundary:</w:t>
      </w:r>
    </w:p>
    <w:p>
      <w:pPr>
        <w:pStyle w:val="BlockText"/>
      </w:pPr>
      <w:r>
        <w:rPr>
          <w:iCs/>
          <w:i/>
        </w:rPr>
        <w:t xml:space="preserve">“</w:t>
      </w:r>
      <w:r>
        <w:rPr>
          <w:iCs/>
          <w:i/>
        </w:rPr>
        <w:t xml:space="preserve">My authority ends at the roster. Beyond that, I need a case, and a case needs evidence.</w:t>
      </w:r>
      <w:r>
        <w:rPr>
          <w:iCs/>
          <w:i/>
        </w:rPr>
        <w:t xml:space="preserve">”</w:t>
      </w:r>
      <w:r>
        <w:t xml:space="preserve"> </w:t>
      </w:r>
      <w:r>
        <w:t xml:space="preserve">(P09, H2†)</w:t>
      </w:r>
    </w:p>
    <w:p>
      <w:pPr>
        <w:pStyle w:val="FirstParagraph"/>
      </w:pPr>
      <w:r>
        <w:t xml:space="preserve">Within existing allocations, managers described scope to respond through judgement and adjustment; requests beyond those limits required an evidential case. That the same boundary was described in secondary and tertiary hospitals helps explain why the threshold for responding could differ between an immediate bedside concern and one requiring additional staffing.</w:t>
      </w:r>
    </w:p>
    <w:bookmarkEnd w:id="50"/>
    <w:bookmarkStart w:id="51" w:name="X07b472e3a88eeadb88323bf851d140ae8aaaf3c"/>
    <w:p>
      <w:pPr>
        <w:pStyle w:val="Heading3"/>
      </w:pPr>
      <w:r>
        <w:t xml:space="preserve">3.7.3 Informal channels and a diverse workforce</w:t>
      </w:r>
    </w:p>
    <w:p>
      <w:pPr>
        <w:pStyle w:val="FirstParagraph"/>
      </w:pPr>
      <w:r>
        <w:t xml:space="preserve">Interviews conducted after the informal-channels probe was introduced described messaging applications as an accessible route for concerns, particularly outside normal hours:</w:t>
      </w:r>
    </w:p>
    <w:p>
      <w:pPr>
        <w:pStyle w:val="BlockText"/>
      </w:pPr>
      <w:r>
        <w:rPr>
          <w:iCs/>
          <w:i/>
        </w:rPr>
        <w:t xml:space="preserve">“</w:t>
      </w:r>
      <w:r>
        <w:rPr>
          <w:iCs/>
          <w:i/>
        </w:rPr>
        <w:t xml:space="preserve">Many concerns come on WhatsApp at night, a photo or a short message. It is fast, but it disappears. There is no record I can take to anyone.</w:t>
      </w:r>
      <w:r>
        <w:rPr>
          <w:iCs/>
          <w:i/>
        </w:rPr>
        <w:t xml:space="preserve">”</w:t>
      </w:r>
      <w:r>
        <w:t xml:space="preserve"> </w:t>
      </w:r>
      <w:r>
        <w:t xml:space="preserve">(P20, H5†)</w:t>
      </w:r>
    </w:p>
    <w:p>
      <w:pPr>
        <w:pStyle w:val="FirstParagraph"/>
      </w:pPr>
      <w:r>
        <w:t xml:space="preserve">Accessibility and permanence were in tension: the channel that made raising a concern easy also left it without a record usable in formal processes. Managers described requesting a subsequent incident report, so the reporting nurse could be asked to communicate the same concern again in a different form. They also recognised differences in how concerns were expressed:</w:t>
      </w:r>
    </w:p>
    <w:p>
      <w:pPr>
        <w:pStyle w:val="BlockText"/>
      </w:pPr>
      <w:r>
        <w:rPr>
          <w:iCs/>
          <w:i/>
        </w:rPr>
        <w:t xml:space="preserve">“</w:t>
      </w:r>
      <w:r>
        <w:rPr>
          <w:iCs/>
          <w:i/>
        </w:rPr>
        <w:t xml:space="preserve">Some of my nurses who trained abroad raise things very politely, almost as a question. If you are not listening carefully, you miss that it is a concern.</w:t>
      </w:r>
      <w:r>
        <w:rPr>
          <w:iCs/>
          <w:i/>
        </w:rPr>
        <w:t xml:space="preserve">”</w:t>
      </w:r>
      <w:r>
        <w:t xml:space="preserve"> </w:t>
      </w:r>
      <w:r>
        <w:t xml:space="preserve">(P18, H5)</w:t>
      </w:r>
    </w:p>
    <w:p>
      <w:pPr>
        <w:pStyle w:val="FirstParagraph"/>
      </w:pPr>
      <w:r>
        <w:t xml:space="preserve">Tentative phrasing required attentive interpretation. Recognition of a concern could therefore depend on how a worry was phrased and how carefully it was heard, linking communication arrangements with the credibility judgements described in Theme 1.</w:t>
      </w:r>
    </w:p>
    <w:bookmarkEnd w:id="51"/>
    <w:bookmarkEnd w:id="52"/>
    <w:bookmarkStart w:id="53" w:name="integrative-interpretation"/>
    <w:p>
      <w:pPr>
        <w:pStyle w:val="Heading2"/>
      </w:pPr>
      <w:r>
        <w:t xml:space="preserve">3.8 Integrative interpretation</w:t>
      </w:r>
    </w:p>
    <w:p>
      <w:pPr>
        <w:pStyle w:val="FirstParagraph"/>
      </w:pPr>
      <w:r>
        <w:t xml:space="preserve">Across the accounts, the burden of proof was conditional and could shift between nurses and managers. Satisfactory indicators sometimes established a presumption of safety despite differences between what the measure covered and what the concern described. Managers could begin assessment immediately, seek documentation from nurses or undertake substantiation themselves. Whether additional substantiation was required depended on the response a concern might demand as well as on its urgency, and was shaped by anticipated demands from senior managers and by the manager’s authority over resources. Local responses and informal feedback were not always visible in formal quality processes. Fig. 1 summarises these relationships as interpretive, non-exclusive pathways rather than a sequence followed in every case. The interpretation links evidential expectations to responsibility and organisational authority, while remaining bounded by managers’ accounts rather than verified care outcomes.</w:t>
      </w:r>
    </w:p>
    <w:bookmarkEnd w:id="53"/>
    <w:bookmarkEnd w:id="54"/>
    <w:bookmarkStart w:id="60" w:name="discussion"/>
    <w:p>
      <w:pPr>
        <w:pStyle w:val="Heading1"/>
      </w:pPr>
      <w:r>
        <w:t xml:space="preserve">4. Discussion</w:t>
      </w:r>
    </w:p>
    <w:p>
      <w:pPr>
        <w:pStyle w:val="FirstParagraph"/>
      </w:pPr>
      <w:r>
        <w:t xml:space="preserve">This study identifies a conditional burden of proof in unit-level nurse managers’ accounts of responding to care concerns alongside reassuring indicators. Evidential expectations depended on the perceived urgency of the concern, the response sought and the manager’s authority to act. Two distinctions are central. First, in most qualifying accounts the concern and the reassuring indicator addressed different aspects or periods of care, so the problem was often the reach of the reassurance attributed to a measure rather than a direct contradiction between two assessments of the same event. Second, managers distinguished the information needed to begin inquiry from the justification expected for decisions involving additional resources, and the second could come to be applied to the first.</w:t>
      </w:r>
    </w:p>
    <w:bookmarkStart w:id="55" w:name="X43d0f228f29522893d3ed7b4d6323b692ce94b8"/>
    <w:p>
      <w:pPr>
        <w:pStyle w:val="Heading2"/>
      </w:pPr>
      <w:r>
        <w:t xml:space="preserve">4.1 The reach of reassurance and the allocation of evidential work</w:t>
      </w:r>
    </w:p>
    <w:p>
      <w:pPr>
        <w:pStyle w:val="FirstParagraph"/>
      </w:pPr>
      <w:r>
        <w:t xml:space="preserve">The findings extend work on soft intelligence and organisational receptiveness to unwelcome information (Dixon-Woods et al., 2014; Martin et al., 2015). Martin et al. (2018) demonstrated how formal systems can require experiential concerns to become demonstrable facts before they receive attention. The present contribution is more specific: managers described how responsibility for producing those facts moved between nurses, unit managers and anticipated senior-level requirements, and they distinguished concerns that prompted immediate assessment from those requiring an evidential case for escalation. This is a situated account of how an established organisational problem enters managerial decisions at unit level.</w:t>
      </w:r>
    </w:p>
    <w:p>
      <w:pPr>
        <w:pStyle w:val="BodyText"/>
      </w:pPr>
      <w:r>
        <w:t xml:space="preserve">The distinction between measurement scope and apparent contradiction is consequential. Bevan and Hood (2006) warned that targets can lead organisations to treat what is measured as what matters. In the present accounts, an absence of recorded falls or pressure injuries could be read as evidence against a concern about night-time supervision or delayed repositioning, although the measure recorded a different thing, often at a later time. Managers who noticed these boundaries used a concern to redirect inquiry, and one same-domain account prompted questions about how a favourable result had been produced. These accounts support examining the relevance and production of an indicator before treating it as evidence against a concern; they do not establish that the dashboards were inaccurate. Recent qualitative research likewise describes dashboards as useful to nursing management when information is understandable and aligned with managerial responsibilities (Bowers &amp; Siddiqui, 2026). The applied challenge is to connect measures with contextual judgement, including the professional knowledge used in staffing decisions (Allen et al., 2023).</w:t>
      </w:r>
    </w:p>
    <w:p>
      <w:pPr>
        <w:pStyle w:val="BodyText"/>
      </w:pPr>
      <w:r>
        <w:t xml:space="preserve">Documentation had more than one function. It could preserve an account, enable checking and support a request beyond the manager’s authority; it could also postpone attention. Treating every request for detail as silencing would therefore miss an important distinction. The relevant questions are whether the information sought is proportionate to the decision and whether the nurse must produce it before inquiry begins. Managers who observed practice or audited records accepted responsibility for investigation, but some described doing so outside normal working time. Such accounts suggest that responsiveness depends partly on capacity to investigate, not only on a manager’s willingness to listen. This interpretation accords with the cultural, individual and structural influences on managerial responses identified by Ghorbankhani et al. (2025) and with Saudi research describing how indicators place performance responsibility on nurses (Alshehri et al., 2026).</w:t>
      </w:r>
    </w:p>
    <w:bookmarkEnd w:id="55"/>
    <w:bookmarkStart w:id="56" w:name="X0a70b8d996f5923a45924efff0acff6636ee116"/>
    <w:p>
      <w:pPr>
        <w:pStyle w:val="Heading2"/>
      </w:pPr>
      <w:r>
        <w:t xml:space="preserve">4.2 Credibility, communication and recognition</w:t>
      </w:r>
    </w:p>
    <w:p>
      <w:pPr>
        <w:pStyle w:val="FirstParagraph"/>
      </w:pPr>
      <w:r>
        <w:t xml:space="preserve">Managers’ reliance on specificity and corroboration offered practical routes for checking concerns. Reliance on the messenger’s reputation introduced a different possibility: a concern might receive less attention because its speaker was unfamiliar, frequently dissatisfied or less direct. Fricker’s (2007) concept of testimonial injustice, a credibility deficit that a hearer assigns to a speaker because of identity prejudice, offers a cautious interpretive lens for this possibility. The differences in trust and familiarity described here do not in themselves establish prejudicial credibility discounting, and the study did not examine whether credibility judgements followed participants’ perceptions of nurses’ social identities. The concept nevertheless clarifies why judging a concern’s seriousness by who raised it or how it was phrased, rather than by its content, warrants attention, as one participant recognised. Receiver-focused research shows that professional identity and seniority influence interpretations of speaking-up messages (Barlow et al., 2024), and organisational criteria for legitimate knowledge can restrict the influence of nurses’ locally generated insights (Kuijper et al., 2024). The present accounts connect these issues to everyday appraisal of care concerns without establishing systematic discrimination or a measurable credibility deficit.</w:t>
      </w:r>
    </w:p>
    <w:p>
      <w:pPr>
        <w:pStyle w:val="BodyText"/>
      </w:pPr>
      <w:r>
        <w:t xml:space="preserve">The accounts concerning internationally educated nurses warrant particular care. Managers described tentative phrasing as potentially obscuring a concern; the study did not examine how nurses themselves understood these exchanges or compare language or nationality groups. A practical implication is to clarify the content of an uncertain message rather than infer its seriousness from confidence or familiarity. Reviews identify hierarchy, anticipated responses and relational context as influences on nurses’ willingness to speak (E. Lee et al., 2025; van Dongen et al., 2024). Whether the credibility judgements described here affect subsequent speaking up remains an empirical question, because frontline nurses were not interviewed.</w:t>
      </w:r>
    </w:p>
    <w:bookmarkEnd w:id="56"/>
    <w:bookmarkStart w:id="57" w:name="X5ab002337d6a369daa44e52c3fc7b6d8a4b7c30"/>
    <w:p>
      <w:pPr>
        <w:pStyle w:val="Heading2"/>
      </w:pPr>
      <w:r>
        <w:t xml:space="preserve">4.3 Connecting local responses with organisational learning</w:t>
      </w:r>
    </w:p>
    <w:p>
      <w:pPr>
        <w:pStyle w:val="FirstParagraph"/>
      </w:pPr>
      <w:r>
        <w:t xml:space="preserve">Managers described prompt local adjustments alongside slower, more demanding escalation. Responding to an individual concern and making that concern available for organisational learning were therefore separate accomplishments. A staffing adjustment could address an immediate difficulty within the manager’s authority while leaving little recognised record of the issue that prompted it. One possible interpretation, which these data cannot test, is that a unit’s dashboard could appear stable partly because its manager was absorbing problems locally. The same distinction applied to messaging applications: an accessible communication route did not necessarily provide an account usable in formal quality processes, and a further reporting request could return documentation work to the nurse after a concern had already been raised.</w:t>
      </w:r>
    </w:p>
    <w:p>
      <w:pPr>
        <w:pStyle w:val="BodyText"/>
      </w:pPr>
      <w:r>
        <w:t xml:space="preserve">Feedback required similarly careful interpretation. Member reflection qualified an initial reading of absent feedback by identifying informal conversations that had not been recorded. Informality did not mean that no communication occurred, but it could leave the relationship between the concern, the response and any unresolved issue unclear. Healthcare professionals elsewhere have described limited discussion, visible action and feedback in incident-report processing (Koskiniemi et al., 2025), and a review of patient-safety learning systems identifies resources, accountability and feedback as relevant beyond the initial act of reporting (Mahmoud et al., 2023). A recent Saudi study similarly linked weak feedback loops with perceived futility of reporting (Alshmemri, 2026). Together, these findings support attending to the whole response process, without assuming that recording more reports necessarily improves care.</w:t>
      </w:r>
    </w:p>
    <w:p>
      <w:pPr>
        <w:pStyle w:val="BodyText"/>
      </w:pPr>
      <w:r>
        <w:t xml:space="preserve">In Saudi Arabia, these interpretations are relevant to national guidance linking leadership, safety culture and indicator validation (Saudi Patient Safety Center, 2025). The six participating hospitals shared regional governance, however, and the findings should not be treated as a description of all Saudi hospitals or a national cultural characteristic. Their wider relevance lies in a recognisable management problem: reconciling experiential warnings with performance information when authority and resources are distributed across organisational levels.</w:t>
      </w:r>
    </w:p>
    <w:bookmarkEnd w:id="57"/>
    <w:bookmarkStart w:id="58" w:name="X30c82230fd1d318baf5f9b92c19398431a4655a"/>
    <w:p>
      <w:pPr>
        <w:pStyle w:val="Heading2"/>
      </w:pPr>
      <w:r>
        <w:t xml:space="preserve">4.4 Implications for nursing practice, education and research</w:t>
      </w:r>
    </w:p>
    <w:p>
      <w:pPr>
        <w:pStyle w:val="FirstParagraph"/>
      </w:pPr>
      <w:r>
        <w:t xml:space="preserve">Table 3 translates the interpretation into a proposed framework for assessing concerns alongside indicators, covering immediate risk, indicator relevance, credibility and clarity, investigative responsibility, escalation and feedback. Each element is linked to the subthemes from which it derives. The framework offers questions for deliberation, not a validated sequence or a requirement to complete documentation before responding. Practical applications include:</w:t>
      </w:r>
    </w:p>
    <w:p>
      <w:pPr>
        <w:pStyle w:val="Compact"/>
        <w:numPr>
          <w:ilvl w:val="0"/>
          <w:numId w:val="1002"/>
        </w:numPr>
      </w:pPr>
      <w:r>
        <w:rPr>
          <w:bCs/>
          <w:b/>
        </w:rPr>
        <w:t xml:space="preserve">Quality meetings:</w:t>
      </w:r>
      <w:r>
        <w:t xml:space="preserve"> </w:t>
      </w:r>
      <w:r>
        <w:t xml:space="preserve">a standing agenda item asking which current concerns are absent from the dashboard, what additional information is needed, who will obtain it and when the concern will be reviewed.</w:t>
      </w:r>
    </w:p>
    <w:p>
      <w:pPr>
        <w:pStyle w:val="Compact"/>
        <w:numPr>
          <w:ilvl w:val="0"/>
          <w:numId w:val="1002"/>
        </w:numPr>
      </w:pPr>
      <w:r>
        <w:rPr>
          <w:bCs/>
          <w:b/>
        </w:rPr>
        <w:t xml:space="preserve">Evidential responsibility:</w:t>
      </w:r>
      <w:r>
        <w:t xml:space="preserve"> </w:t>
      </w:r>
      <w:r>
        <w:t xml:space="preserve">where a resource request requires a fuller case, agreeing who will develop it rather than automatically assigning it to the reporting nurse.</w:t>
      </w:r>
    </w:p>
    <w:p>
      <w:pPr>
        <w:pStyle w:val="Compact"/>
        <w:numPr>
          <w:ilvl w:val="0"/>
          <w:numId w:val="1002"/>
        </w:numPr>
      </w:pPr>
      <w:r>
        <w:rPr>
          <w:bCs/>
          <w:b/>
        </w:rPr>
        <w:t xml:space="preserve">Visibility:</w:t>
      </w:r>
      <w:r>
        <w:t xml:space="preserve"> </w:t>
      </w:r>
      <w:r>
        <w:t xml:space="preserve">recording local adjustments and unresolved resource needs so that they inform organisational review.</w:t>
      </w:r>
    </w:p>
    <w:p>
      <w:pPr>
        <w:pStyle w:val="Compact"/>
        <w:numPr>
          <w:ilvl w:val="0"/>
          <w:numId w:val="1002"/>
        </w:numPr>
      </w:pPr>
      <w:r>
        <w:rPr>
          <w:bCs/>
          <w:b/>
        </w:rPr>
        <w:t xml:space="preserve">Feedback:</w:t>
      </w:r>
      <w:r>
        <w:t xml:space="preserve"> </w:t>
      </w:r>
      <w:r>
        <w:t xml:space="preserve">locally agreed standards specifying acknowledgement, a named responsible person, an expected update date and explicit communication of unresolved matters.</w:t>
      </w:r>
    </w:p>
    <w:p>
      <w:pPr>
        <w:pStyle w:val="Compact"/>
        <w:numPr>
          <w:ilvl w:val="0"/>
          <w:numId w:val="1002"/>
        </w:numPr>
      </w:pPr>
      <w:r>
        <w:rPr>
          <w:bCs/>
          <w:b/>
        </w:rPr>
        <w:t xml:space="preserve">Manager education:</w:t>
      </w:r>
      <w:r>
        <w:t xml:space="preserve"> </w:t>
      </w:r>
      <w:r>
        <w:t xml:space="preserve">using contrasting incidents to distinguish the threshold for starting inquiry from the justification needed for a resource decision, and to examine how credibility judgements are formed.</w:t>
      </w:r>
    </w:p>
    <w:p>
      <w:pPr>
        <w:pStyle w:val="FirstParagraph"/>
      </w:pPr>
      <w:r>
        <w:t xml:space="preserve">Accessible tracking and feedback features are consistent with priorities identified in a review of incident-reporting software (Koskiniemi et al., 2024), but their effects cannot be inferred from the present interviews. The framework requires co-design with frontline nurses, managers and quality staff, followed by evaluation of feasibility, workload and unintended barriers. Future research should include frontline nurses’ and senior managers’ perspectives, and prospective observation linked to meeting records, indicator definitions and nurses’ accounts could examine whether stated evidential expectations are enacted. Subsequent evaluation could assess timeliness, follow-through and staff experience before any claims are made about effects on patient outcomes.</w:t>
      </w:r>
    </w:p>
    <w:bookmarkEnd w:id="58"/>
    <w:bookmarkStart w:id="59" w:name="strengths-and-limitations"/>
    <w:p>
      <w:pPr>
        <w:pStyle w:val="Heading2"/>
      </w:pPr>
      <w:r>
        <w:t xml:space="preserve">4.5 Strengths and limitations</w:t>
      </w:r>
    </w:p>
    <w:p>
      <w:pPr>
        <w:pStyle w:val="FirstParagraph"/>
      </w:pPr>
      <w:r>
        <w:t xml:space="preserve">Variation across hospitals, unit types and managerial experience supported comparison, while source-language analysis, deliberate examination of contrasting accounts and an independently audited trail strengthened interpretive transparency. Separating the 19 qualifying accounts from the four accounts concerning other circumstances or usual practice helped delimit the central claims. Member reflection added a consequential alternative interpretation of feedback, although only 10 participants responded and their responses do not validate a single definitive account.</w:t>
      </w:r>
    </w:p>
    <w:p>
      <w:pPr>
        <w:pStyle w:val="BodyText"/>
      </w:pPr>
      <w:r>
        <w:t xml:space="preserve">The study nevertheless rests on retrospective accounts from volunteers in one public-sector region. Recall over the preceding year, professional self-presentation and managerial familiarity with quality language may have shaped the narratives, and managers may have been less likely to describe concerns they did not pursue. Neither indicators nor reported investigations, actions or outcomes were independently checked, and frontline nurses, senior managers and patients were not interviewed. The evidence-focused framing, particularly question D2, may have elicited substantiation as an explanation, and probes added during data collection meant unequal exposure to questions on documentation and informal channels. Distinguishing incident accounts from responses to Section D reduced but could not remove these influences. Translation and English code labels introduced further interpretive choices. Counts describe this interview material and cannot estimate the frequency of practices. Finally, the proposed framework is an interpretive application whose feasibility, effects and transferability remain untested.</w:t>
      </w:r>
    </w:p>
    <w:bookmarkEnd w:id="59"/>
    <w:bookmarkEnd w:id="60"/>
    <w:bookmarkStart w:id="61" w:name="conclusion"/>
    <w:p>
      <w:pPr>
        <w:pStyle w:val="Heading1"/>
      </w:pPr>
      <w:r>
        <w:t xml:space="preserve">5. Conclusion</w:t>
      </w:r>
    </w:p>
    <w:p>
      <w:pPr>
        <w:pStyle w:val="FirstParagraph"/>
      </w:pPr>
      <w:r>
        <w:t xml:space="preserve">Unit-level nurse managers described a conditional burden of proof shaped by indicator relevance, the response sought and their authority to act. Immediate clinical concerns could prompt assessment without additional substantiation, whereas resource-related concerns often required documentation or numerical justification, which could pass down to the nurse who raised them. A satisfactory dashboard should prompt the question of what it measures rather than close the discussion. Improving responsiveness may therefore require attention to who investigates, how unresolved concerns reach decision-makers and how nurses learn what happened. The proposed framework offers questions for proportionate inquiry without making prior proof a condition of attention; its feasibility and effects require evaluation with frontline nurses, managers and quality leaders.</w:t>
      </w:r>
    </w:p>
    <w:bookmarkEnd w:id="61"/>
    <w:bookmarkStart w:id="62" w:name="declarations"/>
    <w:p>
      <w:pPr>
        <w:pStyle w:val="Heading1"/>
      </w:pPr>
      <w:r>
        <w:t xml:space="preserve">Declarations</w:t>
      </w:r>
    </w:p>
    <w:p>
      <w:pPr>
        <w:pStyle w:val="FirstParagraph"/>
      </w:pPr>
      <w:r>
        <w:rPr>
          <w:bCs/>
          <w:b/>
        </w:rPr>
        <w:t xml:space="preserve">Ethics approval and consent to participate:</w:t>
      </w:r>
      <w:r>
        <w:t xml:space="preserve"> </w:t>
      </w:r>
      <w:r>
        <w:t xml:space="preserve">Approved by the Institutional Review Board of King Abdulaziz Specialist Hospital, Aljouf Health Cluster (committee registration H-13-S-161; No. 9804; 26 December 2025). All participants gave written informed consent.</w:t>
      </w:r>
    </w:p>
    <w:p>
      <w:pPr>
        <w:pStyle w:val="BodyText"/>
      </w:pPr>
      <w:r>
        <w:rPr>
          <w:bCs/>
          <w:b/>
        </w:rPr>
        <w:t xml:space="preserve">Funding:</w:t>
      </w:r>
      <w:r>
        <w:t xml:space="preserve"> </w:t>
      </w:r>
      <w:r>
        <w:t xml:space="preserve">This research did not receive any specific grant from funding agencies in the public, commercial, or not-for-profit sectors.</w:t>
      </w:r>
    </w:p>
    <w:p>
      <w:pPr>
        <w:pStyle w:val="BodyText"/>
      </w:pPr>
      <w:r>
        <w:rPr>
          <w:bCs/>
          <w:b/>
        </w:rPr>
        <w:t xml:space="preserve">Declaration of competing interest:</w:t>
      </w:r>
      <w:r>
        <w:t xml:space="preserve"> </w:t>
      </w:r>
      <w:r>
        <w:t xml:space="preserve">The authors declare that they have no known competing financial interests or personal relationships that could have appeared to influence the work reported in this paper.</w:t>
      </w:r>
    </w:p>
    <w:p>
      <w:pPr>
        <w:pStyle w:val="BodyText"/>
      </w:pPr>
      <w:r>
        <w:rPr>
          <w:bCs/>
          <w:b/>
        </w:rPr>
        <w:t xml:space="preserve">Data availability:</w:t>
      </w:r>
      <w:r>
        <w:t xml:space="preserve"> </w:t>
      </w:r>
      <w:r>
        <w:t xml:space="preserve">Interview transcripts are not publicly available because participants could be identified within a small regional managerial population. The interview guide, reporting checklists and data-management procedures are provided as supplementary files.</w:t>
      </w:r>
    </w:p>
    <w:p>
      <w:pPr>
        <w:pStyle w:val="BodyText"/>
      </w:pPr>
      <w:r>
        <w:rPr>
          <w:bCs/>
          <w:b/>
        </w:rPr>
        <w:t xml:space="preserve">Declaration of generative AI and AI-assisted technologies in the manuscript preparation process:</w:t>
      </w:r>
      <w:r>
        <w:t xml:space="preserve"> </w:t>
      </w:r>
      <w:r>
        <w:t xml:space="preserve">Provided on the title page.</w:t>
      </w:r>
    </w:p>
    <w:bookmarkEnd w:id="62"/>
    <w:bookmarkStart w:id="63" w:name="figure-caption"/>
    <w:p>
      <w:pPr>
        <w:pStyle w:val="Heading1"/>
      </w:pPr>
      <w:r>
        <w:t xml:space="preserve">Figure caption</w:t>
      </w:r>
    </w:p>
    <w:p>
      <w:pPr>
        <w:pStyle w:val="FirstParagraph"/>
      </w:pPr>
      <w:r>
        <w:rPr>
          <w:bCs/>
          <w:b/>
        </w:rPr>
        <w:t xml:space="preserve">Fig. 1.</w:t>
      </w:r>
      <w:r>
        <w:t xml:space="preserve"> </w:t>
      </w:r>
      <w:r>
        <w:t xml:space="preserve">Conceptual model of the conditional burden of proof in unit-level nurse managers’ responses to nurses’ care concerns when quality indicators appear reassuring. Theme 1: managers weighed the concern against the indicator, considering the measure’s coverage and timing, how favourable data were produced and the credibility of the account. Theme 2: the response a concern might require shaped whether additional substantiation was expected; immediate clinical risk prompted assessment without it, whereas resource requests beyond unit authority often required an evidential case. Substantiation could be requested from the nurse or undertaken by the manager; the count of documentation requests (11 of 19) spans all qualifying accounts and is not specific to either branch. Theme 3: responses were local, translated for escalation or communicated as feedback, often informally. Theme 4: organisational conditions shaped each stage. Pathways are interpretive, non-exclusive and not necessarily sequential. Counts refer to the 19 qualifying incident accounts and describe interview material, not the frequency of events.</w:t>
      </w:r>
    </w:p>
    <w:bookmarkEnd w:id="63"/>
    <w:bookmarkStart w:id="64" w:name="references"/>
    <w:p>
      <w:pPr>
        <w:pStyle w:val="Heading1"/>
      </w:pPr>
      <w:r>
        <w:t xml:space="preserve">References</w:t>
      </w:r>
    </w:p>
    <w:p>
      <w:pPr>
        <w:pStyle w:val="Bibliography"/>
      </w:pPr>
      <w:r>
        <w:t xml:space="preserve">Abrams, R., Conolly, A., Rowland, E., Harris, R., Kent, B., Kelly, D., Couper, K., &amp; Maben, J. (2023). Speaking up during the COVID-19 pandemic: Nurses’ experiences of organizational disregard and silence.</w:t>
      </w:r>
      <w:r>
        <w:t xml:space="preserve"> </w:t>
      </w:r>
      <w:r>
        <w:rPr>
          <w:iCs/>
          <w:i/>
        </w:rPr>
        <w:t xml:space="preserve">Journal of Advanced Nursing, 79</w:t>
      </w:r>
      <w:r>
        <w:t xml:space="preserve">(6), 2189–2199. https://doi.org/10.1111/jan.15526</w:t>
      </w:r>
    </w:p>
    <w:p>
      <w:pPr>
        <w:pStyle w:val="Bibliography"/>
      </w:pPr>
      <w:r>
        <w:t xml:space="preserve">Ahn, S. (2026). Factors influencing nurses’ safety voices about patient safety concerns: A cross-sectional study.</w:t>
      </w:r>
      <w:r>
        <w:t xml:space="preserve"> </w:t>
      </w:r>
      <w:r>
        <w:rPr>
          <w:iCs/>
          <w:i/>
        </w:rPr>
        <w:t xml:space="preserve">Applied Nursing Research, 87</w:t>
      </w:r>
      <w:r>
        <w:t xml:space="preserve">, Article 152046. https://doi.org/10.1016/j.apnr.2025.152046</w:t>
      </w:r>
    </w:p>
    <w:p>
      <w:pPr>
        <w:pStyle w:val="Bibliography"/>
      </w:pPr>
      <w:r>
        <w:t xml:space="preserve">Alanazi, F. K., Lapkin, S., Molloy, L., &amp; Sim, J. (2023). Safety culture, quality of care, missed care, nurse staffing and their impact on pressure injuries: A cross-sectional multi-source study.</w:t>
      </w:r>
      <w:r>
        <w:t xml:space="preserve"> </w:t>
      </w:r>
      <w:r>
        <w:rPr>
          <w:iCs/>
          <w:i/>
        </w:rPr>
        <w:t xml:space="preserve">International Journal of Nursing Studies Advances, 5</w:t>
      </w:r>
      <w:r>
        <w:t xml:space="preserve">, Article 100125. https://doi.org/10.1016/j.ijnsa.2023.100125</w:t>
      </w:r>
    </w:p>
    <w:p>
      <w:pPr>
        <w:pStyle w:val="Bibliography"/>
      </w:pPr>
      <w:r>
        <w:t xml:space="preserve">Alkahf, D., &amp; Alonazi, W. (2024). Exploring the safety reporting culture among healthcare practitioners in Saudi hospitals: A comprehensive 2022 national study.</w:t>
      </w:r>
      <w:r>
        <w:t xml:space="preserve"> </w:t>
      </w:r>
      <w:r>
        <w:rPr>
          <w:iCs/>
          <w:i/>
        </w:rPr>
        <w:t xml:space="preserve">BMC Health Services Research, 24</w:t>
      </w:r>
      <w:r>
        <w:t xml:space="preserve">, Article 769. https://doi.org/10.1186/s12913-024-11160-3</w:t>
      </w:r>
    </w:p>
    <w:p>
      <w:pPr>
        <w:pStyle w:val="Bibliography"/>
      </w:pPr>
      <w:r>
        <w:t xml:space="preserve">Allen, D., Jacob, N., Strange, H., Jones, A., Burton, C., &amp; Rafferty, A. M. (2023).</w:t>
      </w:r>
      <w:r>
        <w:t xml:space="preserve"> </w:t>
      </w:r>
      <w:r>
        <w:t xml:space="preserve">“</w:t>
      </w:r>
      <w:r>
        <w:t xml:space="preserve">It’s not just about the numbers</w:t>
      </w:r>
      <w:r>
        <w:t xml:space="preserve">”</w:t>
      </w:r>
      <w:r>
        <w:t xml:space="preserve">: Inside the black box of nurses’ professional judgement in nurse staffing systems in England and Wales: Insights from a qualitative cross-case comparative study.</w:t>
      </w:r>
      <w:r>
        <w:t xml:space="preserve"> </w:t>
      </w:r>
      <w:r>
        <w:rPr>
          <w:iCs/>
          <w:i/>
        </w:rPr>
        <w:t xml:space="preserve">International Journal of Nursing Studies, 147</w:t>
      </w:r>
      <w:r>
        <w:t xml:space="preserve">, Article 104586. https://doi.org/10.1016/j.ijnurstu.2023.104586</w:t>
      </w:r>
    </w:p>
    <w:p>
      <w:pPr>
        <w:pStyle w:val="Bibliography"/>
      </w:pPr>
      <w:r>
        <w:t xml:space="preserve">Alshehri, W. M., Eid, T., Alodhailah, A. M., &amp; Alshaibany, F. F. (2026). Moving on performance responsibility: An institutional ethnographic study of nurses’ experiences with quality indicators in the transforming healthcare system of Saudi Arabia.</w:t>
      </w:r>
      <w:r>
        <w:t xml:space="preserve"> </w:t>
      </w:r>
      <w:r>
        <w:rPr>
          <w:iCs/>
          <w:i/>
        </w:rPr>
        <w:t xml:space="preserve">BMC Nursing, 25</w:t>
      </w:r>
      <w:r>
        <w:t xml:space="preserve">, Article 51. https://doi.org/10.1186/s12912-025-04272-6</w:t>
      </w:r>
    </w:p>
    <w:p>
      <w:pPr>
        <w:pStyle w:val="Bibliography"/>
      </w:pPr>
      <w:r>
        <w:t xml:space="preserve">Alshmemri, M. (2026). The dark side of nurse-manager leadership: Toxic leadership behaviours, adverse-event reporting, and care quality—An interpretive descriptive study.</w:t>
      </w:r>
      <w:r>
        <w:t xml:space="preserve"> </w:t>
      </w:r>
      <w:r>
        <w:rPr>
          <w:iCs/>
          <w:i/>
        </w:rPr>
        <w:t xml:space="preserve">BMC Nursing, 25</w:t>
      </w:r>
      <w:r>
        <w:t xml:space="preserve">, Article 329. https://doi.org/10.1186/s12912-026-04506-1</w:t>
      </w:r>
    </w:p>
    <w:p>
      <w:pPr>
        <w:pStyle w:val="Bibliography"/>
      </w:pPr>
      <w:r>
        <w:t xml:space="preserve">Bagot, K. L., McInnes, E., Mannion, R., McMullan, R. D., Urwin, R., Churruca, K., Hibbert, P., &amp; Westbrook, J. I. (2023). Middle manager responses to hospital co-workers’ unprofessional behaviours within the context of a professional accountability culture change program: A qualitative analysis.</w:t>
      </w:r>
      <w:r>
        <w:t xml:space="preserve"> </w:t>
      </w:r>
      <w:r>
        <w:rPr>
          <w:iCs/>
          <w:i/>
        </w:rPr>
        <w:t xml:space="preserve">BMC Health Services Research, 23</w:t>
      </w:r>
      <w:r>
        <w:t xml:space="preserve">, Article 1012. https://doi.org/10.1186/s12913-023-09968-6</w:t>
      </w:r>
    </w:p>
    <w:p>
      <w:pPr>
        <w:pStyle w:val="Bibliography"/>
      </w:pPr>
      <w:r>
        <w:t xml:space="preserve">Barlow, M., Watson, B., Jones, E., Morse, C., &amp; Maccallum, F. (2024). The application of communication accommodation theory to understand receiver reactions in healthcare speaking up interactions.</w:t>
      </w:r>
      <w:r>
        <w:t xml:space="preserve"> </w:t>
      </w:r>
      <w:r>
        <w:rPr>
          <w:iCs/>
          <w:i/>
        </w:rPr>
        <w:t xml:space="preserve">Journal of Interprofessional Care, 38</w:t>
      </w:r>
      <w:r>
        <w:t xml:space="preserve">(1), 42–51. https://doi.org/10.1080/13561820.2023.2249939</w:t>
      </w:r>
    </w:p>
    <w:p>
      <w:pPr>
        <w:pStyle w:val="Bibliography"/>
      </w:pPr>
      <w:r>
        <w:t xml:space="preserve">Bevan, G., &amp; Hood, C. (2006). What’s measured is what matters: Targets and gaming in the English public health care system.</w:t>
      </w:r>
      <w:r>
        <w:t xml:space="preserve"> </w:t>
      </w:r>
      <w:r>
        <w:rPr>
          <w:iCs/>
          <w:i/>
        </w:rPr>
        <w:t xml:space="preserve">Public Administration, 84</w:t>
      </w:r>
      <w:r>
        <w:t xml:space="preserve">(3), 517–538. https://doi.org/10.1111/j.1467-9299.2006.00600.x</w:t>
      </w:r>
    </w:p>
    <w:p>
      <w:pPr>
        <w:pStyle w:val="Bibliography"/>
      </w:pPr>
      <w:r>
        <w:t xml:space="preserve">Bowers, C. W., &amp; Siddiqui, N. (2026). Business intelligence dashboards facilitating nursing management practices: An Australian local health district qualitative study.</w:t>
      </w:r>
      <w:r>
        <w:t xml:space="preserve"> </w:t>
      </w:r>
      <w:r>
        <w:rPr>
          <w:iCs/>
          <w:i/>
        </w:rPr>
        <w:t xml:space="preserve">Australian Journal of Advanced Nursing, 43</w:t>
      </w:r>
      <w:r>
        <w:t xml:space="preserve">(1), 4–11. https://doi.org/10.37464/2026.431.1801</w:t>
      </w:r>
    </w:p>
    <w:p>
      <w:pPr>
        <w:pStyle w:val="Bibliography"/>
      </w:pPr>
      <w:r>
        <w:t xml:space="preserve">Cho, H., Steege, L. M., &amp; Arsenault Knudsen, É. N. (2023). Psychological safety, communication openness, nurse job outcomes, and patient safety in hospital nurses.</w:t>
      </w:r>
      <w:r>
        <w:t xml:space="preserve"> </w:t>
      </w:r>
      <w:r>
        <w:rPr>
          <w:iCs/>
          <w:i/>
        </w:rPr>
        <w:t xml:space="preserve">Research in Nursing &amp; Health, 46</w:t>
      </w:r>
      <w:r>
        <w:t xml:space="preserve">(4), 445–453. https://doi.org/10.1002/nur.22327</w:t>
      </w:r>
    </w:p>
    <w:p>
      <w:pPr>
        <w:pStyle w:val="Bibliography"/>
      </w:pPr>
      <w:r>
        <w:t xml:space="preserve">Dixon-Woods, M., Baker, R., Charles, K., Dawson, J., Jerzembek, G., Martin, G., McCarthy, I., McKee, L., Minion, J., Ozieranski, P., Willars, J., Wilkie, P., &amp; West, M. (2014). Culture and behaviour in the English National Health Service: Overview of lessons from a large multimethod study.</w:t>
      </w:r>
      <w:r>
        <w:t xml:space="preserve"> </w:t>
      </w:r>
      <w:r>
        <w:rPr>
          <w:iCs/>
          <w:i/>
        </w:rPr>
        <w:t xml:space="preserve">BMJ Quality &amp; Safety, 23</w:t>
      </w:r>
      <w:r>
        <w:t xml:space="preserve">(2), 106–115. https://doi.org/10.1136/bmjqs-2013-001947</w:t>
      </w:r>
    </w:p>
    <w:p>
      <w:pPr>
        <w:pStyle w:val="Bibliography"/>
      </w:pPr>
      <w:r>
        <w:t xml:space="preserve">Dong, J., Du, L., Xu, J., Li, J., Tao, J., &amp; Wang, F. (2026). The ideal-reality gap: A qualitative study of nurse middle managers’ perspectives on speaking up for patient safety.</w:t>
      </w:r>
      <w:r>
        <w:t xml:space="preserve"> </w:t>
      </w:r>
      <w:r>
        <w:rPr>
          <w:iCs/>
          <w:i/>
        </w:rPr>
        <w:t xml:space="preserve">Frontiers in Public Health, 14</w:t>
      </w:r>
      <w:r>
        <w:t xml:space="preserve">, Article 1790424. https://doi.org/10.3389/fpubh.2026.1790424</w:t>
      </w:r>
    </w:p>
    <w:p>
      <w:pPr>
        <w:pStyle w:val="Bibliography"/>
      </w:pPr>
      <w:r>
        <w:t xml:space="preserve">Flanagan, J. C. (1954). The critical incident technique.</w:t>
      </w:r>
      <w:r>
        <w:t xml:space="preserve"> </w:t>
      </w:r>
      <w:r>
        <w:rPr>
          <w:iCs/>
          <w:i/>
        </w:rPr>
        <w:t xml:space="preserve">Psychological Bulletin, 51</w:t>
      </w:r>
      <w:r>
        <w:t xml:space="preserve">(4), 327–358. https://doi.org/10.1037/h0061470</w:t>
      </w:r>
    </w:p>
    <w:p>
      <w:pPr>
        <w:pStyle w:val="Bibliography"/>
      </w:pPr>
      <w:r>
        <w:t xml:space="preserve">Francis, R. (2013).</w:t>
      </w:r>
      <w:r>
        <w:t xml:space="preserve"> </w:t>
      </w:r>
      <w:r>
        <w:rPr>
          <w:iCs/>
          <w:i/>
        </w:rPr>
        <w:t xml:space="preserve">Report of the Mid Staffordshire NHS Foundation Trust Public Inquiry: Executive summary</w:t>
      </w:r>
      <w:r>
        <w:t xml:space="preserve"> </w:t>
      </w:r>
      <w:r>
        <w:t xml:space="preserve">(HC 947). The Stationery Office. https://www.gov.uk/government/publications/report-of-the-mid-staffordshire-nhs-foundation-trust-public-inquiry</w:t>
      </w:r>
    </w:p>
    <w:p>
      <w:pPr>
        <w:pStyle w:val="Bibliography"/>
      </w:pPr>
      <w:r>
        <w:t xml:space="preserve">Fricker, M. (2007).</w:t>
      </w:r>
      <w:r>
        <w:t xml:space="preserve"> </w:t>
      </w:r>
      <w:r>
        <w:rPr>
          <w:iCs/>
          <w:i/>
        </w:rPr>
        <w:t xml:space="preserve">Epistemic injustice: Power and the ethics of knowing</w:t>
      </w:r>
      <w:r>
        <w:t xml:space="preserve">. Oxford University Press. https://doi.org/10.1093/acprof:oso/9780198237907.001.0001</w:t>
      </w:r>
    </w:p>
    <w:p>
      <w:pPr>
        <w:pStyle w:val="Bibliography"/>
      </w:pPr>
      <w:r>
        <w:t xml:space="preserve">Ghorbankhani, M., Jones, A., James, A., Hannigan, B., &amp; Roche, D. (2025). Management responses to staff speaking up in the NHS: A scoping review.</w:t>
      </w:r>
      <w:r>
        <w:t xml:space="preserve"> </w:t>
      </w:r>
      <w:r>
        <w:rPr>
          <w:iCs/>
          <w:i/>
        </w:rPr>
        <w:t xml:space="preserve">British Journal of Healthcare Management, 31</w:t>
      </w:r>
      <w:r>
        <w:t xml:space="preserve">(8), 1–10. https://doi.org/10.12968/bjhc.2024.0125</w:t>
      </w:r>
    </w:p>
    <w:p>
      <w:pPr>
        <w:pStyle w:val="Bibliography"/>
      </w:pPr>
      <w:r>
        <w:t xml:space="preserve">Harton, L., &amp; Skemp, L. (2022). Medical–surgical nurse leaders’ experiences with safety culture: An inductive qualitative descriptive study.</w:t>
      </w:r>
      <w:r>
        <w:t xml:space="preserve"> </w:t>
      </w:r>
      <w:r>
        <w:rPr>
          <w:iCs/>
          <w:i/>
        </w:rPr>
        <w:t xml:space="preserve">Journal of Nursing Management, 30</w:t>
      </w:r>
      <w:r>
        <w:t xml:space="preserve">(7), 2781–2790. https://doi.org/10.1111/jonm.13775</w:t>
      </w:r>
    </w:p>
    <w:p>
      <w:pPr>
        <w:pStyle w:val="Bibliography"/>
      </w:pPr>
      <w:r>
        <w:t xml:space="preserve">Hennink, M., &amp; Kaiser, B. N. (2022). Sample sizes for saturation in qualitative research: A systematic review of empirical tests.</w:t>
      </w:r>
      <w:r>
        <w:t xml:space="preserve"> </w:t>
      </w:r>
      <w:r>
        <w:rPr>
          <w:iCs/>
          <w:i/>
        </w:rPr>
        <w:t xml:space="preserve">Social Science &amp; Medicine, 292</w:t>
      </w:r>
      <w:r>
        <w:t xml:space="preserve">, Article 114523. https://doi.org/10.1016/j.socscimed.2021.114523</w:t>
      </w:r>
    </w:p>
    <w:p>
      <w:pPr>
        <w:pStyle w:val="Bibliography"/>
      </w:pPr>
      <w:r>
        <w:t xml:space="preserve">Kingdom of Saudi Arabia. (2010).</w:t>
      </w:r>
      <w:r>
        <w:t xml:space="preserve"> </w:t>
      </w:r>
      <w:r>
        <w:rPr>
          <w:iCs/>
          <w:i/>
        </w:rPr>
        <w:t xml:space="preserve">Law of ethics of research on living things</w:t>
      </w:r>
      <w:r>
        <w:t xml:space="preserve"> </w:t>
      </w:r>
      <w:r>
        <w:t xml:space="preserve">(Royal Decree No. M/59). https://laws.boe.gov.sa/BoeLaws/Laws/LawDetails/fad7b0d1-e536-46ea-8202-a9a700f28b03/2</w:t>
      </w:r>
    </w:p>
    <w:p>
      <w:pPr>
        <w:pStyle w:val="Bibliography"/>
      </w:pPr>
      <w:r>
        <w:t xml:space="preserve">Kingdom of Saudi Arabia. (2021).</w:t>
      </w:r>
      <w:r>
        <w:t xml:space="preserve"> </w:t>
      </w:r>
      <w:r>
        <w:rPr>
          <w:iCs/>
          <w:i/>
        </w:rPr>
        <w:t xml:space="preserve">Personal data protection law</w:t>
      </w:r>
      <w:r>
        <w:t xml:space="preserve"> </w:t>
      </w:r>
      <w:r>
        <w:t xml:space="preserve">(Royal Decree No. M/19, as amended by Royal Decree No. M/148 of 2023). https://misa.gov.sa/app/uploads/2025/08/PersonalDataProtectionLaw.pdf</w:t>
      </w:r>
    </w:p>
    <w:p>
      <w:pPr>
        <w:pStyle w:val="Bibliography"/>
      </w:pPr>
      <w:r>
        <w:t xml:space="preserve">Kohanová, D., Kirwan, M., Bartoníčková, D., Gurková, E., &amp; Žiaková, K. (2024). Examining the perspectives of nurse managers on missed nursing care in surgical units.</w:t>
      </w:r>
      <w:r>
        <w:t xml:space="preserve"> </w:t>
      </w:r>
      <w:r>
        <w:rPr>
          <w:iCs/>
          <w:i/>
        </w:rPr>
        <w:t xml:space="preserve">The Journal of Nursing Administration, 54</w:t>
      </w:r>
      <w:r>
        <w:t xml:space="preserve">(3), 148–153. https://doi.org/10.1097/NNA.0000000000001399</w:t>
      </w:r>
    </w:p>
    <w:p>
      <w:pPr>
        <w:pStyle w:val="Bibliography"/>
      </w:pPr>
      <w:r>
        <w:t xml:space="preserve">Koskiniemi, S., Syyrilä, T., Hämeen-Anttila, K., &amp; Härkänen, M. (2025). Handling features of patient safety incident reporting software and shortcomings in report processing from healthcare professionals’ perspectives: A cross-sectional study with a qualitative design.</w:t>
      </w:r>
      <w:r>
        <w:t xml:space="preserve"> </w:t>
      </w:r>
      <w:r>
        <w:rPr>
          <w:iCs/>
          <w:i/>
        </w:rPr>
        <w:t xml:space="preserve">Journal of Nursing Management, 2025</w:t>
      </w:r>
      <w:r>
        <w:t xml:space="preserve">(1), Article 6724890. https://doi.org/10.1155/jonm/6724890</w:t>
      </w:r>
    </w:p>
    <w:p>
      <w:pPr>
        <w:pStyle w:val="Bibliography"/>
      </w:pPr>
      <w:r>
        <w:t xml:space="preserve">Koskiniemi, S., Syyrilä, T., Hämeen-Anttila, K., Manias, E., &amp; Härkänen, M. (2024). Health professionals’ perceptions of the development needs of incident reporting software: A qualitative systematic review.</w:t>
      </w:r>
      <w:r>
        <w:t xml:space="preserve"> </w:t>
      </w:r>
      <w:r>
        <w:rPr>
          <w:iCs/>
          <w:i/>
        </w:rPr>
        <w:t xml:space="preserve">Journal of Advanced Nursing, 80</w:t>
      </w:r>
      <w:r>
        <w:t xml:space="preserve">(9), 3533–3546. https://doi.org/10.1111/jan.16106</w:t>
      </w:r>
    </w:p>
    <w:p>
      <w:pPr>
        <w:pStyle w:val="Bibliography"/>
      </w:pPr>
      <w:r>
        <w:t xml:space="preserve">Kuijper, S., Felder, M., Clegg, S., Bal, R., &amp; Wallenburg, I. (2024).</w:t>
      </w:r>
      <w:r>
        <w:t xml:space="preserve"> </w:t>
      </w:r>
      <w:r>
        <w:t xml:space="preserve">“</w:t>
      </w:r>
      <w:r>
        <w:t xml:space="preserve">We don’t experiment with our patients!</w:t>
      </w:r>
      <w:r>
        <w:t xml:space="preserve">”</w:t>
      </w:r>
      <w:r>
        <w:t xml:space="preserve"> </w:t>
      </w:r>
      <w:r>
        <w:t xml:space="preserve">An ethnographic account of the epistemic politics of (re)designing nursing work.</w:t>
      </w:r>
      <w:r>
        <w:t xml:space="preserve"> </w:t>
      </w:r>
      <w:r>
        <w:rPr>
          <w:iCs/>
          <w:i/>
        </w:rPr>
        <w:t xml:space="preserve">Social Science &amp; Medicine, 340</w:t>
      </w:r>
      <w:r>
        <w:t xml:space="preserve">, Article 116482. https://doi.org/10.1016/j.socscimed.2023.116482</w:t>
      </w:r>
    </w:p>
    <w:p>
      <w:pPr>
        <w:pStyle w:val="Bibliography"/>
      </w:pPr>
      <w:r>
        <w:t xml:space="preserve">Lee, E., De Gagne, J. C., Randall, P. S., Tuttle, B., &amp; Kwon, H. (2025). Experiences of nurses speaking up in healthcare settings: A qualitative metasynthesis.</w:t>
      </w:r>
      <w:r>
        <w:t xml:space="preserve"> </w:t>
      </w:r>
      <w:r>
        <w:rPr>
          <w:iCs/>
          <w:i/>
        </w:rPr>
        <w:t xml:space="preserve">Journal of Advanced Nursing, 81</w:t>
      </w:r>
      <w:r>
        <w:t xml:space="preserve">(11), 7464–7479. https://doi.org/10.1111/jan.16592</w:t>
      </w:r>
    </w:p>
    <w:p>
      <w:pPr>
        <w:pStyle w:val="Bibliography"/>
      </w:pPr>
      <w:r>
        <w:t xml:space="preserve">Lee, S. E., Dahinten, V. S., Ji, H., Kim, E., &amp; Lee, H. (2022). Motivators and inhibitors of nurses’ speaking up behaviours: A descriptive qualitative study.</w:t>
      </w:r>
      <w:r>
        <w:t xml:space="preserve"> </w:t>
      </w:r>
      <w:r>
        <w:rPr>
          <w:iCs/>
          <w:i/>
        </w:rPr>
        <w:t xml:space="preserve">Journal of Advanced Nursing, 78</w:t>
      </w:r>
      <w:r>
        <w:t xml:space="preserve">(10), 3398–3408. https://doi.org/10.1111/jan.15343</w:t>
      </w:r>
    </w:p>
    <w:p>
      <w:pPr>
        <w:pStyle w:val="Bibliography"/>
      </w:pPr>
      <w:r>
        <w:t xml:space="preserve">Mahmoud, H. A., Thavorn, K., Mulpuru, S., McIsaac, D., Abdelrazek, M. A., Mahmoud, A. A., &amp; Forster, A. J. (2023). Barriers and facilitators to improving patient safety learning systems: A systematic review of qualitative studies and meta-synthesis.</w:t>
      </w:r>
      <w:r>
        <w:t xml:space="preserve"> </w:t>
      </w:r>
      <w:r>
        <w:rPr>
          <w:iCs/>
          <w:i/>
        </w:rPr>
        <w:t xml:space="preserve">BMJ Open Quality, 12</w:t>
      </w:r>
      <w:r>
        <w:t xml:space="preserve">(2), Article e002134. https://doi.org/10.1136/bmjoq-2022-002134</w:t>
      </w:r>
    </w:p>
    <w:p>
      <w:pPr>
        <w:pStyle w:val="Bibliography"/>
      </w:pPr>
      <w:r>
        <w:t xml:space="preserve">Malterud, K., Siersma, V. D., &amp; Guassora, A. D. (2016). Sample size in qualitative interview studies: Guided by information power.</w:t>
      </w:r>
      <w:r>
        <w:t xml:space="preserve"> </w:t>
      </w:r>
      <w:r>
        <w:rPr>
          <w:iCs/>
          <w:i/>
        </w:rPr>
        <w:t xml:space="preserve">Qualitative Health Research, 26</w:t>
      </w:r>
      <w:r>
        <w:t xml:space="preserve">(13), 1753–1760. https://doi.org/10.1177/1049732315617444</w:t>
      </w:r>
    </w:p>
    <w:p>
      <w:pPr>
        <w:pStyle w:val="Bibliography"/>
      </w:pPr>
      <w:r>
        <w:t xml:space="preserve">Martin, G. P., Aveling, E.-L., Campbell, A., Tarrant, C., Pronovost, P. J., Mitchell, I., Dankers, C., Bates, D., &amp; Dixon-Woods, M. (2018). Making soft intelligence hard: A multi-site qualitative study of challenges relating to voice about safety concerns.</w:t>
      </w:r>
      <w:r>
        <w:t xml:space="preserve"> </w:t>
      </w:r>
      <w:r>
        <w:rPr>
          <w:iCs/>
          <w:i/>
        </w:rPr>
        <w:t xml:space="preserve">BMJ Quality &amp; Safety, 27</w:t>
      </w:r>
      <w:r>
        <w:t xml:space="preserve">(9), 710–717. https://doi.org/10.1136/bmjqs-2017-007579</w:t>
      </w:r>
    </w:p>
    <w:p>
      <w:pPr>
        <w:pStyle w:val="Bibliography"/>
      </w:pPr>
      <w:r>
        <w:t xml:space="preserve">Martin, G. P., McKee, L., &amp; Dixon-Woods, M. (2015). Beyond metrics? Utilizing</w:t>
      </w:r>
      <w:r>
        <w:t xml:space="preserve"> </w:t>
      </w:r>
      <w:r>
        <w:t xml:space="preserve">‘</w:t>
      </w:r>
      <w:r>
        <w:t xml:space="preserve">soft intelligence</w:t>
      </w:r>
      <w:r>
        <w:t xml:space="preserve">’</w:t>
      </w:r>
      <w:r>
        <w:t xml:space="preserve"> </w:t>
      </w:r>
      <w:r>
        <w:t xml:space="preserve">for healthcare quality and safety.</w:t>
      </w:r>
      <w:r>
        <w:t xml:space="preserve"> </w:t>
      </w:r>
      <w:r>
        <w:rPr>
          <w:iCs/>
          <w:i/>
        </w:rPr>
        <w:t xml:space="preserve">Social Science &amp; Medicine, 142</w:t>
      </w:r>
      <w:r>
        <w:t xml:space="preserve">, 19–26. https://doi.org/10.1016/j.socscimed.2015.07.027</w:t>
      </w:r>
    </w:p>
    <w:p>
      <w:pPr>
        <w:pStyle w:val="Bibliography"/>
      </w:pPr>
      <w:r>
        <w:t xml:space="preserve">O’Brien, B. C., Harris, I. B., Beckman, T. J., Reed, D. A., &amp; Cook, D. A. (2014). Standards for reporting qualitative research: A synthesis of recommendations.</w:t>
      </w:r>
      <w:r>
        <w:t xml:space="preserve"> </w:t>
      </w:r>
      <w:r>
        <w:rPr>
          <w:iCs/>
          <w:i/>
        </w:rPr>
        <w:t xml:space="preserve">Academic Medicine, 89</w:t>
      </w:r>
      <w:r>
        <w:t xml:space="preserve">(9), 1245–1251. https://doi.org/10.1097/ACM.0000000000000388</w:t>
      </w:r>
    </w:p>
    <w:p>
      <w:pPr>
        <w:pStyle w:val="Bibliography"/>
      </w:pPr>
      <w:r>
        <w:t xml:space="preserve">Olmos-Vega, F. M., Stalmeijer, R. E., Varpio, L., &amp; Kahlke, R. (2023). A practical guide to reflexivity in qualitative research: AMEE Guide No. 149.</w:t>
      </w:r>
      <w:r>
        <w:t xml:space="preserve"> </w:t>
      </w:r>
      <w:r>
        <w:rPr>
          <w:iCs/>
          <w:i/>
        </w:rPr>
        <w:t xml:space="preserve">Medical Teacher, 45</w:t>
      </w:r>
      <w:r>
        <w:t xml:space="preserve">(3), 241–251. https://doi.org/10.1080/0142159X.2022.2057287</w:t>
      </w:r>
    </w:p>
    <w:p>
      <w:pPr>
        <w:pStyle w:val="Bibliography"/>
      </w:pPr>
      <w:r>
        <w:t xml:space="preserve">Rietze, L. L., Purkis, M. E., Stajduhar, K. I., &amp; Cloutier, D. S. (2026). The sounds of silence: Problematizing voicelessness in nursing practice.</w:t>
      </w:r>
      <w:r>
        <w:t xml:space="preserve"> </w:t>
      </w:r>
      <w:r>
        <w:rPr>
          <w:iCs/>
          <w:i/>
        </w:rPr>
        <w:t xml:space="preserve">Nursing Inquiry, 33</w:t>
      </w:r>
      <w:r>
        <w:t xml:space="preserve">(1), Article e70070. https://doi.org/10.1111/nin.70070</w:t>
      </w:r>
    </w:p>
    <w:p>
      <w:pPr>
        <w:pStyle w:val="Bibliography"/>
      </w:pPr>
      <w:r>
        <w:t xml:space="preserve">Saudi Patient Safety Center. (2025).</w:t>
      </w:r>
      <w:r>
        <w:t xml:space="preserve"> </w:t>
      </w:r>
      <w:r>
        <w:rPr>
          <w:iCs/>
          <w:i/>
        </w:rPr>
        <w:t xml:space="preserve">Patient safety standards book</w:t>
      </w:r>
      <w:r>
        <w:t xml:space="preserve"> </w:t>
      </w:r>
      <w:r>
        <w:t xml:space="preserve">(Version 1.0). https://resources.spsc.gov.sa/pss.pdf</w:t>
      </w:r>
    </w:p>
    <w:p>
      <w:pPr>
        <w:pStyle w:val="Bibliography"/>
      </w:pPr>
      <w:r>
        <w:t xml:space="preserve">Seo, J.-K., &amp; Lee, S. E. (2022). Hospital management, supervisor support and nurse speaking-up behaviours: The mediating role of safety culture perception.</w:t>
      </w:r>
      <w:r>
        <w:t xml:space="preserve"> </w:t>
      </w:r>
      <w:r>
        <w:rPr>
          <w:iCs/>
          <w:i/>
        </w:rPr>
        <w:t xml:space="preserve">Journal of Nursing Management, 30</w:t>
      </w:r>
      <w:r>
        <w:t xml:space="preserve">(7), 3160–3167. https://doi.org/10.1111/jonm.13737</w:t>
      </w:r>
    </w:p>
    <w:p>
      <w:pPr>
        <w:pStyle w:val="Bibliography"/>
      </w:pPr>
      <w:r>
        <w:t xml:space="preserve">Smith, B., &amp; McGannon, K. R. (2018). Developing rigor in qualitative research: Problems and opportunities within sport and exercise psychology.</w:t>
      </w:r>
      <w:r>
        <w:t xml:space="preserve"> </w:t>
      </w:r>
      <w:r>
        <w:rPr>
          <w:iCs/>
          <w:i/>
        </w:rPr>
        <w:t xml:space="preserve">International Review of Sport and Exercise Psychology, 11</w:t>
      </w:r>
      <w:r>
        <w:t xml:space="preserve">(1), 101–121. https://doi.org/10.1080/1750984X.2017.1317357</w:t>
      </w:r>
    </w:p>
    <w:p>
      <w:pPr>
        <w:pStyle w:val="Bibliography"/>
      </w:pPr>
      <w:r>
        <w:t xml:space="preserve">Squires, A. (2009). Methodological challenges in cross-language qualitative research: A research review.</w:t>
      </w:r>
      <w:r>
        <w:t xml:space="preserve"> </w:t>
      </w:r>
      <w:r>
        <w:rPr>
          <w:iCs/>
          <w:i/>
        </w:rPr>
        <w:t xml:space="preserve">International Journal of Nursing Studies, 46</w:t>
      </w:r>
      <w:r>
        <w:t xml:space="preserve">(2), 277–287. https://doi.org/10.1016/j.ijnurstu.2008.08.006</w:t>
      </w:r>
    </w:p>
    <w:p>
      <w:pPr>
        <w:pStyle w:val="Bibliography"/>
      </w:pPr>
      <w:r>
        <w:t xml:space="preserve">Thorne, S. (2025).</w:t>
      </w:r>
      <w:r>
        <w:t xml:space="preserve"> </w:t>
      </w:r>
      <w:r>
        <w:rPr>
          <w:iCs/>
          <w:i/>
        </w:rPr>
        <w:t xml:space="preserve">Interpretive description: Qualitative research for applied practice</w:t>
      </w:r>
      <w:r>
        <w:t xml:space="preserve"> </w:t>
      </w:r>
      <w:r>
        <w:t xml:space="preserve">(3rd ed.). Routledge. https://doi.org/10.4324/9781003503538</w:t>
      </w:r>
    </w:p>
    <w:p>
      <w:pPr>
        <w:pStyle w:val="Bibliography"/>
      </w:pPr>
      <w:r>
        <w:t xml:space="preserve">Tong, A., Sainsbury, P., &amp; Craig, J. (2007). Consolidated criteria for reporting qualitative research (COREQ): A 32-item checklist for interviews and focus groups.</w:t>
      </w:r>
      <w:r>
        <w:t xml:space="preserve"> </w:t>
      </w:r>
      <w:r>
        <w:rPr>
          <w:iCs/>
          <w:i/>
        </w:rPr>
        <w:t xml:space="preserve">International Journal for Quality in Health Care, 19</w:t>
      </w:r>
      <w:r>
        <w:t xml:space="preserve">(6), 349–357. https://doi.org/10.1093/intqhc/mzm042</w:t>
      </w:r>
    </w:p>
    <w:p>
      <w:pPr>
        <w:pStyle w:val="Bibliography"/>
      </w:pPr>
      <w:r>
        <w:t xml:space="preserve">van Dongen, D., Guldenmund, F., Grossmann, I., &amp; Groeneweg, J. (2024). Classification of influencing factors of speaking-up behaviour in hospitals: A systematic review.</w:t>
      </w:r>
      <w:r>
        <w:t xml:space="preserve"> </w:t>
      </w:r>
      <w:r>
        <w:rPr>
          <w:iCs/>
          <w:i/>
        </w:rPr>
        <w:t xml:space="preserve">BMC Health Services Research, 24</w:t>
      </w:r>
      <w:r>
        <w:t xml:space="preserve">, Article 1657. https://doi.org/10.1186/s12913-024-12138-x</w:t>
      </w:r>
    </w:p>
    <w:p>
      <w:pPr>
        <w:pStyle w:val="Bibliography"/>
      </w:pPr>
      <w:r>
        <w:t xml:space="preserve">World Medical Association. (2025). World Medical Association Declaration of Helsinki: Ethical principles for medical research involving human participants.</w:t>
      </w:r>
      <w:r>
        <w:t xml:space="preserve"> </w:t>
      </w:r>
      <w:r>
        <w:rPr>
          <w:iCs/>
          <w:i/>
        </w:rPr>
        <w:t xml:space="preserve">JAMA, 333</w:t>
      </w:r>
      <w:r>
        <w:t xml:space="preserve">(1), 71–74. https://doi.org/10.1001/jama.2024.21972</w:t>
      </w:r>
    </w:p>
    <w:p>
      <w:pPr>
        <w:pStyle w:val="Bibliography"/>
      </w:pPr>
      <w:r>
        <w:t xml:space="preserve">Young, L., Johnson, A. H., Reeder, B. P., &amp; Vogelsmeier, A. (2025). From an informatics lens: Dashboards for hospital nurse managers influencing unit patient outcomes.</w:t>
      </w:r>
      <w:r>
        <w:t xml:space="preserve"> </w:t>
      </w:r>
      <w:r>
        <w:rPr>
          <w:iCs/>
          <w:i/>
        </w:rPr>
        <w:t xml:space="preserve">CIN: Computers, Informatics, Nursing, 43</w:t>
      </w:r>
      <w:r>
        <w:t xml:space="preserve">(2), Article e01212. https://doi.org/10.1097/CIN.0000000000001212</w:t>
      </w:r>
    </w:p>
    <w:bookmarkEnd w:id="64"/>
    <w:sectPr>
      <w:footerReference w:type="default" r:id="rIdFtr1"/>
      <w:pgSz w:w="12240" w:h="15840"/>
      <w:pgMar w:top="1440" w:right="1440" w:bottom="1440" w:left="1440" w:header="720" w:footer="576" w:gutter="0"/>
      <w:lnNumType w:countBy="1" w:distance="360"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suppressLineNumbers/>
      <w:spacing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w="http://schemas.openxmlformats.org/wordprocessingml/2006/main">
  <w:zoom w:percent="100"/>
  <w:removePersonalInformation/>
  <w:removeDateAndTime/>
  <w:proofState w:spelling="clean" w:grammar="clean"/>
  <w:defaultTabStop w:val="720"/>
  <w:characterSpacingControl w:val="doNotCompress"/>
  <w:footnotePr>
    <w:footnote w:id="-1"/>
    <w:footnote w:id="0"/>
  </w:footnotePr>
  <w:compat>
    <w:compatSetting w:name="compatibilityMode" w:uri="http://schemas.microsoft.com/office/word" w:val="15"/>
  </w:compat>
  <w:themeFontLang w:val="en-GB"/>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rPr>
    </w:rPrDefault>
    <w:pPrDefault>
      <w:pPr>
        <w:spacing w:before="0" w:after="0" w:line="480" w:lineRule="auto"/>
      </w:pPr>
    </w:pPrDefault>
  </w:docDefaults>
  <w:style w:type="paragraph" w:default="1" w:styleId="Normal">
    <w:name w:val="Normal"/>
    <w:qFormat/>
    <w:pPr>
      <w:spacing w:before="0" w:after="0" w:line="480" w:lineRule="auto"/>
    </w:pPr>
    <w:rPr>
      <w:rFonts w:ascii="Times New Roman" w:hAnsi="Times New Roman" w:eastAsia="Times New Roman" w:cs="Times New Roman"/>
      <w:sz w:val="24"/>
      <w:szCs w:val="24"/>
    </w:rPr>
  </w:style>
  <w:style w:type="paragraph" w:styleId="BodyText">
    <w:name w:val="Body Text"/>
    <w:basedOn w:val="Normal"/>
    <w:next w:val="BodyText"/>
    <w:qFormat/>
    <w:pPr>
      <w:spacing w:before="0" w:after="0" w:line="480" w:lineRule="auto"/>
      <w:ind w:firstLine="0"/>
    </w:pPr>
  </w:style>
  <w:style w:type="paragraph" w:styleId="FirstParagraph">
    <w:name w:val="First Paragraph"/>
    <w:basedOn w:val="BodyText"/>
    <w:next w:val="BodyText"/>
    <w:qFormat/>
  </w:style>
  <w:style w:type="paragraph" w:styleId="Compact">
    <w:name w:val="Compact"/>
    <w:basedOn w:val="BodyText"/>
    <w:next w:val="BodyText"/>
    <w:qFormat/>
    <w:pPr>
      <w:spacing w:before="0" w:after="0" w:line="480" w:lineRule="auto"/>
    </w:pPr>
  </w:style>
  <w:style w:type="paragraph" w:styleId="Title">
    <w:name w:val="Title"/>
    <w:basedOn w:val="Normal"/>
    <w:next w:val="BodyText"/>
    <w:qFormat/>
    <w:pPr>
      <w:spacing w:before="0" w:after="240" w:line="480" w:lineRule="auto"/>
      <w:jc w:val="center"/>
    </w:pPr>
    <w:rPr>
      <w:b/>
      <w:sz w:val="28"/>
      <w:szCs w:val="28"/>
    </w:rPr>
  </w:style>
  <w:style w:type="paragraph" w:styleId="Subtitle">
    <w:name w:val="Subtitle"/>
    <w:basedOn w:val="Normal"/>
    <w:next w:val="BodyText"/>
    <w:qFormat/>
    <w:pPr>
      <w:spacing w:before="0" w:after="0" w:line="480" w:lineRule="auto"/>
      <w:jc w:val="center"/>
    </w:pPr>
  </w:style>
  <w:style w:type="paragraph" w:styleId="Author">
    <w:name w:val="Author"/>
    <w:basedOn w:val="Normal"/>
    <w:next w:val="BodyText"/>
    <w:qFormat/>
    <w:pPr>
      <w:spacing w:before="0" w:after="0" w:line="480" w:lineRule="auto"/>
      <w:jc w:val="center"/>
    </w:pPr>
  </w:style>
  <w:style w:type="paragraph" w:styleId="Date">
    <w:name w:val="Date"/>
    <w:basedOn w:val="Normal"/>
    <w:next w:val="BodyText"/>
    <w:qFormat/>
    <w:pPr>
      <w:spacing w:before="0" w:after="0" w:line="480" w:lineRule="auto"/>
      <w:jc w:val="center"/>
    </w:pPr>
  </w:style>
  <w:style w:type="paragraph" w:styleId="Abstract">
    <w:name w:val="Abstract"/>
    <w:basedOn w:val="Normal"/>
    <w:next w:val="BodyText"/>
    <w:qFormat/>
  </w:style>
  <w:style w:type="paragraph" w:styleId="AbstractTitle">
    <w:name w:val="Abstract Title"/>
    <w:basedOn w:val="Normal"/>
    <w:next w:val="BodyText"/>
    <w:qFormat/>
    <w:rPr>
      <w:b/>
    </w:rPr>
  </w:style>
  <w:style w:type="paragraph" w:styleId="Bibliography">
    <w:name w:val="Bibliography"/>
    <w:basedOn w:val="Normal"/>
    <w:next w:val="BodyText"/>
    <w:qFormat/>
    <w:pPr>
      <w:spacing w:before="0" w:after="0" w:line="480" w:lineRule="auto"/>
      <w:ind w:left="720" w:hanging="720"/>
    </w:pPr>
  </w:style>
  <w:style w:type="paragraph" w:styleId="Heading1">
    <w:name w:val="heading 1"/>
    <w:basedOn w:val="Normal"/>
    <w:next w:val="BodyText"/>
    <w:qFormat/>
    <w:pPr>
      <w:keepNext/>
      <w:spacing w:before="240" w:after="0" w:line="480" w:lineRule="auto"/>
      <w:outlineLvl w:val="0"/>
    </w:pPr>
    <w:rPr>
      <w:b/>
    </w:rPr>
  </w:style>
  <w:style w:type="paragraph" w:styleId="Heading2">
    <w:name w:val="heading 2"/>
    <w:basedOn w:val="Normal"/>
    <w:next w:val="BodyText"/>
    <w:qFormat/>
    <w:pPr>
      <w:keepNext/>
      <w:spacing w:before="120" w:after="0" w:line="480" w:lineRule="auto"/>
      <w:outlineLvl w:val="1"/>
    </w:pPr>
    <w:rPr>
      <w:b/>
      <w:i/>
    </w:rPr>
  </w:style>
  <w:style w:type="paragraph" w:styleId="Heading3">
    <w:name w:val="heading 3"/>
    <w:basedOn w:val="Normal"/>
    <w:next w:val="BodyText"/>
    <w:qFormat/>
    <w:pPr>
      <w:keepNext/>
      <w:spacing w:before="120" w:after="0" w:line="480" w:lineRule="auto"/>
      <w:outlineLvl w:val="2"/>
    </w:pPr>
    <w:rPr>
      <w:i/>
    </w:rPr>
  </w:style>
  <w:style w:type="paragraph" w:styleId="Heading4">
    <w:name w:val="heading 4"/>
    <w:basedOn w:val="Normal"/>
    <w:next w:val="BodyText"/>
    <w:qFormat/>
    <w:pPr>
      <w:keepNext/>
      <w:spacing w:before="0" w:after="0" w:line="480" w:lineRule="auto"/>
      <w:outlineLvl w:val="3"/>
    </w:pPr>
    <w:rPr>
      <w:i/>
    </w:rPr>
  </w:style>
  <w:style w:type="paragraph" w:styleId="BlockText">
    <w:name w:val="Block Text"/>
    <w:basedOn w:val="BodyText"/>
    <w:next w:val="BodyText"/>
    <w:qFormat/>
    <w:pPr>
      <w:spacing w:before="0" w:after="0" w:line="480" w:lineRule="auto"/>
      <w:ind w:left="720" w:right="720"/>
    </w:pPr>
  </w:style>
  <w:style w:type="paragraph" w:styleId="TableCaption">
    <w:name w:val="Table Caption"/>
    <w:basedOn w:val="Normal"/>
    <w:next w:val="BodyText"/>
    <w:qFormat/>
    <w:pPr>
      <w:keepNext/>
      <w:spacing w:before="120" w:after="120" w:line="240" w:lineRule="auto"/>
    </w:pPr>
    <w:rPr>
      <w:b/>
    </w:rPr>
  </w:style>
  <w:style w:type="paragraph" w:styleId="Caption">
    <w:name w:val="Caption"/>
    <w:basedOn w:val="Normal"/>
    <w:next w:val="BodyText"/>
    <w:qFormat/>
    <w:pPr>
      <w:spacing w:before="0" w:after="120" w:line="240" w:lineRule="auto"/>
    </w:pPr>
  </w:style>
  <w:style w:type="paragraph" w:styleId="FootnoteText">
    <w:name w:val="footnote text"/>
    <w:basedOn w:val="Normal"/>
    <w:next w:val="BodyText"/>
    <w:qFormat/>
    <w:pPr>
      <w:spacing w:before="0" w:after="0" w:line="240" w:lineRule="auto"/>
    </w:pPr>
    <w:rPr>
      <w:sz w:val="20"/>
    </w:rPr>
  </w:style>
  <w:style w:type="paragraph" w:styleId="TableText">
    <w:name w:val="Table Text"/>
    <w:basedOn w:val="Normal"/>
    <w:next w:val="BodyText"/>
    <w:qFormat/>
    <w:pPr>
      <w:spacing w:before="0" w:after="0" w:line="240" w:lineRule="auto"/>
    </w:pPr>
    <w:rPr>
      <w:sz w:val="20"/>
      <w:szCs w:val="20"/>
    </w:rPr>
  </w:style>
  <w:style w:type="paragraph" w:styleId="Note">
    <w:name w:val="Table Note"/>
    <w:basedOn w:val="Normal"/>
    <w:next w:val="BodyText"/>
    <w:qFormat/>
    <w:pPr>
      <w:spacing w:before="0" w:after="60" w:line="240" w:lineRule="auto"/>
    </w:pPr>
    <w:rPr>
      <w:sz w:val="20"/>
      <w:szCs w:val="20"/>
    </w:rPr>
  </w:style>
  <w:style w:type="character" w:default="1" w:styleId="DefaultParagraphFont">
    <w:name w:val="Default Paragraph Font"/>
    <w:uiPriority w:val="1"/>
    <w:semiHidden/>
  </w:style>
  <w:style w:type="character" w:styleId="BodyTextChar">
    <w:name w:val="Body Text Char"/>
  </w:style>
  <w:style w:type="character" w:styleId="Hyperlink">
    <w:name w:val="Hyperlink"/>
    <w:rPr>
      <w:color w:val="1F4E79"/>
    </w:rPr>
  </w:style>
  <w:style w:type="character" w:styleId="FootnoteReference">
    <w:name w:val="foot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 w:type="table" w:styleId="Table">
    <w:name w:val="Table"/>
    <w:basedOn w:val="TableNormal"/>
    <w:pPr>
      <w:spacing w:before="20" w:after="20" w:line="240" w:lineRule="auto"/>
    </w:pPr>
    <w:rPr>
      <w:sz w:val="20"/>
      <w:szCs w:val="20"/>
    </w:rPr>
    <w:tblPr>
      <w:tblBorders>
        <w:top w:val="single" w:sz="8" w:space="0" w:color="000000"/>
        <w:bottom w:val="single" w:sz="8" w:space="0" w:color="000000"/>
        <w:insideH w:val="single" w:sz="2" w:space="0" w:color="BFBFBF"/>
      </w:tblBorders>
    </w:tblPr>
    <w:tblStylePr w:type="firstRow">
      <w:rPr>
        <w:b/>
      </w:rPr>
      <w:tcPr>
        <w:tcBorders>
          <w:bottom w:val="single" w:sz="8" w:space="0" w:color="000000"/>
        </w:tcBorders>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Burden of Proof: Unit-Level Nurse Managers’ Judgements and Responses to Nurses’ Care Concerns When Quality Indicators Appear Reassuring—An Interpretive Description</dc:title>
  <dc:creator/>
  <cp:lastModifiedBy/>
  <cp:revision>1</cp:revision>
  <dcterms:created xsi:type="dcterms:W3CDTF">2026-10-28T00:00:00Z</dcterms:created>
  <dcterms:modified xsi:type="dcterms:W3CDTF">2026-10-28T00:00:00Z</dcterms:modified>
</cp:coreProperties>
</file>