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2. Themes, subthemes and primary study objectives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1734"/>
        <w:gridCol w:w="1734"/>
        <w:gridCol w:w="3620"/>
        <w:gridCol w:w="829"/>
      </w:tblGrid>
      <w:tr>
        <w:trPr>
          <w:cantSplit/>
          <w:tblHeader w:val="true"/>
        </w:trPr>
        <w:tc>
          <w:tcPr/>
          <w:p>
            <w:pPr>
              <w:pStyle w:val="Compact"/>
              <w:keepNext/>
              <w:jc w:val="left"/>
            </w:pPr>
            <w:r>
              <w:t xml:space="preserve">Theme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Subtheme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Interpretive description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Objective</w:t>
            </w:r>
          </w:p>
        </w:tc>
      </w:tr>
      <w:tr>
        <w:trPr>
          <w:cantSplit/>
        </w:trPr>
        <w:tc>
          <w:tcPr>
            <w:vMerge w:val="restart"/>
          </w:tcPr>
          <w:p>
            <w:pPr>
              <w:pStyle w:val="Compact"/>
              <w:keepNext/>
              <w:jc w:val="left"/>
            </w:pPr>
            <w:r>
              <w:t xml:space="preserve">1.</w:t>
            </w:r>
            <w:r>
              <w:t xml:space="preserve"> </w:t>
            </w:r>
            <w:r>
              <w:t xml:space="preserve">“</w:t>
            </w:r>
            <w:r>
              <w:t xml:space="preserve">Green can mean nothing has happened yet</w:t>
            </w:r>
            <w:r>
              <w:t xml:space="preserve">”</w:t>
            </w:r>
            <w:r>
              <w:t xml:space="preserve">: Weighing concerns against reassuring indicators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1.1 Indicators as a starting presumption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Satisfactory indicators could establish a presumption of safety before a concern was examined.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</w:t>
            </w:r>
          </w:p>
        </w:tc>
      </w:tr>
      <w:tr>
        <w:trPr>
          <w:cantSplit/>
        </w:trPr>
        <w:tc>
          <w:tcPr>
            <w:vMerge/>
          </w:tcPr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1.2 Recognising what indicators cannot show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Managers recognised differences in indicator coverage or timing; a same-domain concern could prompt scrutiny of how data were produced.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1</w:t>
            </w:r>
          </w:p>
        </w:tc>
      </w:tr>
      <w:tr>
        <w:trPr>
          <w:cantSplit/>
        </w:trPr>
        <w:tc>
          <w:tcPr>
            <w:vMerge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1.3 Credibility through the messenger and the 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Specificity, corroboration and prior views of the nurse shaped credibility judgements.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rPr>
          <w:cantSplit/>
        </w:trPr>
        <w:tc>
          <w:tcPr>
            <w:vMerge w:val="restart"/>
          </w:tcPr>
          <w:p>
            <w:pPr>
              <w:pStyle w:val="Compact"/>
              <w:keepNext/>
              <w:jc w:val="left"/>
            </w:pPr>
            <w:r>
              <w:t xml:space="preserve">2.</w:t>
            </w:r>
            <w:r>
              <w:t xml:space="preserve"> </w:t>
            </w:r>
            <w:r>
              <w:t xml:space="preserve">“</w:t>
            </w:r>
            <w:r>
              <w:t xml:space="preserve">It passes down the line</w:t>
            </w:r>
            <w:r>
              <w:t xml:space="preserve">”</w:t>
            </w:r>
            <w:r>
              <w:t xml:space="preserve">: Allocating the burden of proof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2.1 Asking nurses to document concerns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Written accounts could support organisational attention or become a condition that delayed inquiry.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vMerge/>
          </w:tcPr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2.2 Managers taking responsibility for substantiation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Some managers gathered evidence through observation or record review, at times outside working hours.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vMerge/>
          </w:tcPr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2.3 Anticipating evidential demands from above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Managers’ expectations mirrored the evidence they anticipated senior managers and quality meetings would require.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vMerge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2.4 Acting before additional substantiation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clinical concerns prompted assessment without requiring additional substantiation; resource-related concerns often required a fuller case.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vMerge w:val="restart"/>
          </w:tcPr>
          <w:p>
            <w:pPr>
              <w:pStyle w:val="Compact"/>
              <w:keepNext/>
              <w:jc w:val="left"/>
            </w:pPr>
            <w:r>
              <w:t xml:space="preserve">3.</w:t>
            </w:r>
            <w:r>
              <w:t xml:space="preserve"> </w:t>
            </w:r>
            <w:r>
              <w:t xml:space="preserve">“</w:t>
            </w:r>
            <w:r>
              <w:t xml:space="preserve">It never reaches the dashboard</w:t>
            </w:r>
            <w:r>
              <w:t xml:space="preserve">”</w:t>
            </w:r>
            <w:r>
              <w:t xml:space="preserve">: Responding, escalating and closing the loop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3.1 Graduated local responses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Managers described local adjustments as quicker than escalation; these were not consistently visible in formal quality processes.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</w:t>
            </w:r>
          </w:p>
        </w:tc>
      </w:tr>
      <w:tr>
        <w:trPr>
          <w:cantSplit/>
        </w:trPr>
        <w:tc>
          <w:tcPr>
            <w:vMerge/>
          </w:tcPr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3.2 Escalation as translation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Managers reframed concerns in organisationally recognised measures; attention sometimes followed recorded harm.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3</w:t>
            </w:r>
          </w:p>
        </w:tc>
      </w:tr>
      <w:tr>
        <w:trPr>
          <w:cantSplit/>
        </w:trPr>
        <w:tc>
          <w:tcPr>
            <w:vMerge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3.3 Informal and uneven feedback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could be informal, unrecorded or omitted; managers believed limited follow-up could discourage future concerns.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</w:tr>
      <w:tr>
        <w:trPr>
          <w:cantSplit/>
        </w:trPr>
        <w:tc>
          <w:tcPr>
            <w:vMerge w:val="restart"/>
          </w:tcPr>
          <w:p>
            <w:pPr>
              <w:pStyle w:val="Compact"/>
              <w:keepNext/>
              <w:jc w:val="left"/>
            </w:pPr>
            <w:r>
              <w:t xml:space="preserve">4.</w:t>
            </w:r>
            <w:r>
              <w:t xml:space="preserve"> </w:t>
            </w:r>
            <w:r>
              <w:t xml:space="preserve">“</w:t>
            </w:r>
            <w:r>
              <w:t xml:space="preserve">The concern needs justification</w:t>
            </w:r>
            <w:r>
              <w:t xml:space="preserve">”</w:t>
            </w:r>
            <w:r>
              <w:t xml:space="preserve">: Organisational conditions shaping the burden of proof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4.1 Dashboard-centred quality meetings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Indicator-based agendas left little routine space for concerns without an associated measure.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</w:t>
            </w:r>
          </w:p>
        </w:tc>
      </w:tr>
      <w:tr>
        <w:trPr>
          <w:cantSplit/>
        </w:trPr>
        <w:tc>
          <w:tcPr>
            <w:vMerge/>
          </w:tcPr>
          <w:p>
            <w:pPr>
              <w:pStyle w:val="Compact"/>
              <w:keepNext/>
            </w:pP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4.2 Limited managerial authority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Limits on staffing and budget authority shaped the evidence managers believed a response required.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4</w:t>
            </w:r>
          </w:p>
        </w:tc>
      </w:tr>
      <w:tr>
        <w:trPr>
          <w:cantSplit/>
        </w:trPr>
        <w:tc>
          <w:tcPr>
            <w:vMerge/>
          </w:tcPr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4.3 Informal channels and a diverse workforce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Messaging applications and differences in phrasing shaped how concerns entered formal processes and were recognised.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</w:tr>
    </w:tbl>
    <w:p>
      <w:pPr>
        <w:pStyle w:val="Note"/>
      </w:pPr>
      <w:r>
        <w:t xml:space="preserve">Theme titles quote participants (P10, P22, P06 and P16). Themes represent related dimensions of reported reasoning, not a fixed sequence. Each subtheme is mapped to its primary objective; relationships across themes inform the other objectives. Subtheme numbers correspond to manuscript Sections 3.4–3.7.</w:t>
      </w:r>
    </w:p>
    <w:sectPr>
      <w:footerReference w:type="default" r:id="rIdFtr1"/>
      <w:pgSz w:w="15840" w:h="12240" w:orient="landscape"/>
      <w:pgMar w:top="1440" w:right="1440" w:bottom="1440" w:left="1440" w:header="720" w:footer="576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suppressLineNumbers/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removePersonalInformation/>
  <w:removeDateAndTime/>
  <w:proofState w:spelling="clean" w:grammar="clean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</w:compat>
  <w:themeFontLang w:val="en-GB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>
      <w:pPr>
        <w:spacing w:before="0" w:after="120" w:line="240" w:lineRule="auto"/>
      </w:pPr>
    </w:pPrDefault>
  </w:docDefaults>
  <w:style w:type="paragraph" w:default="1" w:styleId="Normal">
    <w:name w:val="Normal"/>
    <w:qFormat/>
    <w:pPr>
      <w:spacing w:before="0" w:after="12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BodyText">
    <w:name w:val="Body Text"/>
    <w:basedOn w:val="Normal"/>
    <w:next w:val="BodyText"/>
    <w:qFormat/>
    <w:pPr>
      <w:spacing w:before="0" w:after="120" w:line="240" w:lineRule="auto"/>
      <w:ind w:firstLine="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next w:val="BodyText"/>
    <w:qFormat/>
    <w:pPr>
      <w:spacing w:before="0" w:after="0" w:line="240" w:lineRule="auto"/>
    </w:pPr>
  </w:style>
  <w:style w:type="paragraph" w:styleId="Title">
    <w:name w:val="Title"/>
    <w:basedOn w:val="Normal"/>
    <w:next w:val="BodyText"/>
    <w:qFormat/>
    <w:pPr>
      <w:spacing w:before="0" w:after="240" w:line="240" w:lineRule="auto"/>
      <w:jc w:val="center"/>
    </w:pPr>
    <w:rPr>
      <w:b/>
      <w:sz w:val="28"/>
      <w:szCs w:val="28"/>
    </w:rPr>
  </w:style>
  <w:style w:type="paragraph" w:styleId="Subtitle">
    <w:name w:val="Subtitle"/>
    <w:basedOn w:val="Normal"/>
    <w:next w:val="BodyText"/>
    <w:qFormat/>
    <w:pPr>
      <w:spacing w:before="0" w:after="0" w:line="240" w:lineRule="auto"/>
      <w:jc w:val="center"/>
    </w:pPr>
  </w:style>
  <w:style w:type="paragraph" w:styleId="Author">
    <w:name w:val="Author"/>
    <w:basedOn w:val="Normal"/>
    <w:next w:val="BodyText"/>
    <w:qFormat/>
    <w:pPr>
      <w:spacing w:before="0" w:after="0" w:line="240" w:lineRule="auto"/>
      <w:jc w:val="center"/>
    </w:pPr>
  </w:style>
  <w:style w:type="paragraph" w:styleId="Date">
    <w:name w:val="Date"/>
    <w:basedOn w:val="Normal"/>
    <w:next w:val="BodyText"/>
    <w:qFormat/>
    <w:pPr>
      <w:spacing w:before="0" w:after="0" w:line="240" w:lineRule="auto"/>
      <w:jc w:val="center"/>
    </w:pPr>
  </w:style>
  <w:style w:type="paragraph" w:styleId="Abstract">
    <w:name w:val="Abstract"/>
    <w:basedOn w:val="Normal"/>
    <w:next w:val="BodyText"/>
    <w:qFormat/>
  </w:style>
  <w:style w:type="paragraph" w:styleId="AbstractTitle">
    <w:name w:val="Abstract Title"/>
    <w:basedOn w:val="Normal"/>
    <w:next w:val="BodyText"/>
    <w:qFormat/>
    <w:rPr>
      <w:b/>
    </w:rPr>
  </w:style>
  <w:style w:type="paragraph" w:styleId="Bibliography">
    <w:name w:val="Bibliography"/>
    <w:basedOn w:val="Normal"/>
    <w:next w:val="BodyText"/>
    <w:qFormat/>
    <w:pPr>
      <w:spacing w:before="0" w:after="120" w:line="240" w:lineRule="auto"/>
      <w:ind w:left="720" w:hanging="720"/>
    </w:pPr>
  </w:style>
  <w:style w:type="paragraph" w:styleId="Heading1">
    <w:name w:val="heading 1"/>
    <w:basedOn w:val="Normal"/>
    <w:next w:val="BodyText"/>
    <w:qFormat/>
    <w:pPr>
      <w:keepNext/>
      <w:spacing w:before="240" w:after="0" w:line="240" w:lineRule="auto"/>
      <w:outlineLvl w:val="0"/>
    </w:pPr>
    <w:rPr>
      <w:b/>
    </w:rPr>
  </w:style>
  <w:style w:type="paragraph" w:styleId="Heading2">
    <w:name w:val="heading 2"/>
    <w:basedOn w:val="Normal"/>
    <w:next w:val="BodyText"/>
    <w:qFormat/>
    <w:pPr>
      <w:keepNext/>
      <w:spacing w:before="120" w:after="0" w:line="240" w:lineRule="auto"/>
      <w:outlineLvl w:val="1"/>
    </w:pPr>
    <w:rPr>
      <w:b/>
      <w:i/>
    </w:rPr>
  </w:style>
  <w:style w:type="paragraph" w:styleId="Heading3">
    <w:name w:val="heading 3"/>
    <w:basedOn w:val="Normal"/>
    <w:next w:val="BodyText"/>
    <w:qFormat/>
    <w:pPr>
      <w:keepNext/>
      <w:spacing w:before="120" w:after="0" w:line="240" w:lineRule="auto"/>
      <w:outlineLvl w:val="2"/>
    </w:pPr>
    <w:rPr>
      <w:i/>
    </w:rPr>
  </w:style>
  <w:style w:type="paragraph" w:styleId="Heading4">
    <w:name w:val="heading 4"/>
    <w:basedOn w:val="Normal"/>
    <w:next w:val="BodyText"/>
    <w:qFormat/>
    <w:pPr>
      <w:keepNext/>
      <w:spacing w:before="0" w:after="0" w:line="240" w:lineRule="auto"/>
      <w:outlineLvl w:val="3"/>
    </w:pPr>
    <w:rPr>
      <w:i/>
    </w:rPr>
  </w:style>
  <w:style w:type="paragraph" w:styleId="BlockText">
    <w:name w:val="Block Text"/>
    <w:basedOn w:val="BodyText"/>
    <w:next w:val="BodyText"/>
    <w:qFormat/>
    <w:pPr>
      <w:spacing w:before="0" w:after="120" w:line="240" w:lineRule="auto"/>
      <w:ind w:left="720" w:right="720"/>
    </w:pPr>
  </w:style>
  <w:style w:type="paragraph" w:styleId="TableCaption">
    <w:name w:val="Table Caption"/>
    <w:basedOn w:val="Normal"/>
    <w:next w:val="BodyText"/>
    <w:qFormat/>
    <w:pPr>
      <w:keepNext/>
      <w:spacing w:before="120" w:after="120" w:line="240" w:lineRule="auto"/>
    </w:pPr>
    <w:rPr>
      <w:b/>
    </w:rPr>
  </w:style>
  <w:style w:type="paragraph" w:styleId="Caption">
    <w:name w:val="Caption"/>
    <w:basedOn w:val="Normal"/>
    <w:next w:val="BodyText"/>
    <w:qFormat/>
    <w:pPr>
      <w:spacing w:before="0" w:after="120" w:line="240" w:lineRule="auto"/>
    </w:pPr>
  </w:style>
  <w:style w:type="paragraph" w:styleId="FootnoteText">
    <w:name w:val="footnote text"/>
    <w:basedOn w:val="Normal"/>
    <w:next w:val="BodyText"/>
    <w:qFormat/>
    <w:pPr>
      <w:spacing w:before="0" w:after="0" w:line="240" w:lineRule="auto"/>
    </w:pPr>
    <w:rPr>
      <w:sz w:val="20"/>
    </w:rPr>
  </w:style>
  <w:style w:type="paragraph" w:styleId="TableText">
    <w:name w:val="Table Text"/>
    <w:basedOn w:val="Normal"/>
    <w:next w:val="BodyText"/>
    <w:qFormat/>
    <w:pPr>
      <w:spacing w:before="0" w:after="0" w:line="240" w:lineRule="auto"/>
    </w:pPr>
    <w:rPr>
      <w:sz w:val="20"/>
      <w:szCs w:val="20"/>
    </w:rPr>
  </w:style>
  <w:style w:type="paragraph" w:styleId="Note">
    <w:name w:val="Table Note"/>
    <w:basedOn w:val="Normal"/>
    <w:next w:val="BodyText"/>
    <w:qFormat/>
    <w:pPr>
      <w:spacing w:before="0" w:after="60" w:line="240" w:lineRule="auto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</w:style>
  <w:style w:type="character" w:styleId="BodyTextChar">
    <w:name w:val="Body Text Char"/>
  </w:style>
  <w:style w:type="character" w:styleId="Hyperlink">
    <w:name w:val="Hyperlink"/>
    <w:rPr>
      <w:color w:val="1F4E79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  <w:pPr>
      <w:spacing w:before="20" w:after="20" w:line="240" w:lineRule="auto"/>
    </w:pPr>
    <w:rPr>
      <w:sz w:val="20"/>
      <w:szCs w:val="20"/>
    </w:rPr>
    <w:tblPr>
      <w:tblBorders>
        <w:top w:val="single" w:sz="8" w:space="0" w:color="000000"/>
        <w:bottom w:val="single" w:sz="8" w:space="0" w:color="000000"/>
        <w:insideH w:val="single" w:sz="2" w:space="0" w:color="BFBFBF"/>
      </w:tblBorders>
    </w:tblPr>
    <w:tblStylePr w:type="firstRow">
      <w:rPr>
        <w:b/>
      </w:rPr>
      <w:tcPr>
        <w:tcBorders>
          <w:bottom w:val="single" w:sz="8" w:space="0" w:color="000000"/>
        </w:tcBorders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Ftr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Burden of Proof: Unit-Level Nurse Managers’ Judgements and Responses to Nurses’ Care Concerns When Quality Indicators Appear Reassuring—An Interpretive Description</dc:title>
  <dc:creator/>
  <cp:lastModifiedBy/>
  <cp:revision>1</cp:revision>
  <dcterms:created xsi:type="dcterms:W3CDTF">2026-10-28T00:00:00Z</dcterms:created>
  <dcterms:modified xsi:type="dcterms:W3CDTF">2026-10-28T00:00:00Z</dcterms:modified>
</cp:coreProperties>
</file>