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2</w:t>
      </w:r>
    </w:p>
    <w:p>
      <w:pPr>
        <w:pStyle w:val="Subtitle"/>
      </w:pPr>
      <w:r>
        <w:t>SRQR and COREQ Reporting Map</w:t>
      </w:r>
    </w:p>
    <w:p>
      <w:pPr/>
      <w:r>
        <w:t>Study: The Burden of Proof: Unit-Level Nurse Managers’ Judgements and Responses to Nurses’ Care Concerns When Quality Indicators Appear Reassuring—An Interpretive Description</w:t>
      </w:r>
    </w:p>
    <w:p>
      <w:pPr/>
      <w:r>
        <w:t>This reporting map identifies the locations addressing the Standards for Reporting Qualitative Research (SRQR) and the Consolidated Criteria for Reporting Qualitative Research (COREQ) in the manuscript and supplementary materials. Section references are used because pagination may change during manuscript preparation.</w:t>
      </w:r>
    </w:p>
    <w:p>
      <w:pPr>
        <w:pStyle w:val="Heading1"/>
      </w:pPr>
      <w:r>
        <w:t>S2.1 Standards for Reporting Qualitative Research</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5112"/>
        <w:gridCol w:w="3528"/>
      </w:tblGrid>
      <w:tr>
        <w:trPr>
          <w:cantSplit/>
          <w:tblHeader/>
        </w:trPr>
        <w:tc>
          <w:tcPr>
            <w:tcW w:type="dxa" w:w="720"/>
            <w:vAlign w:val="center"/>
            <w:tcMar>
              <w:top w:w="75" w:type="dxa"/>
              <w:left w:w="75" w:type="dxa"/>
              <w:bottom w:w="75" w:type="dxa"/>
              <w:right w:w="75" w:type="dxa"/>
            </w:tcMar>
            <w:shd w:fill="E7E6E6"/>
          </w:tcPr>
          <w:p>
            <w:pPr>
              <w:keepNext w:val="0"/>
              <w:spacing w:line="252" w:lineRule="auto" w:before="40" w:after="60"/>
            </w:pPr>
            <w:r>
              <w:rPr>
                <w:rFonts w:ascii="Times New Roman" w:hAnsi="Times New Roman"/>
                <w:b/>
                <w:color w:val="000000"/>
                <w:sz w:val="21"/>
              </w:rPr>
              <w:t>Item</w:t>
            </w:r>
          </w:p>
        </w:tc>
        <w:tc>
          <w:tcPr>
            <w:tcW w:type="dxa" w:w="5112"/>
            <w:vAlign w:val="center"/>
            <w:tcMar>
              <w:top w:w="75" w:type="dxa"/>
              <w:left w:w="75" w:type="dxa"/>
              <w:bottom w:w="75" w:type="dxa"/>
              <w:right w:w="75" w:type="dxa"/>
            </w:tcMar>
            <w:shd w:fill="E7E6E6"/>
          </w:tcPr>
          <w:p>
            <w:pPr>
              <w:keepNext w:val="0"/>
              <w:spacing w:line="252" w:lineRule="auto" w:before="40" w:after="60"/>
            </w:pPr>
            <w:r>
              <w:rPr>
                <w:rFonts w:ascii="Times New Roman" w:hAnsi="Times New Roman"/>
                <w:b/>
                <w:color w:val="000000"/>
                <w:sz w:val="21"/>
              </w:rPr>
              <w:t>Reporting</w:t>
            </w:r>
          </w:p>
        </w:tc>
        <w:tc>
          <w:tcPr>
            <w:tcW w:type="dxa" w:w="3528"/>
            <w:vAlign w:val="center"/>
            <w:tcMar>
              <w:top w:w="75" w:type="dxa"/>
              <w:left w:w="75" w:type="dxa"/>
              <w:bottom w:w="75" w:type="dxa"/>
              <w:right w:w="75" w:type="dxa"/>
            </w:tcMar>
            <w:shd w:fill="E7E6E6"/>
          </w:tcPr>
          <w:p>
            <w:pPr>
              <w:keepNext w:val="0"/>
              <w:spacing w:line="252" w:lineRule="auto" w:before="40" w:after="60"/>
            </w:pPr>
            <w:r>
              <w:rPr>
                <w:rFonts w:ascii="Times New Roman" w:hAnsi="Times New Roman"/>
                <w:b/>
                <w:color w:val="000000"/>
                <w:sz w:val="21"/>
              </w:rPr>
              <w:t>Location</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Title</w:t>
              <w:br/>
              <w:t>Identifies the qualitative approach as interpretive description.</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Manuscript title</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S2</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Abstract</w:t>
              <w:br/>
              <w:t>Structured summary of the aim, background, methods, principal findings and conclusions.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Abstract</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S3</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Problem formulation</w:t>
              <w:br/>
              <w:t>Explains the tension between nurses’ care concerns and apparently reassuring quality indicators, the relevant Saudi context and the specific managerial decision problem.</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 Introduction</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S4</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Purpose or research question</w:t>
              <w:br/>
              <w:t>States the study aim, research question and four objectives.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S5</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Qualitative approach and research paradigm</w:t>
              <w:br/>
              <w:t>Interpretive description with a naturalistic, constructivist orientation. The design addresses an applied nursing-management question; sensitising concepts informed inquiry without determining the initial coding structure.</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S6</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Researcher characteristics and reflexivity</w:t>
              <w:br/>
              <w:t>Describes three bilingual researchers, their professional backgrounds and perspectives, the interviewer’s gender and credentials, absence of formal relationships with participants, reflexive journalling and challenges to assumptions.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S7</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Context</w:t>
              <w:br/>
              <w:t>Describes six accredited public hospitals in Jouf, northern Saudi Arabia, shared regional governance, routine indicator review and unit-manager accountability.</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S8</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Sampling strategy</w:t>
              <w:br/>
              <w:t>Maximum-variation purposive sampling; because all eligible managers were invited, interviews with volunteers were sequenced as analysis developed to extend comparisons. Information power informed a provisional range of 18–25; documented interpretive sufficiency and coverage guided stopping at 23 interviews.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2.3; Supplementary File 3, S3.1–S3.2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S9</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Ethical issues pertaining to human subjects</w:t>
              <w:br/>
              <w:t>Provides ethics approval, written consent, voluntary participation, confidential recruitment, a 14-day withdrawal period and safeguards against identification and unauthorised data access. The safety-response procedure is distinguished from researcher disclosure.</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2.4; 2.6; 2.9; Supplementary File 3</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S10</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Data collection methods</w:t>
              <w:br/>
              <w:t>One semi-structured interview per manager during January–June 2026, using incident-focused prompts, contrasting accounts and questions about expectations and organisational conditions. Later probes and their potential influence are described.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 Supplementary File 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Data collection instruments and technologies</w:t>
              <w:br/>
              <w:t>Interview guide, professional-profile questionnaire, field notes and encrypted audio recording. The guide underwent expert review, translation and two pilot interviews; Teams provided live video connections without platform recording or transcription.</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 Supplementary File 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S12</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Units of study</w:t>
              <w:br/>
              <w:t>Reports 23 managers across six hospitals and six unit types. Nineteen described qualifying incidents, two described concerns in other circumstances and two described usual practice. Participant characteristics, interview details and the indicator–concern classifications are presented.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3.1–3.2; Table 1; 2.5; Supplementary File 3, S3.2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S13</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Data processing</w:t>
              <w:br/>
              <w:t>Describes verbatim transcription, verification, de-identification, source-language analysis, checking translated quotations and role-based access. Recording deletion and retention of other records are specified.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2.6; Supplementary File 3, S3.3</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S14</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Data analysis</w:t>
              <w:br/>
              <w:t>Iterative initial coding, within- and across-account comparisons, engagement with sensitising concepts, contrasting-case analysis and interpretive synthesis. Qualifying incident accounts were distinguished from contextual accounts and prompted expectations. Two bilingual analysts used NVivo 14.</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2.7</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S15</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Techniques to enhance trustworthiness</w:t>
              <w:br/>
              <w:t>Addresses epistemological integrity, representative credibility, analytic logic and interpretive authority through documented analysis, contrasting accounts, reflexivity, independent audit, peer debriefing and participant reflection.</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S16</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Synthesis and interpretation</w:t>
              <w:br/>
              <w:t>Four themes and 13 subthemes are presented with an integrative interpretation and a conceptual model (Figure 1). Findings inform a proposed practice framework whose feasibility and effects have not been tested.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3.3–3.8; Table 2; Figure 1; 4.4; Table 3</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S17</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Links to empirical data</w:t>
              <w:br/>
              <w:t>Quotations illustrate the interpretations and contrasting accounts; participant and hospital codes identify extracts, and translated quotations are marked.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3.3–3.7</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S18</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Integration with prior work, implications, transferability and contribution</w:t>
              <w:br/>
              <w:t>Relates findings to research on soft intelligence, performance measurement, testimonial injustice and credibility, managerial responses and organisational learning. Discusses the study’s contribution, practice implications and questions for further research.</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4.1–4.5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S19</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Limitations</w:t>
              <w:br/>
              <w:t>Addresses retrospective managerial accounts, unverified indicators and actions, 19 qualifying incidents, a shared regional setting, conceptual and question framing, unequal exposure to later probes, translation and the untested practice framework.</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4.5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S20</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Conflicts of interest</w:t>
              <w:br/>
              <w:t>The authors declare no conflicts of interest.</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Declarations</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S21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Funding</w:t>
              <w:br/>
              <w:t>The study received no specific grant from public, commercial or not-for-profit funding agencies.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Declarations</w:t>
            </w:r>
          </w:p>
        </w:tc>
      </w:tr>
    </w:tbl>
    <w:p>
      <w:pPr>
        <w:pStyle w:val="Heading1"/>
      </w:pPr>
      <w:r>
        <w:t>S2.2 Consolidated Criteria for Reporting Qualitative Research</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5112"/>
        <w:gridCol w:w="3528"/>
      </w:tblGrid>
      <w:tr>
        <w:trPr>
          <w:cantSplit/>
          <w:tblHeader/>
        </w:trPr>
        <w:tc>
          <w:tcPr>
            <w:tcW w:type="dxa" w:w="720"/>
            <w:vAlign w:val="center"/>
            <w:tcMar>
              <w:top w:w="75" w:type="dxa"/>
              <w:left w:w="75" w:type="dxa"/>
              <w:bottom w:w="75" w:type="dxa"/>
              <w:right w:w="75" w:type="dxa"/>
            </w:tcMar>
            <w:shd w:fill="E7E6E6"/>
          </w:tcPr>
          <w:p>
            <w:pPr>
              <w:keepNext w:val="0"/>
              <w:spacing w:line="252" w:lineRule="auto" w:before="40" w:after="60"/>
            </w:pPr>
            <w:r>
              <w:rPr>
                <w:rFonts w:ascii="Times New Roman" w:hAnsi="Times New Roman"/>
                <w:b/>
                <w:color w:val="000000"/>
                <w:sz w:val="21"/>
              </w:rPr>
              <w:t>Item</w:t>
            </w:r>
          </w:p>
        </w:tc>
        <w:tc>
          <w:tcPr>
            <w:tcW w:type="dxa" w:w="5112"/>
            <w:vAlign w:val="center"/>
            <w:tcMar>
              <w:top w:w="75" w:type="dxa"/>
              <w:left w:w="75" w:type="dxa"/>
              <w:bottom w:w="75" w:type="dxa"/>
              <w:right w:w="75" w:type="dxa"/>
            </w:tcMar>
            <w:shd w:fill="E7E6E6"/>
          </w:tcPr>
          <w:p>
            <w:pPr>
              <w:keepNext w:val="0"/>
              <w:spacing w:line="252" w:lineRule="auto" w:before="40" w:after="60"/>
            </w:pPr>
            <w:r>
              <w:rPr>
                <w:rFonts w:ascii="Times New Roman" w:hAnsi="Times New Roman"/>
                <w:b/>
                <w:color w:val="000000"/>
                <w:sz w:val="21"/>
              </w:rPr>
              <w:t>Reporting</w:t>
            </w:r>
          </w:p>
        </w:tc>
        <w:tc>
          <w:tcPr>
            <w:tcW w:type="dxa" w:w="3528"/>
            <w:vAlign w:val="center"/>
            <w:tcMar>
              <w:top w:w="75" w:type="dxa"/>
              <w:left w:w="75" w:type="dxa"/>
              <w:bottom w:w="75" w:type="dxa"/>
              <w:right w:w="75" w:type="dxa"/>
            </w:tcMar>
            <w:shd w:fill="E7E6E6"/>
          </w:tcPr>
          <w:p>
            <w:pPr>
              <w:keepNext w:val="0"/>
              <w:spacing w:line="252" w:lineRule="auto" w:before="40" w:after="60"/>
            </w:pPr>
            <w:r>
              <w:rPr>
                <w:rFonts w:ascii="Times New Roman" w:hAnsi="Times New Roman"/>
                <w:b/>
                <w:color w:val="000000"/>
                <w:sz w:val="21"/>
              </w:rPr>
              <w:t>Location</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Interviewer or facilitator</w:t>
              <w:br/>
              <w:t>The first author (R1) conducted all 23 interviews.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Credentials</w:t>
              <w:br/>
              <w:t>R1: RN, PhD, with doctoral training in qualitative methods.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Occupation</w:t>
              <w:br/>
              <w:t>The interviewer was a nurse academic at the time of the study.</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4</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Gender</w:t>
              <w:br/>
              <w:t>The interviewer was male.</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5</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Experience and training</w:t>
              <w:br/>
              <w:t>The interviewer had doctoral training in qualitative methods, training in qualitative interviewing and previous unit-management experience in a Saudi hospital outside the study region.</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 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6</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Relationship established</w:t>
              <w:br/>
              <w:t>No formal employment, supervisory, academic or evaluative relationships with participants. The interviewer had no prior personal acquaintance with participants.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2.2; 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7</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Participant knowledge of the interviewer</w:t>
              <w:br/>
              <w:t>The information sheet identified the interviewer’s name, academic role, nursing-management background and the study purpose.</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2.4</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8</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Interviewer characteristics</w:t>
              <w:br/>
              <w:t>Describes professional familiarity, potential assumptions and sympathy with managerial constraints, reflexive journalling and challenges from differing team perspectives.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9</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Methodological orientation and theory</w:t>
              <w:br/>
              <w:t>Interpretive description with a naturalistic, constructivist orientation. Soft intelligence, problem-sensing versus comfort-seeking and burden of proof served as sensitising concepts.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10</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Sampling</w:t>
              <w:br/>
              <w:t>Maximum-variation purposive sampling; interviews with volunteers were sequenced as analysis developed to extend comparisons.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2.3</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Method of approach</w:t>
              <w:br/>
              <w:t>Directors of Nursing emailed one standard invitation to eligible managers. Volunteers contacted the researchers directly, who managed subsequent communication, selection and scheduling.</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2.4</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12</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Sample size</w:t>
              <w:br/>
              <w:t>Twenty-three unit-level nurse managers; 19 provided a qualifying incident account.</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2.3; 3.1–3.2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13</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Non-participation</w:t>
              <w:br/>
              <w:t>Thirty-eight managers were invited and 29 volunteered. Nine did not respond; two volunteers could not be scheduled, one withdrew before interview and three volunteered after recruitment closed. No participant withdrew after interview.</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2.4; Supplementary File 3, S3.2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14</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Setting of data collection</w:t>
              <w:br/>
              <w:t>Eighteen interviews in private hospital education or training rooms and five by video. Off-site interviews were offered but not used.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2.4–2.5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15</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Presence of non-participants</w:t>
              <w:br/>
              <w:t>Only the participant and interviewer were present.</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16</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Description of sample</w:t>
              <w:br/>
              <w:t>Age, gender, nationality and country of education, qualification, experience, unit type and hospital level are reported, together with interview characteristics. Selected demographic categories are combined to protect anonymity.</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3.1; Table 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17</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Interview guide</w:t>
              <w:br/>
              <w:t>English questions and Arabic main questions and selected probes are supplied, with review, translation, piloting and refinement history. Question D2 is reproduced as administered and its possible influence is acknowledged.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 Supplementary File 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18</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Repeat interviews</w:t>
              <w:br/>
              <w:t>No repeat interviews; one interview per participant.</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19</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Audio or visual recording</w:t>
              <w:br/>
              <w:t>Interviews were audio-recorded using encrypted recorders; video interviews were recorded as audio only. Teams recording and transcription functions were not used.</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20</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Field notes</w:t>
              <w:br/>
              <w:t>The interviewer completed field notes immediately after each interview.</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 Supplementary File 1, S1.8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Duration</w:t>
              <w:br/>
              <w:t>Interviews lasted 42–81 minutes, with a mean of 58 minutes.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 Table 1</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22</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Data saturation</w:t>
              <w:br/>
              <w:t>The study used information power and documented interpretive sufficiency, together with coverage of each hospital and unit type, to judge sample adequacy.</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2.3</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23</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Transcripts returned</w:t>
              <w:br/>
              <w:t>Transcripts were not returned. All 23 participants were offered a summary of preliminary interpretations; 10 provided reflections.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24</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Number of data coders</w:t>
              <w:br/>
              <w:t>R1 coded all transcripts; R2 independently coded 12 and reviewed the remainder. R3 contributed to 14 analytic meetings.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2.7</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25</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Description of the coding tree</w:t>
              <w:br/>
              <w:t>Development and revision of the coding structure are described. Table 2 presents the final themes and subthemes.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2.7; 3.3; Table 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26</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Derivation of themes</w:t>
              <w:br/>
              <w:t>Initial coding was inductive; subsequent interpretation included deliberate engagement with sensitising concepts and contrasting accounts.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2.7</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27</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Software</w:t>
              <w:br/>
              <w:t>NVivo 14 (Lumivero).</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2.7</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Participant checking</w:t>
              <w:br/>
              <w:t>Participant reflections were treated as additional interpretive perspectives, not validation against a single correct account. They informed refinement of the interpretation of informal follow-up.</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2.8; 3.6</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29</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Quotations presented</w:t>
              <w:br/>
              <w:t>Quotations carry participant and hospital codes; a dagger identifies extracts translated from Arabic.</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3.3–3.7</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30</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Data and findings consistent</w:t>
              <w:br/>
              <w:t>Quotations and contrasting accounts illustrate the interpretations. Claims about qualifying situations are distinguished from contextual expectations.</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3.2–3.8</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31</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Clarity of major themes</w:t>
              <w:br/>
              <w:t>Four themes appear under separate headings, with an overview in Table 2 and Figure 1.</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3.3–3.7; Table 2</w:t>
            </w:r>
          </w:p>
        </w:tc>
      </w:tr>
      <w:tr>
        <w:trPr>
          <w:cantSplit/>
        </w:trPr>
        <w:tc>
          <w:tcPr>
            <w:tcW w:type="dxa" w:w="720"/>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32</w:t>
            </w:r>
          </w:p>
        </w:tc>
        <w:tc>
          <w:tcPr>
            <w:tcW w:type="dxa" w:w="5112"/>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Clarity of minor themes</w:t>
              <w:br/>
              <w:t>Thirteen subthemes describe variation, contrasting responses and less common patterns within the interpretive account.</w:t>
            </w:r>
          </w:p>
        </w:tc>
        <w:tc>
          <w:tcPr>
            <w:tcW w:type="dxa" w:w="3528"/>
            <w:vAlign w:val="center"/>
            <w:tcMar>
              <w:top w:w="75" w:type="dxa"/>
              <w:left w:w="75" w:type="dxa"/>
              <w:bottom w:w="75" w:type="dxa"/>
              <w:right w:w="75" w:type="dxa"/>
            </w:tcMar>
            <w:shd w:fill="FFFFFF"/>
          </w:tcPr>
          <w:p>
            <w:pPr>
              <w:keepNext w:val="0"/>
              <w:spacing w:line="252" w:lineRule="auto" w:before="40" w:after="60"/>
            </w:pPr>
            <w:r>
              <w:rPr>
                <w:rFonts w:ascii="Times New Roman" w:hAnsi="Times New Roman"/>
                <w:color w:val="000000"/>
                <w:sz w:val="21"/>
              </w:rPr>
              <w:t>3.4–3.7; Table 2</w:t>
            </w:r>
          </w:p>
        </w:tc>
      </w:tr>
    </w:tbl>
    <w:p>
      <w:pPr>
        <w:pStyle w:val="Heading1"/>
      </w:pPr>
      <w:r>
        <w:t>References</w:t>
      </w:r>
    </w:p>
    <w:p>
      <w:pPr>
        <w:keepLines/>
        <w:spacing w:line="252" w:lineRule="auto"/>
        <w:ind w:left="432" w:hanging="432"/>
      </w:pPr>
      <w:r>
        <w:rPr>
          <w:sz w:val="22"/>
        </w:rPr>
        <w:t xml:space="preserve">O’Brien, B. C., Harris, I. B., Beckman, T. J., Reed, D. A., &amp; Cook, D. A. (2014). Standards for reporting qualitative research: A synthesis of recommendations. </w:t>
      </w:r>
      <w:r>
        <w:rPr>
          <w:i/>
          <w:sz w:val="22"/>
        </w:rPr>
        <w:t>Academic Medicine, 89</w:t>
      </w:r>
      <w:r>
        <w:rPr>
          <w:sz w:val="22"/>
        </w:rPr>
        <w:t>(9), 1245–1251. https://doi.org/10.1097/ACM.0000000000000388</w:t>
      </w:r>
    </w:p>
    <w:p>
      <w:pPr>
        <w:keepLines/>
        <w:spacing w:line="252" w:lineRule="auto"/>
        <w:ind w:left="432" w:hanging="432"/>
      </w:pPr>
      <w:r>
        <w:rPr>
          <w:sz w:val="22"/>
        </w:rPr>
        <w:t xml:space="preserve">Tong, A., Sainsbury, P., &amp; Craig, J. (2007). Consolidated criteria for reporting qualitative research (COREQ): A 32-item checklist for interviews and focus groups. </w:t>
      </w:r>
      <w:r>
        <w:rPr>
          <w:i/>
          <w:sz w:val="22"/>
        </w:rPr>
        <w:t>International Journal for Quality in Health Care, 19</w:t>
      </w:r>
      <w:r>
        <w:rPr>
          <w:sz w:val="22"/>
        </w:rPr>
        <w:t>(6), 349–357. https://doi.org/10.1093/intqhc/mzm042</w:t>
      </w:r>
    </w:p>
    <w:sectPr w:rsidR="00FC693F" w:rsidRPr="0006063C" w:rsidSect="00034616">
      <w:headerReference w:type="default" r:id="rId9"/>
      <w:headerReference w:type="first" r:id="rId10"/>
      <w:headerReference w:type="even" r:id="rId11"/>
      <w:footerReference w:type="default" r:id="rId12"/>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4"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line="264" w:lineRule="auto" w:after="120"/>
    </w:pPr>
    <w:rPr>
      <w:rFonts w:cstheme="majorBidi"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120"/>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4" w:lineRule="auto" w:after="12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creator/>
  <cp:lastModifiedBy/>
  <cp:revision>1</cp:revision>
  <dcterms:created xsi:type="dcterms:W3CDTF">2026-10-28T00:00:00Z</dcterms:created>
  <dcterms:modified xsi:type="dcterms:W3CDTF">2026-10-28T00:00:00Z</dcterms:modified>
</cp:coreProperties>
</file>