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Additional file 1. TREND checklist</w:t>
      </w:r>
    </w:p>
    <w:p>
      <w:r>
        <w:rPr>
          <w:i/>
        </w:rPr>
        <w:t>Nurse-Led Multidomain Stroke Rehabilitation: Effects on Functional Mobility, Psychological Well-Being, Neurological Deficit, and Disability – A Quasi-Experimental Study</w:t>
      </w:r>
    </w:p>
    <w:p>
      <w:r>
        <w:t>Items follow the Transparent Reporting of Evaluations with Nonrandomized Designs (TREND) statement (Des Jarlais DC, Lyles C, Crepaz N; TREND Group. Am J Public Health. 2004;94:361–6). Item descriptions are abbreviated; locations refer to section headings in the revised manuscript.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680"/>
        <w:gridCol w:w="4989"/>
        <w:gridCol w:w="6520"/>
      </w:tblGrid>
      <w:tr>
        <w:trPr>
          <w:tblHeader w:val="true"/>
        </w:trPr>
        <w:tc>
          <w:tcPr>
            <w:tcW w:type="dxa" w:w="2381"/>
            <w:shd w:val="clear" w:color="auto" w:fill="D9E2F3"/>
          </w:tcPr>
          <w:p>
            <w:r/>
            <w:r>
              <w:rPr>
                <w:b/>
              </w:rPr>
              <w:t>Section / topic</w:t>
            </w:r>
          </w:p>
        </w:tc>
        <w:tc>
          <w:tcPr>
            <w:tcW w:type="dxa" w:w="680"/>
            <w:shd w:val="clear" w:color="auto" w:fill="D9E2F3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989"/>
            <w:shd w:val="clear" w:color="auto" w:fill="D9E2F3"/>
          </w:tcPr>
          <w:p>
            <w:r/>
            <w:r>
              <w:rPr>
                <w:b/>
              </w:rPr>
              <w:t>Checklist item (abbreviated)</w:t>
            </w:r>
          </w:p>
        </w:tc>
        <w:tc>
          <w:tcPr>
            <w:tcW w:type="dxa" w:w="6520"/>
            <w:shd w:val="clear" w:color="auto" w:fill="D9E2F3"/>
          </w:tcPr>
          <w:p>
            <w:r/>
            <w:r>
              <w:rPr>
                <w:b/>
              </w:rPr>
              <w:t>Where reported in the revised manuscript</w:t>
            </w:r>
          </w:p>
        </w:tc>
      </w:tr>
      <w:tr>
        <w:tc>
          <w:tcPr>
            <w:tcW w:type="dxa" w:w="2381"/>
          </w:tcPr>
          <w:p>
            <w:r>
              <w:t>Title and abstract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989"/>
          </w:tcPr>
          <w:p>
            <w:r>
              <w:t>Allocation method, structured abstract, target population and sample</w:t>
            </w:r>
          </w:p>
        </w:tc>
        <w:tc>
          <w:tcPr>
            <w:tcW w:type="dxa" w:w="6520"/>
          </w:tcPr>
          <w:p>
            <w:r>
              <w:t>Title; Abstract (Methods: ward-based allocation; Results: sample)</w:t>
            </w:r>
          </w:p>
        </w:tc>
      </w:tr>
      <w:tr>
        <w:tc>
          <w:tcPr>
            <w:tcW w:type="dxa" w:w="2381"/>
          </w:tcPr>
          <w:p>
            <w:r>
              <w:t>Introduction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989"/>
          </w:tcPr>
          <w:p>
            <w:r>
              <w:t>Scientific background, rationale and theory underpinning the intervention</w:t>
            </w:r>
          </w:p>
        </w:tc>
        <w:tc>
          <w:tcPr>
            <w:tcW w:type="dxa" w:w="6520"/>
          </w:tcPr>
          <w:p>
            <w:r>
              <w:t>Background; Significance of the study; Theoretical framework (ICF); Figure 1</w:t>
            </w:r>
          </w:p>
        </w:tc>
      </w:tr>
      <w:tr>
        <w:tc>
          <w:tcPr>
            <w:tcW w:type="dxa" w:w="2381"/>
          </w:tcPr>
          <w:p>
            <w:r>
              <w:t>Methods: participants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4989"/>
          </w:tcPr>
          <w:p>
            <w:r>
              <w:t>Eligibility criteria, recruitment method, recruitment setting and data-collection settings</w:t>
            </w:r>
          </w:p>
        </w:tc>
        <w:tc>
          <w:tcPr>
            <w:tcW w:type="dxa" w:w="6520"/>
          </w:tcPr>
          <w:p>
            <w:r>
              <w:t>Methods – Setting; Participants and Eligibility Criteria; Recruitment and Group Allocation</w:t>
            </w:r>
          </w:p>
        </w:tc>
      </w:tr>
      <w:tr>
        <w:tc>
          <w:tcPr>
            <w:tcW w:type="dxa" w:w="2381"/>
          </w:tcPr>
          <w:p>
            <w:r>
              <w:t>Methods: interventions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4989"/>
          </w:tcPr>
          <w:p>
            <w:r>
              <w:t>Content, delivery method, unit and setting of delivery, deliverers, dose and duration, adherence strategies, comparison condition</w:t>
            </w:r>
          </w:p>
        </w:tc>
        <w:tc>
          <w:tcPr>
            <w:tcW w:type="dxa" w:w="6520"/>
          </w:tcPr>
          <w:p>
            <w:r>
              <w:t>Methods – Intervention (inpatient and outpatient phases; four components); Control Group; Intervention Fidelity; Figure 3</w:t>
            </w:r>
          </w:p>
        </w:tc>
      </w:tr>
      <w:tr>
        <w:tc>
          <w:tcPr>
            <w:tcW w:type="dxa" w:w="2381"/>
          </w:tcPr>
          <w:p>
            <w:r>
              <w:t>Methods: objectives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4989"/>
          </w:tcPr>
          <w:p>
            <w:r>
              <w:t>Specific objectives and hypotheses</w:t>
            </w:r>
          </w:p>
        </w:tc>
        <w:tc>
          <w:tcPr>
            <w:tcW w:type="dxa" w:w="6520"/>
          </w:tcPr>
          <w:p>
            <w:r>
              <w:t>Background – specific objectives, research question, hypotheses H1–H4</w:t>
            </w:r>
          </w:p>
        </w:tc>
      </w:tr>
      <w:tr>
        <w:tc>
          <w:tcPr>
            <w:tcW w:type="dxa" w:w="2381"/>
          </w:tcPr>
          <w:p>
            <w:r>
              <w:t>Methods: outcomes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4989"/>
          </w:tcPr>
          <w:p>
            <w:r>
              <w:t>Defined outcomes, methods of data collection, validity and reliability of instruments</w:t>
            </w:r>
          </w:p>
        </w:tc>
        <w:tc>
          <w:tcPr>
            <w:tcW w:type="dxa" w:w="6520"/>
          </w:tcPr>
          <w:p>
            <w:r>
              <w:t>Methods – Outcome Measures (no single primary outcome prespecified); Tools I–V; Validity and Reliability of the Tools; Data Collection Procedure; Table 2</w:t>
            </w:r>
          </w:p>
        </w:tc>
      </w:tr>
      <w:tr>
        <w:tc>
          <w:tcPr>
            <w:tcW w:type="dxa" w:w="2381"/>
          </w:tcPr>
          <w:p>
            <w:r>
              <w:t>Methods: sample size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4989"/>
          </w:tcPr>
          <w:p>
            <w:r>
              <w:t>How sample size was determined</w:t>
            </w:r>
          </w:p>
        </w:tc>
        <w:tc>
          <w:tcPr>
            <w:tcW w:type="dxa" w:w="6520"/>
          </w:tcPr>
          <w:p>
            <w:r>
              <w:t>Methods – Sample Size; Pilot Study</w:t>
            </w:r>
          </w:p>
        </w:tc>
      </w:tr>
      <w:tr>
        <w:tc>
          <w:tcPr>
            <w:tcW w:type="dxa" w:w="2381"/>
          </w:tcPr>
          <w:p>
            <w:r>
              <w:t>Methods: assignment method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4989"/>
          </w:tcPr>
          <w:p>
            <w:r>
              <w:t>Unit of assignment, assignment method, steps taken to reduce bias from non-randomisation</w:t>
            </w:r>
          </w:p>
        </w:tc>
        <w:tc>
          <w:tcPr>
            <w:tcW w:type="dxa" w:w="6520"/>
          </w:tcPr>
          <w:p>
            <w:r>
              <w:t>Methods – Study Design (ward of admission; complete confounding with ward); Recruitment and Group Allocation (contamination safeguards)</w:t>
            </w:r>
          </w:p>
        </w:tc>
      </w:tr>
      <w:tr>
        <w:tc>
          <w:tcPr>
            <w:tcW w:type="dxa" w:w="2381"/>
          </w:tcPr>
          <w:p>
            <w:r>
              <w:t>Methods: blinding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4989"/>
          </w:tcPr>
          <w:p>
            <w:r>
              <w:t>Whether participants, deliverers and assessors were blinded</w:t>
            </w:r>
          </w:p>
        </w:tc>
        <w:tc>
          <w:tcPr>
            <w:tcW w:type="dxa" w:w="6520"/>
          </w:tcPr>
          <w:p>
            <w:r>
              <w:t>Methods – Data Collection Procedure (assessor independence and partial blinding); Limitations</w:t>
            </w:r>
          </w:p>
        </w:tc>
      </w:tr>
      <w:tr>
        <w:tc>
          <w:tcPr>
            <w:tcW w:type="dxa" w:w="2381"/>
          </w:tcPr>
          <w:p>
            <w:r>
              <w:t>Methods: unit of analysis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4989"/>
          </w:tcPr>
          <w:p>
            <w:r>
              <w:t>Unit of analysis and, where it differs from the unit of assignment, how this was handled</w:t>
            </w:r>
          </w:p>
        </w:tc>
        <w:tc>
          <w:tcPr>
            <w:tcW w:type="dxa" w:w="6520"/>
          </w:tcPr>
          <w:p>
            <w:r>
              <w:t>Methods – Statistical Analysis (individual-level analysis; two-cluster limitation; design effect not estimable); Sample Size; Limitations</w:t>
            </w:r>
          </w:p>
        </w:tc>
      </w:tr>
      <w:tr>
        <w:tc>
          <w:tcPr>
            <w:tcW w:type="dxa" w:w="2381"/>
          </w:tcPr>
          <w:p>
            <w:r>
              <w:t>Methods: statistical methods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4989"/>
          </w:tcPr>
          <w:p>
            <w:r>
              <w:t>Methods for comparing groups, additional and sensitivity analyses, missing data</w:t>
            </w:r>
          </w:p>
        </w:tc>
        <w:tc>
          <w:tcPr>
            <w:tcW w:type="dxa" w:w="6520"/>
          </w:tcPr>
          <w:p>
            <w:r>
              <w:t>Methods – Statistical Analysis (ANCOVA with baseline adjustment, proportional-odds ordinal logistic regression, Mann–Whitney U sensitivity analysis, Bonferroni sensitivity criterion, per-protocol sensitivity analysis, missing data)</w:t>
            </w:r>
          </w:p>
        </w:tc>
      </w:tr>
      <w:tr>
        <w:tc>
          <w:tcPr>
            <w:tcW w:type="dxa" w:w="2381"/>
          </w:tcPr>
          <w:p>
            <w:r>
              <w:t>Results: participant flow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4989"/>
          </w:tcPr>
          <w:p>
            <w:r>
              <w:t>Flow of participants through each stage, with reasons for exclusion and loss</w:t>
            </w:r>
          </w:p>
        </w:tc>
        <w:tc>
          <w:tcPr>
            <w:tcW w:type="dxa" w:w="6520"/>
          </w:tcPr>
          <w:p>
            <w:r>
              <w:t>Results – Participant Flow and Sample Retention; Figure 2</w:t>
            </w:r>
          </w:p>
        </w:tc>
      </w:tr>
      <w:tr>
        <w:tc>
          <w:tcPr>
            <w:tcW w:type="dxa" w:w="2381"/>
          </w:tcPr>
          <w:p>
            <w:r>
              <w:t>Results: recruitment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4989"/>
          </w:tcPr>
          <w:p>
            <w:r>
              <w:t>Dates of recruitment and follow-up</w:t>
            </w:r>
          </w:p>
        </w:tc>
        <w:tc>
          <w:tcPr>
            <w:tcW w:type="dxa" w:w="6520"/>
          </w:tcPr>
          <w:p>
            <w:r>
              <w:t>Methods – Setting (August 2025 to March 2026); Pilot Study (August 2025); Data Collection Procedure</w:t>
            </w:r>
          </w:p>
        </w:tc>
      </w:tr>
      <w:tr>
        <w:tc>
          <w:tcPr>
            <w:tcW w:type="dxa" w:w="2381"/>
          </w:tcPr>
          <w:p>
            <w:r>
              <w:t>Results: baseline data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4989"/>
          </w:tcPr>
          <w:p>
            <w:r>
              <w:t>Baseline characteristics by group; comparison of retained participants with those lost to follow-up</w:t>
            </w:r>
          </w:p>
        </w:tc>
        <w:tc>
          <w:tcPr>
            <w:tcW w:type="dxa" w:w="6520"/>
          </w:tcPr>
          <w:p>
            <w:r>
              <w:t>Results – Baseline Sociodemographic and Clinical Characteristics; Participant Flow and Sample Retention; Table 1</w:t>
            </w:r>
          </w:p>
        </w:tc>
      </w:tr>
      <w:tr>
        <w:tc>
          <w:tcPr>
            <w:tcW w:type="dxa" w:w="2381"/>
          </w:tcPr>
          <w:p>
            <w:r>
              <w:t>Results: baseline equivalence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4989"/>
          </w:tcPr>
          <w:p>
            <w:r>
              <w:t>Baseline comparability and methods used to control for baseline differences</w:t>
            </w:r>
          </w:p>
        </w:tc>
        <w:tc>
          <w:tcPr>
            <w:tcW w:type="dxa" w:w="6520"/>
          </w:tcPr>
          <w:p>
            <w:r>
              <w:t>Results – Baseline Sociodemographic and Clinical Characteristics (no claim of equivalence); Methods – Statistical Analysis (baseline adjustment)</w:t>
            </w:r>
          </w:p>
        </w:tc>
      </w:tr>
      <w:tr>
        <w:tc>
          <w:tcPr>
            <w:tcW w:type="dxa" w:w="2381"/>
          </w:tcPr>
          <w:p>
            <w:r>
              <w:t>Results: numbers analysed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4989"/>
          </w:tcPr>
          <w:p>
            <w:r>
              <w:t>Number of participants in each analysis; intention-to-treat or complete-case status</w:t>
            </w:r>
          </w:p>
        </w:tc>
        <w:tc>
          <w:tcPr>
            <w:tcW w:type="dxa" w:w="6520"/>
          </w:tcPr>
          <w:p>
            <w:r>
              <w:t>Results – Participant Flow and Sample Retention (complete-case, n = 75 and n = 74); Tables 3–5; Figure 2</w:t>
            </w:r>
          </w:p>
        </w:tc>
      </w:tr>
      <w:tr>
        <w:tc>
          <w:tcPr>
            <w:tcW w:type="dxa" w:w="2381"/>
          </w:tcPr>
          <w:p>
            <w:r>
              <w:t>Results: outcomes and estimation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4989"/>
          </w:tcPr>
          <w:p>
            <w:r>
              <w:t>Results for each outcome by group, effect estimates with confidence intervals</w:t>
            </w:r>
          </w:p>
        </w:tc>
        <w:tc>
          <w:tcPr>
            <w:tcW w:type="dxa" w:w="6520"/>
          </w:tcPr>
          <w:p>
            <w:r>
              <w:t>Results – Within-Group Changes; Between-Group Comparisons; Clinical Category Changes; Tables 3–5</w:t>
            </w:r>
          </w:p>
        </w:tc>
      </w:tr>
      <w:tr>
        <w:tc>
          <w:tcPr>
            <w:tcW w:type="dxa" w:w="2381"/>
          </w:tcPr>
          <w:p>
            <w:r>
              <w:t>Results: ancillary analyses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4989"/>
          </w:tcPr>
          <w:p>
            <w:r>
              <w:t>Sensitivity, subgroup and adjusted analyses, identifying those that were exploratory</w:t>
            </w:r>
          </w:p>
        </w:tc>
        <w:tc>
          <w:tcPr>
            <w:tcW w:type="dxa" w:w="6520"/>
          </w:tcPr>
          <w:p>
            <w:r>
              <w:t>Results – Between-Group Comparisons (Mann–Whitney U sensitivity analysis; per-protocol sensitivity analysis); Clinical Category Changes (exploratory mRS 0–2 analysis and NNT)</w:t>
            </w:r>
          </w:p>
        </w:tc>
      </w:tr>
      <w:tr>
        <w:tc>
          <w:tcPr>
            <w:tcW w:type="dxa" w:w="2381"/>
          </w:tcPr>
          <w:p>
            <w:r>
              <w:t>Results: adverse events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4989"/>
          </w:tcPr>
          <w:p>
            <w:r>
              <w:t>Important adverse events or side effects in each group</w:t>
            </w:r>
          </w:p>
        </w:tc>
        <w:tc>
          <w:tcPr>
            <w:tcW w:type="dxa" w:w="6520"/>
          </w:tcPr>
          <w:p>
            <w:r>
              <w:t>Results – Between-Group Comparisons (safety monitoring and adverse events)</w:t>
            </w:r>
          </w:p>
        </w:tc>
      </w:tr>
      <w:tr>
        <w:tc>
          <w:tcPr>
            <w:tcW w:type="dxa" w:w="2381"/>
          </w:tcPr>
          <w:p>
            <w:r>
              <w:t>Discussion: interpretation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4989"/>
          </w:tcPr>
          <w:p>
            <w:r>
              <w:t>Interpretation in light of hypotheses, bias, imprecision, multiplicity, fidelity and implementation</w:t>
            </w:r>
          </w:p>
        </w:tc>
        <w:tc>
          <w:tcPr>
            <w:tcW w:type="dxa" w:w="6520"/>
          </w:tcPr>
          <w:p>
            <w:r>
              <w:t>Discussion – Principal Findings; Clinical Significance of the Findings; Comparison With Previous Nurse-Led Rehabilitation Studies; Limitations</w:t>
            </w:r>
          </w:p>
        </w:tc>
      </w:tr>
      <w:tr>
        <w:tc>
          <w:tcPr>
            <w:tcW w:type="dxa" w:w="2381"/>
          </w:tcPr>
          <w:p>
            <w:r>
              <w:t>Discussion: generalisability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4989"/>
          </w:tcPr>
          <w:p>
            <w:r>
              <w:t>External validity of the findings</w:t>
            </w:r>
          </w:p>
        </w:tc>
        <w:tc>
          <w:tcPr>
            <w:tcW w:type="dxa" w:w="6520"/>
          </w:tcPr>
          <w:p>
            <w:r>
              <w:t>Discussion – Limitations (single tertiary hospital in Egypt); Implications for Practice and Policy</w:t>
            </w:r>
          </w:p>
        </w:tc>
      </w:tr>
      <w:tr>
        <w:tc>
          <w:tcPr>
            <w:tcW w:type="dxa" w:w="2381"/>
          </w:tcPr>
          <w:p>
            <w:r>
              <w:t>Discussion: overall evidence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4989"/>
          </w:tcPr>
          <w:p>
            <w:r>
              <w:t>Interpretation in the context of current evidence</w:t>
            </w:r>
          </w:p>
        </w:tc>
        <w:tc>
          <w:tcPr>
            <w:tcW w:type="dxa" w:w="6520"/>
          </w:tcPr>
          <w:p>
            <w:r>
              <w:t>Discussion – Comparison With Previous Nurse-Led Rehabilitation Studies; Conclusion</w:t>
            </w:r>
          </w:p>
        </w:tc>
      </w:tr>
    </w:tbl>
    <w:p/>
    <w:p>
      <w:r>
        <w:t>ICF = International Classification of Functioning, Disability and Health; mRS = Modified Rankin Scale; NNT = number needed to treat.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