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Response to the Editor and Reviewers</w:t>
      </w:r>
    </w:p>
    <w:p>
      <w:r>
        <w:rPr>
          <w:b w:val="0"/>
          <w:i w:val="0"/>
          <w:sz w:val="22"/>
        </w:rPr>
        <w:t>Manuscript ID: [Manuscript ID]</w:t>
      </w:r>
    </w:p>
    <w:p>
      <w:r>
        <w:rPr>
          <w:b w:val="0"/>
          <w:i w:val="0"/>
          <w:sz w:val="22"/>
        </w:rPr>
        <w:t>Title: Nurse-Led Multidomain Stroke Rehabilitation: Effects on Functional Mobility, Psychological Well-Being, Neurological Deficit, and Disability – A Quasi-Experimental Study</w:t>
      </w:r>
    </w:p>
    <w:p>
      <w:r>
        <w:rPr>
          <w:b w:val="0"/>
          <w:i w:val="0"/>
        </w:rPr>
        <w:t>Dear Editor,</w:t>
      </w:r>
    </w:p>
    <w:p>
      <w:r>
        <w:rPr>
          <w:b w:val="0"/>
          <w:i w:val="0"/>
        </w:rPr>
        <w:t>Thank you for the opportunity to revise our manuscript. We are grateful to both reviewers for their careful and constructive comments, which have substantially improved the paper. Each comment is answered below, with the revised wording quoted and its location given by section. All changes are highlighted in yellow in the revised manuscript, and a clean copy is also provided, together with the completed TREND checklist (Additional file 1).</w:t>
      </w:r>
    </w:p>
    <w:p>
      <w:r>
        <w:rPr>
          <w:b w:val="0"/>
          <w:i w:val="0"/>
        </w:rPr>
        <w:t>In addition to the points raised, we re-checked every statistic against the reported frequency counts and tables. This led to the following corrections, none of which changes the direction or statistical significance of any finding: (i) the Mann–Whitney U statistics for posttest mRS were recomputed from the Table 5 distribution (U = 1,520.00, Z = −4.97, r = .41, previously reported as U = 1,628.00, Z = −6.84, r = .56; the effect is therefore medium rather than large); (ii) mRS medians are now reported with first–third quartiles, which corrects the previously reported IQR values; (iii) the chi-square values for marital status, education, stroke type and affected side, the baseline mRS comparison, and the sign of the age t statistic in Table 1 were corrected; (iv) right-to-left text formatting that reversed values in Table 4 and displaced full stops in several paragraphs was removed; (v) a duplicated “Consent for publication” statement was deleted and the “Literature review” and “Significant of the study” headings were corrected; and (vi) inaccurate references were corrected (see Comment 1.m7); (vii) the ANCOVA results for all four continuous outcomes were recomputed from the group means, standard deviations, and the pretest–posttest correlations implied by the paired tests, because the previously reported F values (JH-HLM 78.42, HADS-Anxiety 58.37, HADS-Depression 52.14, NIHSS 67.82) could not be reproduced from the reported descriptive statistics; the corrected values are F(1, 146) = 156.93, 76.97, 81.92, and 40.23, respectively (η²p = .518, .345, .359, and .216), with adjusted mean differences and 95% CIs now reported in Table 4, and the ranking of effect sizes in the Summary of Hypothesis Testing was updated accordingly; and (viii) minor numerical corrections were made to chi-square and p values in Table 1, to Cohen’s d in Table 3 and the text, and to the p value of Little’s MCAR test.</w:t>
      </w:r>
    </w:p>
    <w:p>
      <w:r>
        <w:rPr>
          <w:b w:val="0"/>
          <w:i w:val="0"/>
        </w:rPr>
        <w:t>Sincerely,</w:t>
      </w:r>
    </w:p>
    <w:p>
      <w:r>
        <w:rPr>
          <w:b w:val="0"/>
          <w:i w:val="0"/>
        </w:rPr>
        <w:t>Rasha Hafez Ramadan El-Shaboury, on behalf of all authors</w:t>
      </w:r>
    </w:p>
    <w:p>
      <w:r>
        <w:rPr>
          <w:b w:val="0"/>
          <w:i w:val="0"/>
        </w:rPr>
        <w:t>Corresponding author</w:t>
      </w:r>
    </w:p>
    <w:p>
      <w:pPr>
        <w:spacing w:before="280"/>
        <w:shd w:val="clear" w:color="auto" w:fill="D9E2F3"/>
      </w:pPr>
      <w:r>
        <w:rPr>
          <w:b/>
          <w:i w:val="0"/>
          <w:sz w:val="25"/>
        </w:rPr>
        <w:t>REVIEWER 1 — Major comments</w:t>
      </w:r>
    </w:p>
    <w:p>
      <w:pPr>
        <w:spacing w:before="200"/>
      </w:pPr>
      <w:r>
        <w:rPr>
          <w:b/>
        </w:rPr>
        <w:t xml:space="preserve">Comment 1.1: </w:t>
      </w:r>
      <w:r>
        <w:rPr>
          <w:i/>
        </w:rPr>
        <w:t>1. The ward-based allocation creates a major methodological concern regarding treatment effects.</w:t>
      </w:r>
    </w:p>
    <w:p>
      <w:r>
        <w:rPr>
          <w:i/>
        </w:rPr>
        <w:t>The manuscript states that Ward A was assigned to the intervention group and Ward B to the control group in order to reduce contamination. However, this means that treatment condition and ward are completely confounded: all intervention participants came from one ward and all control participants came from another ward. Therefore, any observed differences between groups may reflect not only the intervention but also pre-existing differences between wards, such as staffing patterns, nursing practices, ward culture, patient characteristics, family involvement, rehabilitation resources, or other unmeasured contextual factors.</w:t>
      </w:r>
    </w:p>
    <w:p>
      <w:r>
        <w:rPr>
          <w:i/>
        </w:rPr>
        <w:t>This issue is particularly important because the statistical analyses appear to treat individual participants as independent observations. With only one ward representing each treatment condition, conventional individual-level ANCOVA cannot distinguish an intervention effect from a ward effect. The authors should therefore provide a more detailed justification of the analytical approach and explicitly discuss the implications of having only two clusters. If the data permit, consider appropriate sensitivity analyses. More importantly, the interpretation of the findings should be substantially cautious, and causal language should be avoided or carefully qualified.</w:t>
      </w:r>
    </w:p>
    <w:p>
      <w:r>
        <w:rPr>
          <w:b/>
        </w:rPr>
        <w:t xml:space="preserve">Response: </w:t>
      </w:r>
      <w:r>
        <w:t>We agree that this is the central limitation of the study. With one ward per condition, the intervention effect and the ward effect are not separately identifiable, and no analysis of the present data (multilevel model, cluster-robust standard errors, or covariate sensitivity analysis) can separate them with only two clusters; we have therefore not added an analysis that would imply otherwise. Instead, we (a) state the complete confounding explicitly in the Study Design, (b) justify the individual-level analysis and its consequences in the Statistical Analysis, (c) note in the Sample Size section that a design effect could not be estimated, (d) reframe all findings as baseline-adjusted, programme-associated differences between wards, and (e) expand the Limitations and Future Research sections accordingly (see also Comment 1.11).</w:t>
      </w:r>
    </w:p>
    <w:p>
      <w:pPr>
        <w:ind w:left="454"/>
      </w:pPr>
      <w:r>
        <w:rPr>
          <w:b/>
          <w:sz w:val="21"/>
        </w:rPr>
        <w:t>Revised text (Methods – Study Design, paragraph 2):</w:t>
      </w:r>
    </w:p>
    <w:p>
      <w:pPr>
        <w:ind w:left="454"/>
        <w:shd w:val="clear" w:color="auto" w:fill="F2F2F2"/>
      </w:pPr>
      <w:r>
        <w:rPr>
          <w:sz w:val="21"/>
        </w:rPr>
        <w:t>“Because each study condition was represented by a single ward, treatment allocation was completely confounded with ward; any between-group difference may therefore reflect ward-level characteristics, such as staffing, nursing practices, ward culture, or family presence, in addition to the programme itself. This design feature was considered in the analysis and interpretation of the findings.”</w:t>
      </w:r>
    </w:p>
    <w:p>
      <w:pPr>
        <w:ind w:left="454"/>
      </w:pPr>
      <w:r>
        <w:rPr>
          <w:b/>
          <w:sz w:val="21"/>
        </w:rPr>
        <w:t>Revised text (Methods – Statistical Analysis, new paragraph 3):</w:t>
      </w:r>
    </w:p>
    <w:p>
      <w:pPr>
        <w:ind w:left="454"/>
        <w:shd w:val="clear" w:color="auto" w:fill="F2F2F2"/>
      </w:pPr>
      <w:r>
        <w:rPr>
          <w:sz w:val="21"/>
        </w:rPr>
        <w:t>“Because each condition was delivered on a single ward, observations were analysed at the individual level. With only two wards, the ward-level variance component cannot be estimated and is fully aliased with the intervention effect, so neither multilevel models nor cluster-robust standard errors could separate an intervention effect from a ward effect. The standard errors and p values from the individual-level models assume independence between participants and are therefore likely to overstate precision. The between-group estimates are accordingly interpreted as baseline-adjusted differences between the two wards that are associated with programme participation, rather than as causal intervention effects.”</w:t>
      </w:r>
    </w:p>
    <w:p>
      <w:pPr>
        <w:ind w:left="454"/>
      </w:pPr>
      <w:r>
        <w:rPr>
          <w:b/>
          <w:sz w:val="21"/>
        </w:rPr>
        <w:t>Revised text (Discussion – Limitations):</w:t>
      </w:r>
    </w:p>
    <w:p>
      <w:pPr>
        <w:ind w:left="454"/>
        <w:shd w:val="clear" w:color="auto" w:fill="F2F2F2"/>
      </w:pPr>
      <w:r>
        <w:rPr>
          <w:sz w:val="21"/>
        </w:rPr>
        <w:t>“Because each condition was represented by a single ward, the intervention was completely confounded with ward, and the individual-level analyses could not distinguish an intervention effect from pre-existing ward-level differences in staffing patterns, nursing culture, informal rehabilitation practices, family involvement, or patient characteristics [84].”</w:t>
      </w:r>
    </w:p>
    <w:p>
      <w:pPr>
        <w:spacing w:before="200"/>
      </w:pPr>
      <w:r>
        <w:rPr>
          <w:b/>
        </w:rPr>
        <w:t xml:space="preserve">Comment 1.2: </w:t>
      </w:r>
      <w:r>
        <w:rPr>
          <w:i/>
        </w:rPr>
        <w:t>2. The participant flow reported in Figure 2 is inconsistent with the main text and requires correction.</w:t>
      </w:r>
    </w:p>
    <w:p>
      <w:r>
        <w:rPr>
          <w:i/>
        </w:rPr>
        <w:t>The manuscript text reports that 218 patients were screened, 58 were excluded, and 160 were allocated to the two groups, with 11 participants subsequently lost to follow-up and 149 included in the final analysis. However, Figure 2 reports only 161 participants assessed for eligibility and 12 excluded, followed by 160 allocated participants. These numbers cannot simultaneously describe the same recruitment process. The authors should carefully reconcile the participant numbers across the “Abstract, Methods, Results, Figure 2, and tables”. Figure 2 should then be redrawn to accurately reflect the actual recruitment, exclusion, allocation, follow-up, and analysis process.</w:t>
      </w:r>
    </w:p>
    <w:p>
      <w:r>
        <w:rPr>
          <w:b/>
        </w:rPr>
        <w:t xml:space="preserve">Response: </w:t>
      </w:r>
      <w:r>
        <w:t>Thank you for identifying this error. We verified the participant numbers against the study records summarised in the text, which are internally consistent (218 screened − 58 excluded = 160 allocated; the six exclusion reasons sum to 58; 160 − 11 lost = 149 analysed). Figure 2 contained incorrect values (161 assessed, 12 excluded) and has been redrawn from these verified numbers, with the reasons for exclusion and loss shown for each group. The same numbers are used in the Abstract, Methods, Results, Figure 2 and Tables 1 and 3–5.</w:t>
      </w:r>
    </w:p>
    <w:p>
      <w:pPr>
        <w:ind w:left="454"/>
      </w:pPr>
      <w:r>
        <w:rPr>
          <w:b/>
          <w:sz w:val="21"/>
        </w:rPr>
        <w:t>Revised text (Figure 2 legend):</w:t>
      </w:r>
    </w:p>
    <w:p>
      <w:pPr>
        <w:ind w:left="454"/>
        <w:shd w:val="clear" w:color="auto" w:fill="F2F2F2"/>
      </w:pPr>
      <w:r>
        <w:rPr>
          <w:sz w:val="21"/>
        </w:rPr>
        <w:t>“FIGURE 2. TREND Participant Flow Diagram of Recruitment, Allocation, Follow-Up, and Analysis. Exclusion reasons and losses to follow-up are reported in full. Pilot-study participants (n = 16) were recruited and screened separately before main-study recruitment and are not included in this diagram.”</w:t>
      </w:r>
    </w:p>
    <w:p>
      <w:pPr>
        <w:spacing w:before="200"/>
      </w:pPr>
      <w:r>
        <w:rPr>
          <w:b/>
        </w:rPr>
        <w:t xml:space="preserve">Comment 1.3: </w:t>
      </w:r>
      <w:r>
        <w:rPr>
          <w:i/>
        </w:rPr>
        <w:t>3. The relationship between the pilot study and the main study sample needs clarification.</w:t>
      </w:r>
    </w:p>
    <w:p>
      <w:r>
        <w:rPr>
          <w:i/>
        </w:rPr>
        <w:t>The Methods section indicates that a pilot study involving approximately 10% of the target sample was conducted and that these participants were excluded from the final analysis. However, the reported sample numbers do not appear to make the relationship between the pilot sample and the main study sample sufficiently clear.</w:t>
      </w:r>
    </w:p>
    <w:p>
      <w:r>
        <w:rPr>
          <w:i/>
        </w:rPr>
        <w:t>The authors should explicitly state:</w:t>
      </w:r>
    </w:p>
    <w:p>
      <w:pPr>
        <w:ind w:left="340"/>
      </w:pPr>
      <w:r>
        <w:rPr>
          <w:i/>
        </w:rPr>
        <w:t>– how many participants were included in the pilot study;</w:t>
      </w:r>
    </w:p>
    <w:p>
      <w:pPr>
        <w:ind w:left="340"/>
      </w:pPr>
      <w:r>
        <w:rPr>
          <w:i/>
        </w:rPr>
        <w:t>– whether pilot participants were recruited separately from the main study;</w:t>
      </w:r>
    </w:p>
    <w:p>
      <w:pPr>
        <w:ind w:left="340"/>
      </w:pPr>
      <w:r>
        <w:rPr>
          <w:i/>
        </w:rPr>
        <w:t>– whether they were included in the reported screening/eligibility numbers;</w:t>
      </w:r>
    </w:p>
    <w:p>
      <w:pPr>
        <w:ind w:left="340"/>
      </w:pPr>
      <w:r>
        <w:rPr>
          <w:i/>
        </w:rPr>
        <w:t>– whether any pilot participants subsequently entered the main study; and</w:t>
      </w:r>
    </w:p>
    <w:p>
      <w:pPr>
        <w:ind w:left="340"/>
      </w:pPr>
      <w:r>
        <w:rPr>
          <w:i/>
        </w:rPr>
        <w:t>– how the final sample size was determined.</w:t>
      </w:r>
    </w:p>
    <w:p>
      <w:r>
        <w:rPr>
          <w:i/>
        </w:rPr>
        <w:t>The participant-flow diagram should also be consistent with this explanation.</w:t>
      </w:r>
    </w:p>
    <w:p>
      <w:r>
        <w:rPr>
          <w:b/>
        </w:rPr>
        <w:t xml:space="preserve">Response: </w:t>
      </w:r>
      <w:r>
        <w:t>We have clarified each point. The pilot included 16 patients; they were recruited and screened separately before main-study recruitment, were not among the 218 patients screened for the main study, did not enter the main study, and were excluded from all analyses. The sample size was determined solely by the a priori power analysis. Figure 2 now states this explicitly.</w:t>
      </w:r>
    </w:p>
    <w:p>
      <w:pPr>
        <w:ind w:left="454"/>
      </w:pPr>
      <w:r>
        <w:rPr>
          <w:b/>
          <w:sz w:val="21"/>
        </w:rPr>
        <w:t>Revised text (Methods – Pilot Study):</w:t>
      </w:r>
    </w:p>
    <w:p>
      <w:pPr>
        <w:ind w:left="454"/>
        <w:shd w:val="clear" w:color="auto" w:fill="F2F2F2"/>
      </w:pPr>
      <w:r>
        <w:rPr>
          <w:sz w:val="21"/>
        </w:rPr>
        <w:t>“A pilot study was conducted with 16 patients, approximately 10% of the target sample of 160, to evaluate tool clarity, recruitment feasibility, session flow, assessment timing, safety procedures, and data-collection workflow. Pilot participants were recruited and screened separately before main-study recruitment began (August 2025), were not included among the 218 patients screened for the main study, did not subsequently enter the main study, and were excluded from all analyses. The pilot was not used to estimate the sample size, which was determined solely by the a priori power analysis. Findings informed refinements to session sequencing, documentation procedures, and assessment logistics.”</w:t>
      </w:r>
    </w:p>
    <w:p>
      <w:pPr>
        <w:ind w:left="454"/>
      </w:pPr>
      <w:r>
        <w:rPr>
          <w:b/>
          <w:sz w:val="21"/>
        </w:rPr>
        <w:t>Revised text (Methods – Sample Size):</w:t>
      </w:r>
    </w:p>
    <w:p>
      <w:pPr>
        <w:ind w:left="454"/>
        <w:shd w:val="clear" w:color="auto" w:fill="F2F2F2"/>
      </w:pPr>
      <w:r>
        <w:rPr>
          <w:sz w:val="21"/>
        </w:rPr>
        <w:t>“The sample size was determined solely by this power analysis; the 16 pilot-study participants were recruited separately and are not included in any of these numbers.”</w:t>
      </w:r>
    </w:p>
    <w:p>
      <w:pPr>
        <w:spacing w:before="200"/>
      </w:pPr>
      <w:r>
        <w:rPr>
          <w:b/>
        </w:rPr>
        <w:t xml:space="preserve">Comment 1.4: </w:t>
      </w:r>
      <w:r>
        <w:rPr>
          <w:i/>
        </w:rPr>
        <w:t>4. The amount of rehabilitation received by the control group should be reported more clearly.</w:t>
      </w:r>
    </w:p>
    <w:p>
      <w:r>
        <w:rPr>
          <w:i/>
        </w:rPr>
        <w:t>The intervention group received a structured 8-week program consisting of 16 sessions, whereas the control group received routine care and referrals to physical or speech therapy as clinically ordered. Because the control group may have received rehabilitation services outside routine nursing care, the authors should report, if available, the frequency, duration, type, and intensity of rehabilitation received by control participants. Without this information, it is difficult to determine whether the observed differences reflect the multidomain nursing intervention itself or differences in overall rehabilitation exposure. If such data were not collected, this should be explicitly acknowledged as an important limitation.</w:t>
      </w:r>
    </w:p>
    <w:p>
      <w:r>
        <w:rPr>
          <w:b/>
        </w:rPr>
        <w:t xml:space="preserve">Response: </w:t>
      </w:r>
      <w:r>
        <w:t>We agree. Routine physiotherapy and speech and language therapy were available to both groups on physician referral, but the rehabilitation services actually received by individual participants were not systematically recorded in either group. We now describe usual care more fully, state this explicitly, and identify differential rehabilitation exposure as an important limitation.</w:t>
      </w:r>
    </w:p>
    <w:p>
      <w:pPr>
        <w:ind w:left="454"/>
      </w:pPr>
      <w:r>
        <w:rPr>
          <w:b/>
          <w:sz w:val="21"/>
        </w:rPr>
        <w:t>Revised text (Methods – Control Group):</w:t>
      </w:r>
    </w:p>
    <w:p>
      <w:pPr>
        <w:ind w:left="454"/>
        <w:shd w:val="clear" w:color="auto" w:fill="F2F2F2"/>
      </w:pPr>
      <w:r>
        <w:rPr>
          <w:sz w:val="21"/>
        </w:rPr>
        <w:t>“In the study hospital, physiotherapy and speech and language therapy were provided on physician referral as part of routine care (typically two to three 30-minute physiotherapy sessions per week and, for patients with communication or swallowing difficulties, up to two 30-minute speech and language therapy sessions per week), and these services were equally available to participants in both groups. The frequency, duration, and type of rehabilitation services actually received by individual participants, and other co-interventions such as medication changes, were not systematically recorded in either group; differences in overall rehabilitation exposure between groups therefore cannot be excluded (see Limitations).”</w:t>
      </w:r>
    </w:p>
    <w:p>
      <w:pPr>
        <w:ind w:left="454"/>
      </w:pPr>
      <w:r>
        <w:rPr>
          <w:b/>
          <w:sz w:val="21"/>
        </w:rPr>
        <w:t>Revised text (Discussion – Limitations):</w:t>
      </w:r>
    </w:p>
    <w:p>
      <w:pPr>
        <w:ind w:left="454"/>
        <w:shd w:val="clear" w:color="auto" w:fill="F2F2F2"/>
      </w:pPr>
      <w:r>
        <w:rPr>
          <w:sz w:val="21"/>
        </w:rPr>
        <w:t>“Third, the actual frequency, duration, and type of physiotherapy, speech and language therapy, and other co-interventions received by participants were not systematically recorded in either group, so differences in overall rehabilitation exposure, rather than the nurse-led programme itself, may have contributed to the observed differences.”</w:t>
      </w:r>
    </w:p>
    <w:p>
      <w:pPr>
        <w:spacing w:before="200"/>
      </w:pPr>
      <w:r>
        <w:rPr>
          <w:b/>
        </w:rPr>
        <w:t xml:space="preserve">Comment 1.5: </w:t>
      </w:r>
      <w:r>
        <w:rPr>
          <w:i/>
        </w:rPr>
        <w:t>5. The primary and secondary outcomes should be clearly specified.</w:t>
      </w:r>
    </w:p>
    <w:p>
      <w:r>
        <w:rPr>
          <w:i/>
        </w:rPr>
        <w:t>The study evaluates several outcomes, including JH-HLM, HADS anxiety, HADS depression, NIHSS, and mRS. However, the manuscript does not clearly identify a primary outcome. The authors should specify the primary outcome and secondary outcomes, preferably based on the original study protocol or prespecified analysis plan. If no primary outcome was prespecified, this should be stated transparently and the analyses should be described as exploratory where appropriate. The authors should also discuss the issue of multiple outcome testing and the possibility of inflated type I error.</w:t>
      </w:r>
    </w:p>
    <w:p>
      <w:r>
        <w:rPr>
          <w:b/>
        </w:rPr>
        <w:t xml:space="preserve">Response: </w:t>
      </w:r>
      <w:r>
        <w:t>No single primary outcome was prespecified; the four outcomes corresponding to H1–H4 were specified a priori with equal priority. We now state this transparently, apply a Bonferroni-adjusted threshold (p &lt; .01 for five comparisons) as a sensitivity criterion, report that all comparisons remain significant at this threshold, and note the issue in the Limitations.</w:t>
      </w:r>
    </w:p>
    <w:p>
      <w:pPr>
        <w:ind w:left="454"/>
      </w:pPr>
      <w:r>
        <w:rPr>
          <w:b/>
          <w:sz w:val="21"/>
        </w:rPr>
        <w:t>Revised text (Methods – Outcome Measures):</w:t>
      </w:r>
    </w:p>
    <w:p>
      <w:pPr>
        <w:ind w:left="454"/>
        <w:shd w:val="clear" w:color="auto" w:fill="F2F2F2"/>
      </w:pPr>
      <w:r>
        <w:rPr>
          <w:sz w:val="21"/>
        </w:rPr>
        <w:t>“No single primary outcome was prespecified in the study protocol; the four outcomes corresponding to H1–H4 were specified a priori with equal priority, and the multiplicity of outcome testing was addressed as described under Statistical Analysis.”</w:t>
      </w:r>
    </w:p>
    <w:p>
      <w:pPr>
        <w:ind w:left="454"/>
      </w:pPr>
      <w:r>
        <w:rPr>
          <w:b/>
          <w:sz w:val="21"/>
        </w:rPr>
        <w:t>Revised text (Methods – Statistical Analysis):</w:t>
      </w:r>
    </w:p>
    <w:p>
      <w:pPr>
        <w:ind w:left="454"/>
        <w:shd w:val="clear" w:color="auto" w:fill="F2F2F2"/>
      </w:pPr>
      <w:r>
        <w:rPr>
          <w:sz w:val="21"/>
        </w:rPr>
        <w:t>“Because no single primary outcome was prespecified and five between-group comparisons were tested, a Bonferroni-adjusted threshold of p &lt; .01 (.05/5) was applied as a sensitivity criterion to control the familywise type I error rate.”</w:t>
      </w:r>
    </w:p>
    <w:p>
      <w:pPr>
        <w:ind w:left="454"/>
      </w:pPr>
      <w:r>
        <w:rPr>
          <w:b/>
          <w:sz w:val="21"/>
        </w:rPr>
        <w:t>Revised text (Results – Summary of Hypothesis Testing):</w:t>
      </w:r>
    </w:p>
    <w:p>
      <w:pPr>
        <w:ind w:left="454"/>
        <w:shd w:val="clear" w:color="auto" w:fill="F2F2F2"/>
      </w:pPr>
      <w:r>
        <w:rPr>
          <w:sz w:val="21"/>
        </w:rPr>
        <w:t>“All between-group comparisons remained statistically significant at the Bonferroni-adjusted threshold of p &lt; .01.”</w:t>
      </w:r>
    </w:p>
    <w:p>
      <w:pPr>
        <w:spacing w:before="200"/>
      </w:pPr>
      <w:r>
        <w:rPr>
          <w:b/>
        </w:rPr>
        <w:t xml:space="preserve">Comment 1.6: </w:t>
      </w:r>
      <w:r>
        <w:rPr>
          <w:i/>
        </w:rPr>
        <w:t>6. The analysis of mRS should be reconsidered or better justified.</w:t>
      </w:r>
    </w:p>
    <w:p>
      <w:r>
        <w:rPr>
          <w:i/>
        </w:rPr>
        <w:t>The manuscript uses the Mann–Whitney U test to compare post-intervention mRS scores between groups. Because this is a pretest–posttest nonequivalent-group design, it would be preferable to account for baseline mRS when estimating the between-group difference, particularly because the groups were not randomly assigned.</w:t>
      </w:r>
    </w:p>
    <w:p>
      <w:r>
        <w:rPr>
          <w:i/>
        </w:rPr>
        <w:t>The authors should consider whether an analysis appropriate for an ordinal outcome and adjusted for baseline mRS would provide a more informative estimate. If the current Mann–Whitney U approach is retained, a clear methodological justification should be provided, together with an appropriate effect-size measure and confidence interval where possible.</w:t>
      </w:r>
    </w:p>
    <w:p>
      <w:r>
        <w:rPr>
          <w:b/>
        </w:rPr>
        <w:t xml:space="preserve">Response: </w:t>
      </w:r>
      <w:r>
        <w:t>We agree. The primary mRS analysis is now an ordinal (proportional-odds) logistic regression, reported as a common odds ratio with its 95% CI (cOR = 5.00, 95% CI 2.64–9.47; test of parallel lines, p = .598, so the proportional-odds assumption was not violated). Baseline mRS was not entered as a covariate because its distribution was virtually identical in the two groups (median 4, IQR 4–4 in both; Mann–Whitney U = 2,711.00, p = .775), so adjustment was expected to have little influence on the estimate. The Mann–Whitney U test is retained as an unadjusted sensitivity analysis with its effect size, and an exploratory dichotomous analysis (mRS 0–2) is reported as a risk difference with a 95% CI (see Comment 2.12).</w:t>
      </w:r>
    </w:p>
    <w:p>
      <w:pPr>
        <w:ind w:left="454"/>
      </w:pPr>
      <w:r>
        <w:rPr>
          <w:b/>
          <w:sz w:val="21"/>
        </w:rPr>
        <w:t>Revised text (Methods – Statistical Analysis):</w:t>
      </w:r>
    </w:p>
    <w:p>
      <w:pPr>
        <w:ind w:left="454"/>
        <w:shd w:val="clear" w:color="auto" w:fill="F2F2F2"/>
      </w:pPr>
      <w:r>
        <w:rPr>
          <w:sz w:val="21"/>
        </w:rPr>
        <w:t>“Because the mRS is ordinal, the between-group comparison was estimated using ordinal (proportional-odds) logistic regression of posttest mRS on group, reported as a common odds ratio (the odds of a lower, i.e., more favourable, mRS category in the intervention group) with its Wald 95% CI; baseline mRS was not entered as a covariate because its distribution was virtually identical in the two groups (Table 1); the proportional-odds assumption was examined using the test of parallel lines. The unadjusted Mann–Whitney U test, with the rank-based effect size r = Z/√N, was retained as a sensitivity analysis. As an exploratory and clinically interpretable summary, the proportion of participants achieving an mRS score of 0–2 at posttest was compared using the chi-square test and reported as an absolute risk difference with a 95% Newcombe CI and the corresponding number needed to treat”</w:t>
      </w:r>
    </w:p>
    <w:p>
      <w:pPr>
        <w:ind w:left="454"/>
      </w:pPr>
      <w:r>
        <w:rPr>
          <w:b/>
          <w:sz w:val="21"/>
        </w:rPr>
        <w:t>Revised text (Results – Between-Group Comparisons):</w:t>
      </w:r>
    </w:p>
    <w:p>
      <w:pPr>
        <w:ind w:left="454"/>
        <w:shd w:val="clear" w:color="auto" w:fill="F2F2F2"/>
      </w:pPr>
      <w:r>
        <w:rPr>
          <w:sz w:val="21"/>
        </w:rPr>
        <w:t>“For disability, ordinal logistic regression indicated more favourable posttest mRS scores in the intervention group than in the control group (common odds ratio = 5.00, 95% CI [2.64, 9.47], p &lt; .001; test of parallel lines, χ²(4) = 2.76, p = .598). The unadjusted Mann–Whitney U sensitivity analysis was consistent, U = 1,520.00, Z = −4.97, p &lt; .001, r = .41.”</w:t>
      </w:r>
    </w:p>
    <w:p>
      <w:pPr>
        <w:spacing w:before="200"/>
      </w:pPr>
      <w:r>
        <w:rPr>
          <w:b/>
        </w:rPr>
        <w:t xml:space="preserve">Comment 1.7: </w:t>
      </w:r>
      <w:r>
        <w:rPr>
          <w:i/>
        </w:rPr>
        <w:t>7. Baseline comparisons should not be interpreted as demonstrating group equivalence.</w:t>
      </w:r>
    </w:p>
    <w:p>
      <w:r>
        <w:rPr>
          <w:i/>
        </w:rPr>
        <w:t>The Results section states that baseline characteristics were comparable between groups. Because the study is nonrandomized, non-significant baseline statistical tests do not establish equivalence between groups. The wording should therefore be changed to something such as “no statistically significant differences were detected between groups in the measured baseline characteristics.” The authors should also acknowledge that statistically undetected differences and unmeasured confounding may still exist.</w:t>
      </w:r>
    </w:p>
    <w:p>
      <w:r>
        <w:rPr>
          <w:b/>
        </w:rPr>
        <w:t xml:space="preserve">Response: </w:t>
      </w:r>
      <w:r>
        <w:t>We have revised the wording as suggested and added a statement that undetected differences and unmeasured confounding may remain. The corresponding claim of baseline equivalence in the Limitations has also been removed.</w:t>
      </w:r>
    </w:p>
    <w:p>
      <w:pPr>
        <w:ind w:left="454"/>
      </w:pPr>
      <w:r>
        <w:rPr>
          <w:b/>
          <w:sz w:val="21"/>
        </w:rPr>
        <w:t>Revised text (Results – Baseline Characteristics):</w:t>
      </w:r>
    </w:p>
    <w:p>
      <w:pPr>
        <w:ind w:left="454"/>
        <w:shd w:val="clear" w:color="auto" w:fill="F2F2F2"/>
      </w:pPr>
      <w:r>
        <w:rPr>
          <w:sz w:val="21"/>
        </w:rPr>
        <w:t>“No statistically significant differences were detected between groups in the measured baseline characteristics. The mean age was 62.4 years (SD = 10.8) in the intervention group and 63.1 years (SD = 11.2) in the control group, with no statistically significant difference, t(147) = −0.40, p = .691. The proportion of male participants was 58.7% in the intervention group and 56.8% in the control group, χ²(1) = 0.056, p = .813. Ischaemic stroke was the predominant stroke type in both groups, accounting for 77.3% of the intervention group and 77.0% of the control group. Stroke-affected side, comorbidity profile, and time since stroke onset also did not differ significantly between groups.”</w:t>
      </w:r>
    </w:p>
    <w:p>
      <w:pPr>
        <w:ind w:left="454"/>
      </w:pPr>
      <w:r>
        <w:rPr>
          <w:b/>
          <w:sz w:val="21"/>
        </w:rPr>
        <w:t>Revised text (Results – Baseline Characteristics, paragraph 2):</w:t>
      </w:r>
    </w:p>
    <w:p>
      <w:pPr>
        <w:ind w:left="454"/>
        <w:shd w:val="clear" w:color="auto" w:fill="F2F2F2"/>
      </w:pPr>
      <w:r>
        <w:rPr>
          <w:sz w:val="21"/>
        </w:rPr>
        <w:t>“Because allocation was not randomised, the absence of statistically significant differences does not establish equivalence; undetected differences in measured variables and unmeasured confounding may remain.”</w:t>
      </w:r>
    </w:p>
    <w:p>
      <w:pPr>
        <w:spacing w:before="200"/>
      </w:pPr>
      <w:r>
        <w:rPr>
          <w:b/>
        </w:rPr>
        <w:t xml:space="preserve">Comment 1.8: </w:t>
      </w:r>
      <w:r>
        <w:rPr>
          <w:i/>
        </w:rPr>
        <w:t>8. Confidence intervals should be reported for the main intervention effects.</w:t>
      </w:r>
    </w:p>
    <w:p>
      <w:r>
        <w:rPr>
          <w:i/>
        </w:rPr>
        <w:t>The results currently emphasize test statistics, p-values, and partial eta-squared values. For clinical interpretation, the manuscript would be strengthened by reporting “95% confidence intervals” for the principal between-group effects, particularly adjusted mean differences or other relevant effect estimates. Confidence intervals would allow readers to assess both the precision and clinical relevance of the estimated effects rather than relying primarily on statistical significance.</w:t>
      </w:r>
    </w:p>
    <w:p>
      <w:r>
        <w:rPr>
          <w:b/>
        </w:rPr>
        <w:t xml:space="preserve">Response: </w:t>
      </w:r>
      <w:r>
        <w:t>We agree. Adjusted mean differences with 95% CIs are now specified in the Statistical Analysis and reported in the Results and in a new column of Table 4; the mRS common odds ratio and the mRS 0–2 risk difference and number needed to treat are also reported with 95% CIs.</w:t>
      </w:r>
    </w:p>
    <w:p>
      <w:pPr>
        <w:ind w:left="454"/>
      </w:pPr>
      <w:r>
        <w:rPr>
          <w:b/>
          <w:sz w:val="21"/>
        </w:rPr>
        <w:t>Revised text (Methods – Statistical Analysis):</w:t>
      </w:r>
    </w:p>
    <w:p>
      <w:pPr>
        <w:ind w:left="454"/>
        <w:shd w:val="clear" w:color="auto" w:fill="F2F2F2"/>
      </w:pPr>
      <w:r>
        <w:rPr>
          <w:sz w:val="21"/>
        </w:rPr>
        <w:t>“Adjusted mean differences (intervention minus control) with 95% confidence intervals (CIs) were estimated from these models. Because the mRS is ordinal, the between-group comparison was estimated using ordinal (proportional-odds) logistic regression of posttest mRS on group, reported as a common odds ratio (the odds of a lower, i.e., more favourable, mRS category in the intervention group) with its Wald 95% CI; baseline mRS was not entered as a covariate because its distribution was virtually identical in the two groups (Table 1); the proportional-odds assumption was examined using the test of parallel lines. The unadjusted Mann–Whitney U test, with the rank-based effect size r = Z/√N, was retained as a sensitivity analysis. As an exploratory and clinically interpretable summary, the proportion of participants achieving an mRS score of 0–2 at posttest was compared using the chi-square test and reported as an absolute risk difference with a 95% Newcombe CI and the corresponding number needed to treat. Within-group pretest-to-posttest changes were examined using paired-samples t-tests or Wilcoxon signed-rank tests, as appropriate. Effect sizes were reported as partial eta-squared for ANCOVA results and interpreted as small, medium, and large using thresholds of 0.01, 0.06, and 0.14, respectively. For paired comparisons, Cohen’s d was calculated as the mean change divided by the average of the pretest and posttest standard deviations. Statistical significance was set at p &lt; .05 using two-tailed tests. Because no single primary outcome was prespecified and five between-group comparisons were tested, a Bonferroni-adjusted threshold of p &lt; .01 (.05/5) was applied as a sensitivity criterion to control the familywise type I error rate. Missing data were examined for extent and mechanism using Little’s MCAR test. Complete-case analysis was applied when missingness was judged to be completely at random and remained within the attrition allowance specified in the sample size calculation. Sensitivity analysis, including multiple imputation by chained equations, was planned if missingness was substantial or showed a systematic pattern. The baseline characteristics of participants lost to follow-up were compared with those of participants retained in the analysis.”</w:t>
      </w:r>
    </w:p>
    <w:p>
      <w:pPr>
        <w:ind w:left="454"/>
      </w:pPr>
      <w:r>
        <w:rPr>
          <w:b/>
          <w:sz w:val="21"/>
        </w:rPr>
        <w:t>Revised text (Results – Between-Group Comparisons (example)):</w:t>
      </w:r>
    </w:p>
    <w:p>
      <w:pPr>
        <w:ind w:left="454"/>
        <w:shd w:val="clear" w:color="auto" w:fill="F2F2F2"/>
      </w:pPr>
      <w:r>
        <w:rPr>
          <w:sz w:val="21"/>
        </w:rPr>
        <w:t>“F(1, 146) = 156.93, p &lt; .001, η²p = .518; adjusted mean difference = 2.08, 95% CI [1.75, 2.41].”</w:t>
      </w:r>
    </w:p>
    <w:p>
      <w:pPr>
        <w:spacing w:before="200"/>
      </w:pPr>
      <w:r>
        <w:rPr>
          <w:b/>
        </w:rPr>
        <w:t xml:space="preserve">Comment 1.9: </w:t>
      </w:r>
      <w:r>
        <w:rPr>
          <w:i/>
        </w:rPr>
        <w:t>9. The intervention fidelity and nurse training procedures require additional detail.</w:t>
      </w:r>
    </w:p>
    <w:p>
      <w:r>
        <w:rPr>
          <w:i/>
        </w:rPr>
        <w:t>The intervention is described as being delivered according to a standardized manual and includes staff training, documentation, and weekly review meetings. Nevertheless, important information regarding intervention fidelity is missing. The authors should clarify:</w:t>
      </w:r>
    </w:p>
    <w:p>
      <w:pPr>
        <w:ind w:left="340"/>
      </w:pPr>
      <w:r>
        <w:rPr>
          <w:i/>
        </w:rPr>
        <w:t>– the professional qualifications and clinical experience of the intervention nurses;</w:t>
      </w:r>
    </w:p>
    <w:p>
      <w:pPr>
        <w:ind w:left="340"/>
      </w:pPr>
      <w:r>
        <w:rPr>
          <w:i/>
        </w:rPr>
        <w:t>– the duration and content of nurse training;</w:t>
      </w:r>
    </w:p>
    <w:p>
      <w:pPr>
        <w:ind w:left="340"/>
      </w:pPr>
      <w:r>
        <w:rPr>
          <w:i/>
        </w:rPr>
        <w:t>– whether competency was assessed before nurses delivered the intervention;</w:t>
      </w:r>
    </w:p>
    <w:p>
      <w:pPr>
        <w:ind w:left="340"/>
      </w:pPr>
      <w:r>
        <w:rPr>
          <w:i/>
        </w:rPr>
        <w:t>– whether supervision was provided;</w:t>
      </w:r>
    </w:p>
    <w:p>
      <w:pPr>
        <w:ind w:left="340"/>
      </w:pPr>
      <w:r>
        <w:rPr>
          <w:i/>
        </w:rPr>
        <w:t>– how adherence to the intervention manual was monitored;</w:t>
      </w:r>
    </w:p>
    <w:p>
      <w:pPr>
        <w:ind w:left="340"/>
      </w:pPr>
      <w:r>
        <w:rPr>
          <w:i/>
        </w:rPr>
        <w:t>– the actual number and proportion of sessions attended by each participant; and</w:t>
      </w:r>
    </w:p>
    <w:p>
      <w:pPr>
        <w:ind w:left="340"/>
      </w:pPr>
      <w:r>
        <w:rPr>
          <w:i/>
        </w:rPr>
        <w:t>– whether protocol deviations occurred.</w:t>
      </w:r>
    </w:p>
    <w:p>
      <w:r>
        <w:rPr>
          <w:i/>
        </w:rPr>
        <w:t>These details are important for assessing reproducibility and implementation fidelity.</w:t>
      </w:r>
    </w:p>
    <w:p>
      <w:r>
        <w:rPr>
          <w:b/>
        </w:rPr>
        <w:t xml:space="preserve">Response: </w:t>
      </w:r>
      <w:r>
        <w:t>We have expanded the fidelity section to report the deliverers’ qualifications and experience, the duration and content of training, competency assessment, supervision, monitoring of adherence to the manual, and protocol deviations. The number of sessions attended is now reported (mean 14.6 of 16), together with a per-protocol sensitivity analysis (see Comment 2.6).</w:t>
      </w:r>
    </w:p>
    <w:p>
      <w:pPr>
        <w:ind w:left="454"/>
      </w:pPr>
      <w:r>
        <w:rPr>
          <w:b/>
          <w:sz w:val="21"/>
        </w:rPr>
        <w:t>Revised text (Methods – Intervention Fidelity):</w:t>
      </w:r>
    </w:p>
    <w:p>
      <w:pPr>
        <w:ind w:left="454"/>
        <w:shd w:val="clear" w:color="auto" w:fill="F2F2F2"/>
      </w:pPr>
      <w:r>
        <w:rPr>
          <w:sz w:val="21"/>
        </w:rPr>
        <w:t>“Intervention fidelity was supported through five mechanisms. First, the programme was delivered by four registered nurses working on the intervention ward (Bachelor of Science in Nursing; mean 8.5 years of clinical experience, including 4.2 years in stroke or neurology care). Before data collection, these nurses completed 12 hours of training over three days delivered by the principal investigator on the intervention protocol, safety procedures, mobility progression, dysphagia-related nursing care, psychological support, and documentation, using lectures, demonstrations, and supervised practice. Competency was assessed before independent delivery using direct observation of two supervised sessions against the manual checklist, and additional training was provided until the competency criterion was met. The principal investigator did not deliver sessions but supervised the intervention nurses throughout the study.”</w:t>
      </w:r>
    </w:p>
    <w:p>
      <w:pPr>
        <w:ind w:left="454"/>
      </w:pPr>
      <w:r>
        <w:rPr>
          <w:b/>
          <w:sz w:val="21"/>
        </w:rPr>
        <w:t>Revised text (Results – Between-Group Comparisons):</w:t>
      </w:r>
    </w:p>
    <w:p>
      <w:pPr>
        <w:ind w:left="454"/>
        <w:shd w:val="clear" w:color="auto" w:fill="F2F2F2"/>
      </w:pPr>
      <w:r>
        <w:rPr>
          <w:sz w:val="21"/>
        </w:rPr>
        <w:t>“Participants in the intervention group attended a mean of 14.6 (SD = 1.1) of the 16 planned sessions, corresponding to a mean session adherence of 91.4% (SD = 6.8%).”</w:t>
      </w:r>
    </w:p>
    <w:p>
      <w:pPr>
        <w:spacing w:before="200"/>
      </w:pPr>
      <w:r>
        <w:rPr>
          <w:b/>
        </w:rPr>
        <w:t xml:space="preserve">Comment 1.10: </w:t>
      </w:r>
      <w:r>
        <w:rPr>
          <w:i/>
        </w:rPr>
        <w:t>10. The inpatient and outpatient components of the intervention should be described more precisely.</w:t>
      </w:r>
    </w:p>
    <w:p>
      <w:r>
        <w:rPr>
          <w:i/>
        </w:rPr>
        <w:t>The intervention lasted 8 weeks and included 16 sessions, with both inpatient and outpatient components. Figure 3 presents this structure, but the distribution of sessions between inpatient and outpatient phases is not sufficiently clear. Please specify when participants transitioned from inpatient to outpatient rehabilitation and how many sessions were delivered in each phase. The authors should also clarify the location and mode of delivery of outpatient sessions and how attendance was monitored after discharge.</w:t>
      </w:r>
    </w:p>
    <w:p>
      <w:r>
        <w:rPr>
          <w:b/>
        </w:rPr>
        <w:t xml:space="preserve">Response: </w:t>
      </w:r>
      <w:r>
        <w:t>We now describe the two phases, the point of transition (hospital discharge), the number of sessions in each phase, the location and mode of outpatient delivery, and how outpatient attendance was monitored. Figure 3 has been revised to separate the two phases visually.</w:t>
      </w:r>
    </w:p>
    <w:p>
      <w:pPr>
        <w:ind w:left="454"/>
      </w:pPr>
      <w:r>
        <w:rPr>
          <w:b/>
          <w:sz w:val="21"/>
        </w:rPr>
        <w:t>Revised text (Methods – Intervention):</w:t>
      </w:r>
    </w:p>
    <w:p>
      <w:pPr>
        <w:ind w:left="454"/>
        <w:shd w:val="clear" w:color="auto" w:fill="F2F2F2"/>
      </w:pPr>
      <w:r>
        <w:rPr>
          <w:sz w:val="21"/>
        </w:rPr>
        <w:t>“The programme began within 48 hours of enrolment and comprised an inpatient phase, delivered individually at the bedside on the intervention ward, and an outpatient phase, delivered individually and face to face at the affiliated neurology outpatient clinic. Participants moved to the outpatient phase at hospital discharge; sessions 1–4 were scheduled during hospitalisation and sessions 5–16 after discharge, and participants attended a mean (SD) of 3.9 (0.4) inpatient and 10.7 (1.1) outpatient sessions. Outpatient attendance was recorded on the structured session checklist, and missed appointments were followed up by telephone reminder and rescheduling within the same week.”</w:t>
      </w:r>
    </w:p>
    <w:p>
      <w:pPr>
        <w:spacing w:before="200"/>
      </w:pPr>
      <w:r>
        <w:rPr>
          <w:b/>
        </w:rPr>
        <w:t xml:space="preserve">Comment 1.11: </w:t>
      </w:r>
      <w:r>
        <w:rPr>
          <w:i/>
        </w:rPr>
        <w:t>11. The causal interpretation of the findings should be further restricted.</w:t>
      </w:r>
    </w:p>
    <w:p>
      <w:r>
        <w:rPr>
          <w:i/>
        </w:rPr>
        <w:t>Participants were recruited shortly after stroke, and the intervention extended over the subsequent 8 weeks. Considerable spontaneous neurological and functional recovery can occur during this period. In combination with the nonrandomized ward-based allocation, this makes causal attribution to the intervention particularly difficult. The manuscript appropriately acknowledges the quasi-experimental design and related limitations. However, the Discussion and Conclusion should consistently avoid language that implies definitive causality. The findings would be more appropriately described as an association between participation in the nurse-led multidomain rehabilitation program and improved post-intervention outcomes, while emphasizing the possibility of residual confounding and natural recovery.</w:t>
      </w:r>
    </w:p>
    <w:p>
      <w:r>
        <w:rPr>
          <w:b/>
        </w:rPr>
        <w:t xml:space="preserve">Response: </w:t>
      </w:r>
      <w:r>
        <w:t>We agree. We revised the statements about the findings in the Abstract, Discussion and Conclusion to associational language, and we now name both the ward-level confounding and spontaneous recovery as reasons for caution (Principal Findings, Limitations, Conclusion). The practice implications are now conditional on confirmation in randomised evaluations.</w:t>
      </w:r>
    </w:p>
    <w:p>
      <w:pPr>
        <w:ind w:left="454"/>
      </w:pPr>
      <w:r>
        <w:rPr>
          <w:b/>
          <w:sz w:val="21"/>
        </w:rPr>
        <w:t>Revised text (Abstract – Conclusions):</w:t>
      </w:r>
    </w:p>
    <w:p>
      <w:pPr>
        <w:ind w:left="454"/>
        <w:shd w:val="clear" w:color="auto" w:fill="F2F2F2"/>
      </w:pPr>
      <w:r>
        <w:rPr>
          <w:sz w:val="21"/>
        </w:rPr>
        <w:t>“Programme participation was associated with greater short-term improvements in functional mobility, anxiety and depressive symptoms, neurological deficit, and disability than routine care. Because allocation was by ward and substantial spontaneous recovery occurs early after stroke, these findings indicate associations rather than causal effects; multicentre cluster-randomised trials with longer follow-up are needed.”</w:t>
      </w:r>
    </w:p>
    <w:p>
      <w:pPr>
        <w:ind w:left="454"/>
      </w:pPr>
      <w:r>
        <w:rPr>
          <w:b/>
          <w:sz w:val="21"/>
        </w:rPr>
        <w:t>Revised text (Discussion – Limitations):</w:t>
      </w:r>
    </w:p>
    <w:p>
      <w:pPr>
        <w:ind w:left="454"/>
        <w:shd w:val="clear" w:color="auto" w:fill="F2F2F2"/>
      </w:pPr>
      <w:r>
        <w:rPr>
          <w:sz w:val="21"/>
        </w:rPr>
        <w:t>“Second, participants were recruited within seven days of stroke and followed for eight weeks, a period of substantial spontaneous neurological and functional recovery; although the control group captures part of this natural recovery, differential recovery between wards cannot be excluded.”</w:t>
      </w:r>
    </w:p>
    <w:p>
      <w:pPr>
        <w:ind w:left="454"/>
      </w:pPr>
      <w:r>
        <w:rPr>
          <w:b/>
          <w:sz w:val="21"/>
        </w:rPr>
        <w:t>Revised text (Conclusion):</w:t>
      </w:r>
    </w:p>
    <w:p>
      <w:pPr>
        <w:ind w:left="454"/>
        <w:shd w:val="clear" w:color="auto" w:fill="F2F2F2"/>
      </w:pPr>
      <w:r>
        <w:rPr>
          <w:sz w:val="21"/>
        </w:rPr>
        <w:t>“Because treatment allocation was completely confounded with ward, outcomes were assessed during a period of substantial spontaneous recovery, and follow-up ended immediately after the programme, these findings indicate programme-associated short-term differences rather than causal or sustained effects.”</w:t>
      </w:r>
    </w:p>
    <w:p>
      <w:pPr>
        <w:spacing w:before="200"/>
      </w:pPr>
      <w:r>
        <w:rPr>
          <w:b/>
        </w:rPr>
        <w:t xml:space="preserve">Comment 1.12: </w:t>
      </w:r>
      <w:r>
        <w:rPr>
          <w:i/>
        </w:rPr>
        <w:t>12. The absence of longer-term follow-up should be reflected in the interpretation.</w:t>
      </w:r>
    </w:p>
    <w:p>
      <w:r>
        <w:rPr>
          <w:i/>
        </w:rPr>
        <w:t>Outcomes were assessed immediately after the 8-week intervention, without longer-term follow-up. Therefore, the manuscript cannot determine whether the observed improvements were sustained. The Discussion and Conclusion should clearly distinguish “short-term post-intervention effects” from sustained rehabilitation benefits. The authors already identify longer-term follow-up as an area for future research, which is appropriate.</w:t>
      </w:r>
    </w:p>
    <w:p>
      <w:r>
        <w:rPr>
          <w:b/>
        </w:rPr>
        <w:t xml:space="preserve">Response: </w:t>
      </w:r>
      <w:r>
        <w:t>We now describe the findings as short-term post-intervention differences throughout, and the absence of longer-term follow-up is stated in the Limitations and Conclusion.</w:t>
      </w:r>
    </w:p>
    <w:p>
      <w:pPr>
        <w:ind w:left="454"/>
      </w:pPr>
      <w:r>
        <w:rPr>
          <w:b/>
          <w:sz w:val="21"/>
        </w:rPr>
        <w:t>Revised text (Discussion – Limitations):</w:t>
      </w:r>
    </w:p>
    <w:p>
      <w:pPr>
        <w:ind w:left="454"/>
        <w:shd w:val="clear" w:color="auto" w:fill="F2F2F2"/>
      </w:pPr>
      <w:r>
        <w:rPr>
          <w:sz w:val="21"/>
        </w:rPr>
        <w:t>“Seventh, outcomes were assessed only immediately after the eight-week programme, so the findings represent short-term post-intervention differences, and whether they are sustained is unknown.”</w:t>
      </w:r>
    </w:p>
    <w:p>
      <w:pPr>
        <w:spacing w:before="200"/>
      </w:pPr>
      <w:r>
        <w:rPr>
          <w:b/>
        </w:rPr>
        <w:t xml:space="preserve">Comment 1.13: </w:t>
      </w:r>
      <w:r>
        <w:rPr>
          <w:i/>
        </w:rPr>
        <w:t>13. Safety outcomes should be reported in greater detail.</w:t>
      </w:r>
    </w:p>
    <w:p>
      <w:r>
        <w:rPr>
          <w:i/>
        </w:rPr>
        <w:t>The manuscript states that no serious adverse events occurred. However, given that the intervention includes mobility training, swallowing-related care, and activities involving potentially vulnerable stroke patients, it would be useful to report whether any adverse events occurred, even if they were non-serious.</w:t>
      </w:r>
    </w:p>
    <w:p>
      <w:r>
        <w:rPr>
          <w:i/>
        </w:rPr>
        <w:t>If no adverse events of any kind occurred, this should be stated explicitly. If minor events occurred, the authors should report their number and nature and explain how safety was monitored.</w:t>
      </w:r>
    </w:p>
    <w:p>
      <w:r>
        <w:rPr>
          <w:b/>
        </w:rPr>
        <w:t xml:space="preserve">Response: </w:t>
      </w:r>
      <w:r>
        <w:t>We now describe how safety was monitored and report adverse events of any severity.</w:t>
      </w:r>
    </w:p>
    <w:p>
      <w:pPr>
        <w:ind w:left="454"/>
      </w:pPr>
      <w:r>
        <w:rPr>
          <w:b/>
          <w:sz w:val="21"/>
        </w:rPr>
        <w:t>Revised text (Results – Between-Group Comparisons):</w:t>
      </w:r>
    </w:p>
    <w:p>
      <w:pPr>
        <w:ind w:left="454"/>
        <w:shd w:val="clear" w:color="auto" w:fill="F2F2F2"/>
      </w:pPr>
      <w:r>
        <w:rPr>
          <w:sz w:val="21"/>
        </w:rPr>
        <w:t>“Safety was monitored during every programme session, in which participants were observed for dizziness, pain, dyspnoea, excessive fatigue, haemodynamic instability, and other safety concerns, and any adverse event was documented on the structured session checklist. Non-serious events occurred in six intervention participants (transient dizziness during standing, n = 4; fatigue leading to early termination of a session, n = 2) and resolved with rest; none required medical intervention. Because the control group received no programme sessions, adverse events were not systematically recorded in that group. No serious adverse events attributable to the programme were recorded; the medical deterioration that led to loss to follow-up in two intervention-group participants was judged to be unrelated to the programme.”</w:t>
      </w:r>
    </w:p>
    <w:p>
      <w:pPr>
        <w:spacing w:before="200"/>
      </w:pPr>
      <w:r>
        <w:rPr>
          <w:b/>
        </w:rPr>
        <w:t xml:space="preserve">Comment 1.14: </w:t>
      </w:r>
      <w:r>
        <w:rPr>
          <w:i/>
        </w:rPr>
        <w:t>14. The conceptual mapping of outcomes to the ICF framework in Figure 1 requires clarification.</w:t>
      </w:r>
    </w:p>
    <w:p>
      <w:r>
        <w:rPr>
          <w:i/>
        </w:rPr>
        <w:t>Figure 1 presents functional mobility, neurological deficit, psychological well-being, and disability within different ICF-related domains. However, the placement of psychological well-being under “Participation/Personal Factors” may be conceptually ambiguous, particularly because HADS anxiety and depression are measurement outcomes rather than direct measures of participation or personal factors.</w:t>
      </w:r>
    </w:p>
    <w:p>
      <w:r>
        <w:rPr>
          <w:i/>
        </w:rPr>
        <w:t>The authors should clarify the conceptual basis for this mapping and ensure that the figure does not imply that the measured instruments directly represent specific ICF domains unless this is theoretically justified.</w:t>
      </w:r>
    </w:p>
    <w:p>
      <w:r>
        <w:rPr>
          <w:b/>
        </w:rPr>
        <w:t xml:space="preserve">Response: </w:t>
      </w:r>
      <w:r>
        <w:t>We agree that the previous mapping was ambiguous. Anxiety and depressive symptoms are now mapped to emotional functions, which the ICF classifies under body functions, and the text states that each instrument is used as an indicator of, not a direct measure of, an ICF component. Figure 1 has been revised accordingly: the psychological well-being label now reads “Body functions: emotional functions”, arrows are labelled as hypothesised associations, and swallowing safety is identified as an intervention component that was not measured.</w:t>
      </w:r>
    </w:p>
    <w:p>
      <w:pPr>
        <w:ind w:left="454"/>
      </w:pPr>
      <w:r>
        <w:rPr>
          <w:b/>
          <w:sz w:val="21"/>
        </w:rPr>
        <w:t>Revised text (Background – Theoretical framework):</w:t>
      </w:r>
    </w:p>
    <w:p>
      <w:pPr>
        <w:ind w:left="454"/>
        <w:shd w:val="clear" w:color="auto" w:fill="F2F2F2"/>
      </w:pPr>
      <w:r>
        <w:rPr>
          <w:sz w:val="21"/>
        </w:rPr>
        <w:t>“These instruments are therefore treated as indicators of, rather than direct measures of, the corresponding ICF components. Personal and environmental factors, including family support, are treated as contextual influences addressed by the education and family-involvement component, and were not measured as outcomes. Swallowing safety is incorporated as a safety-enabling nursing component of the intervention and was not evaluated as an outcome. Figure 1 illustrates the hypothesised pathways linking the programme components to the four measured outcomes; these pathways represent the associations tested in this study rather than established causal relationships.”</w:t>
      </w:r>
    </w:p>
    <w:p>
      <w:pPr>
        <w:spacing w:before="200"/>
      </w:pPr>
      <w:r>
        <w:rPr>
          <w:b/>
        </w:rPr>
        <w:t xml:space="preserve">Comment 1.15: </w:t>
      </w:r>
      <w:r>
        <w:rPr>
          <w:i/>
        </w:rPr>
        <w:t>15. The rationale for the multidomain intervention should be better connected to the study outcomes.</w:t>
      </w:r>
    </w:p>
    <w:p>
      <w:r>
        <w:rPr>
          <w:i/>
        </w:rPr>
        <w:t>The intervention includes four components: functional mobility, swallowing safety, psychological well-being, and education/family involvement. However, swallowing safety does not appear to be directly assessed as a study outcome. The authors should explain why swallowing care was included as a major intervention component despite the absence of a corresponding outcome measure. Alternatively, the distinction between intervention components and measured outcomes should be made clearer.</w:t>
      </w:r>
    </w:p>
    <w:p>
      <w:r>
        <w:rPr>
          <w:i/>
        </w:rPr>
        <w:t>The manuscript should also clarify whether the purpose of the intervention was to improve all four domains or whether some components were intended to support broader functional and psychosocial recovery.</w:t>
      </w:r>
    </w:p>
    <w:p>
      <w:r>
        <w:rPr>
          <w:b/>
        </w:rPr>
        <w:t xml:space="preserve">Response: </w:t>
      </w:r>
      <w:r>
        <w:t>Swallowing safety was included as a safety-enabling component rather than an efficacy target, because safe swallowing and aspiration precautions are prerequisites for early mobilisation, nutrition and participation in the other components. We now state this, and we distinguish components that directly targeted the measured outcomes from those that supported broader recovery.</w:t>
      </w:r>
    </w:p>
    <w:p>
      <w:pPr>
        <w:ind w:left="454"/>
      </w:pPr>
      <w:r>
        <w:rPr>
          <w:b/>
          <w:sz w:val="21"/>
        </w:rPr>
        <w:t>Revised text (Methods – Intervention):</w:t>
      </w:r>
    </w:p>
    <w:p>
      <w:pPr>
        <w:ind w:left="454"/>
        <w:shd w:val="clear" w:color="auto" w:fill="F2F2F2"/>
      </w:pPr>
      <w:r>
        <w:rPr>
          <w:sz w:val="21"/>
        </w:rPr>
        <w:t>“The functional mobility and psychological well-being components directly targeted the measured outcomes. The swallowing safety and education and family-involvement components were included to support safe participation, continuity of care after discharge, and broader recovery, and were not linked to separate outcome measures.”</w:t>
      </w:r>
    </w:p>
    <w:p>
      <w:pPr>
        <w:ind w:left="454"/>
      </w:pPr>
      <w:r>
        <w:rPr>
          <w:b/>
          <w:sz w:val="21"/>
        </w:rPr>
        <w:t>Revised text (Methods – Swallowing Safety Component):</w:t>
      </w:r>
    </w:p>
    <w:p>
      <w:pPr>
        <w:ind w:left="454"/>
        <w:shd w:val="clear" w:color="auto" w:fill="F2F2F2"/>
      </w:pPr>
      <w:r>
        <w:rPr>
          <w:sz w:val="21"/>
        </w:rPr>
        <w:t>“This component was included as a safety-enabling element rather than as an efficacy target: safe swallowing, positioning, and aspiration precautions were prerequisites for early mobilisation, adequate nutrition, and participation in the other components. Its effect on swallowing function was therefore not evaluated.”</w:t>
      </w:r>
    </w:p>
    <w:p>
      <w:pPr>
        <w:spacing w:before="280"/>
        <w:shd w:val="clear" w:color="auto" w:fill="D9E2F3"/>
      </w:pPr>
      <w:r>
        <w:rPr>
          <w:b/>
          <w:i w:val="0"/>
          <w:sz w:val="25"/>
        </w:rPr>
        <w:t>REVIEWER 1 — Minor comments</w:t>
      </w:r>
    </w:p>
    <w:p>
      <w:pPr>
        <w:spacing w:before="200"/>
      </w:pPr>
      <w:r>
        <w:rPr>
          <w:b/>
        </w:rPr>
        <w:t xml:space="preserve">Comment 1.m1: </w:t>
      </w:r>
      <w:r>
        <w:rPr>
          <w:i/>
        </w:rPr>
        <w:t>1. Terminology should be standardized throughout the manuscript.</w:t>
      </w:r>
    </w:p>
    <w:p>
      <w:r>
        <w:rPr>
          <w:i/>
        </w:rPr>
        <w:t>Figure 3 uses the term “swallowing function,” whereas the intervention description refers to swallowing safety. Please use consistent terminology throughout the manuscript.</w:t>
      </w:r>
    </w:p>
    <w:p>
      <w:r>
        <w:rPr>
          <w:b/>
        </w:rPr>
        <w:t xml:space="preserve">Response: </w:t>
      </w:r>
      <w:r>
        <w:t>“Swallowing safety” is now used for the intervention component throughout, including Figure 3 (component B). “Swallowing function” is retained only where it refers to the outcome that was not measured (Discussion).</w:t>
      </w:r>
    </w:p>
    <w:p>
      <w:pPr>
        <w:spacing w:before="200"/>
      </w:pPr>
      <w:r>
        <w:rPr>
          <w:b/>
        </w:rPr>
        <w:t xml:space="preserve">Comment 1.m2: </w:t>
      </w:r>
      <w:r>
        <w:rPr>
          <w:i/>
        </w:rPr>
        <w:t>2. The wording concerning psychological outcomes should be precise.</w:t>
      </w:r>
    </w:p>
    <w:p>
      <w:r>
        <w:rPr>
          <w:i/>
        </w:rPr>
        <w:t>Where the manuscript states that the intervention “reduced anxiety and depression,” consider using more cautious wording such as “was associated with lower post-intervention anxiety and depression scores,” particularly given the nonrandomized design.</w:t>
      </w:r>
    </w:p>
    <w:p>
      <w:r>
        <w:rPr>
          <w:b/>
        </w:rPr>
        <w:t xml:space="preserve">Response: </w:t>
      </w:r>
      <w:r>
        <w:t>We have reviewed all statements about psychological outcomes; they now describe lower posttest scores associated with programme participation rather than reductions caused by the programme.</w:t>
      </w:r>
    </w:p>
    <w:p>
      <w:pPr>
        <w:ind w:left="454"/>
      </w:pPr>
      <w:r>
        <w:rPr>
          <w:b/>
          <w:sz w:val="21"/>
        </w:rPr>
        <w:t>Revised text (Abstract – Results):</w:t>
      </w:r>
    </w:p>
    <w:p>
      <w:pPr>
        <w:ind w:left="454"/>
        <w:shd w:val="clear" w:color="auto" w:fill="F2F2F2"/>
      </w:pPr>
      <w:r>
        <w:rPr>
          <w:sz w:val="21"/>
        </w:rPr>
        <w:t>“After baseline adjustment, programme participants had higher posttest functional mobility (F[1,146] = 156.93, p &lt; .001, η²p = .518) and lower posttest anxiety (F[1,146] = 76.97, p &lt; .001, η²p = .345), depression (F[1,146] = 81.92, p &lt; .001, η²p = .359), and neurological deficit scores (F[1,146] = 40.23, p &lt; .001, η²p = .216) than routine-care participants.”</w:t>
      </w:r>
    </w:p>
    <w:p>
      <w:pPr>
        <w:spacing w:before="200"/>
      </w:pPr>
      <w:r>
        <w:rPr>
          <w:b/>
        </w:rPr>
        <w:t xml:space="preserve">Comment 1.m3: </w:t>
      </w:r>
      <w:r>
        <w:rPr>
          <w:i/>
        </w:rPr>
        <w:t>3. Outcome-assessor procedures require additional reporting.</w:t>
      </w:r>
    </w:p>
    <w:p>
      <w:r>
        <w:rPr>
          <w:i/>
        </w:rPr>
        <w:t>The manuscript mentions incomplete assessor blinding. The authors should clarify how many assessors performed outcome assessments, whether assessors were independent of the intervention team, whether they were blinded to group assignment where feasible, and how inter-rater reliability was established.</w:t>
      </w:r>
    </w:p>
    <w:p>
      <w:r>
        <w:rPr>
          <w:b/>
        </w:rPr>
        <w:t xml:space="preserve">Response: </w:t>
      </w:r>
      <w:r>
        <w:t>We now report the number of assessors, their independence from the intervention team, the extent of blinding, and how inter-rater reliability was established.</w:t>
      </w:r>
    </w:p>
    <w:p>
      <w:pPr>
        <w:ind w:left="454"/>
      </w:pPr>
      <w:r>
        <w:rPr>
          <w:b/>
          <w:sz w:val="21"/>
        </w:rPr>
        <w:t>Revised text (Methods – Data Collection Procedure):</w:t>
      </w:r>
    </w:p>
    <w:p>
      <w:pPr>
        <w:ind w:left="454"/>
        <w:shd w:val="clear" w:color="auto" w:fill="F2F2F2"/>
      </w:pPr>
      <w:r>
        <w:rPr>
          <w:sz w:val="21"/>
        </w:rPr>
        <w:t>“Outcome assessments were administered by three trained research assistants who were independent of the intervention team, had no involvement in any programme session, and received no information about group allocation from the intervention nurses. Because allocation was ward-based, assessors could not be fully blinded to group allocation at all assessment points; to limit the influence of allocation awareness, they followed prespecified standardised scoring instructions throughout data collection. Inter-rater reliability for the clinician-rated and observational tools was established by having a second trained assessor independently and simultaneously rate a subsample of 60 participants at both baseline and posttest; the resulting coefficients are reported in Table 2.”</w:t>
      </w:r>
    </w:p>
    <w:p>
      <w:pPr>
        <w:spacing w:before="200"/>
      </w:pPr>
      <w:r>
        <w:rPr>
          <w:b/>
        </w:rPr>
        <w:t xml:space="preserve">Comment 1.m4: </w:t>
      </w:r>
      <w:r>
        <w:rPr>
          <w:i/>
        </w:rPr>
        <w:t>4. The reporting of missing data should be expanded.</w:t>
      </w:r>
    </w:p>
    <w:p>
      <w:r>
        <w:rPr>
          <w:i/>
        </w:rPr>
        <w:t>The manuscript reports Little’s MCAR test and complete-case analysis. Please provide the result of Little’s MCAR test and the rationale for complete-case analysis. The authors should also clarify whether the characteristics of participants lost to follow-up differed from those retained in the analysis.</w:t>
      </w:r>
    </w:p>
    <w:p>
      <w:r>
        <w:rPr>
          <w:b/>
        </w:rPr>
        <w:t xml:space="preserve">Response: </w:t>
      </w:r>
      <w:r>
        <w:t>We now report the full Little’s test result, the rationale for complete-case analysis, and the comparison of participants lost to follow-up with those retained.</w:t>
      </w:r>
    </w:p>
    <w:p>
      <w:pPr>
        <w:ind w:left="454"/>
      </w:pPr>
      <w:r>
        <w:rPr>
          <w:b/>
          <w:sz w:val="21"/>
        </w:rPr>
        <w:t>Revised text (Results – Participant Flow and Sample Retention):</w:t>
      </w:r>
    </w:p>
    <w:p>
      <w:pPr>
        <w:ind w:left="454"/>
        <w:shd w:val="clear" w:color="auto" w:fill="F2F2F2"/>
      </w:pPr>
      <w:r>
        <w:rPr>
          <w:sz w:val="21"/>
        </w:rPr>
        <w:t>“Little’s MCAR test indicated that missingness was consistent with being completely at random, χ²(8) = 8.34, p = .401. Because missingness was confined to the posttest outcomes of participants lost to follow-up, was small (6.9%), and was consistent with this mechanism, complete-case analysis was applied and multiple imputation was not required. Participants lost to follow-up did not differ significantly from those retained in age, sex, stroke type, time since stroke onset, or baseline JH-HLM, HADS, NIHSS, and mRS scores (all p &gt; .05).”</w:t>
      </w:r>
    </w:p>
    <w:p>
      <w:pPr>
        <w:spacing w:before="200"/>
      </w:pPr>
      <w:r>
        <w:rPr>
          <w:b/>
        </w:rPr>
        <w:t xml:space="preserve">Comment 1.m5: </w:t>
      </w:r>
      <w:r>
        <w:rPr>
          <w:i/>
        </w:rPr>
        <w:t>5. The Discussion should distinguish statistical significance from clinical significance.</w:t>
      </w:r>
    </w:p>
    <w:p>
      <w:r>
        <w:rPr>
          <w:i/>
        </w:rPr>
        <w:t>Where possible, the authors should discuss whether the magnitude of changes in JH-HLM, HADS, NIHSS, and mRS is clinically meaningful, rather than focusing primarily on p-values.</w:t>
      </w:r>
    </w:p>
    <w:p>
      <w:r>
        <w:rPr>
          <w:b/>
        </w:rPr>
        <w:t xml:space="preserve">Response: </w:t>
      </w:r>
      <w:r>
        <w:t>We have added a subsection that interprets each outcome against clinically interpretable benchmarks (published HADS minimal clinically important difference, NIHSS improvement thresholds, mRS 0–2, and JH-HLM level descriptors).</w:t>
      </w:r>
    </w:p>
    <w:p>
      <w:pPr>
        <w:ind w:left="454"/>
      </w:pPr>
      <w:r>
        <w:rPr>
          <w:b/>
          <w:sz w:val="21"/>
        </w:rPr>
        <w:t>Revised text (Discussion – Clinical Significance of the Findings):</w:t>
      </w:r>
    </w:p>
    <w:p>
      <w:pPr>
        <w:ind w:left="454"/>
        <w:shd w:val="clear" w:color="auto" w:fill="F2F2F2"/>
      </w:pPr>
      <w:r>
        <w:rPr>
          <w:sz w:val="21"/>
        </w:rPr>
        <w:t>“Beyond statistical significance, the magnitude of the observed differences can be judged against clinically interpretable benchmarks. For anxiety and depressive symptoms, the between-group differences in mean change (3.6 and 3.9 HADS points, respectively) exceed the minimal clinically important difference of approximately 1.7 points reported for the HADS in patients with cardiovascular disease [79], and the proportion of intervention participants remaining in the abnormal range fell to below 10%, compared with about half of control participants. For neurological deficit, the between-group difference in mean NIHSS change was 3.2 points; because improvements of four or more points have commonly been used to define meaningful neurological improvement in acute stroke trials [80], this difference approaches, but does not clearly reach, that benchmark at group level.”</w:t>
      </w:r>
    </w:p>
    <w:p>
      <w:pPr>
        <w:spacing w:before="200"/>
      </w:pPr>
      <w:r>
        <w:rPr>
          <w:b/>
        </w:rPr>
        <w:t xml:space="preserve">Comment 1.m6: </w:t>
      </w:r>
      <w:r>
        <w:rPr>
          <w:i/>
        </w:rPr>
        <w:t>6. The novelty of the study should be stated more explicitly.</w:t>
      </w:r>
    </w:p>
    <w:p>
      <w:r>
        <w:rPr>
          <w:i/>
        </w:rPr>
        <w:t>The Discussion would benefit from a clearer explanation of what this study adds to the existing literature on nurse-led stroke rehabilitation. In particular, the authors should distinguish the present multidomain intervention from previously reported nurse-led or multidisciplinary stroke rehabilitation programs.</w:t>
      </w:r>
    </w:p>
    <w:p>
      <w:r>
        <w:rPr>
          <w:b/>
        </w:rPr>
        <w:t xml:space="preserve">Response: </w:t>
      </w:r>
      <w:r>
        <w:t>We have added a statement of the study’s contribution, distinguishing the present programme from single-domain nurse-led and multidisciplinary programmes.</w:t>
      </w:r>
    </w:p>
    <w:p>
      <w:pPr>
        <w:ind w:left="454"/>
      </w:pPr>
      <w:r>
        <w:rPr>
          <w:b/>
          <w:sz w:val="21"/>
        </w:rPr>
        <w:t>Revised text (Discussion – Comparison With Previous Nurse-Led Rehabilitation Studies):</w:t>
      </w:r>
    </w:p>
    <w:p>
      <w:pPr>
        <w:ind w:left="454"/>
        <w:shd w:val="clear" w:color="auto" w:fill="F2F2F2"/>
      </w:pPr>
      <w:r>
        <w:rPr>
          <w:sz w:val="21"/>
        </w:rPr>
        <w:t>“Whereas previous nurse-led programmes have mostly targeted a single domain, such as motor function, self-care, or mood, the present programme operationalised the ICF framework within one nursing protocol, providing a basis for a cluster-randomised evaluation.”</w:t>
      </w:r>
    </w:p>
    <w:p>
      <w:pPr>
        <w:spacing w:before="200"/>
      </w:pPr>
      <w:r>
        <w:rPr>
          <w:b/>
        </w:rPr>
        <w:t xml:space="preserve">Comment 1.m7: </w:t>
      </w:r>
      <w:r>
        <w:rPr>
          <w:i/>
        </w:rPr>
        <w:t>7. References should be carefully checked for accuracy and relevance.</w:t>
      </w:r>
    </w:p>
    <w:p>
      <w:r>
        <w:rPr>
          <w:i/>
        </w:rPr>
        <w:t>Several references should be verified for bibliographic accuracy and whether they directly support the statements for which they are cited. In particular, the reference concerning early rehabilitation and pulmonary embolism appears potentially inconsistent with the surrounding stroke-related discussion. The ICF and NIHSS references should also be checked carefully.</w:t>
      </w:r>
    </w:p>
    <w:p>
      <w:r>
        <w:rPr>
          <w:b/>
        </w:rPr>
        <w:t xml:space="preserve">Response: </w:t>
      </w:r>
      <w:r>
        <w:t>Thank you. All references were checked. Reference 7, which concerned pulmonary embolism, was cited in error and has been replaced by a stroke rehabilitation review (Langhorne et al., Lancet 2011). The ICF reference (40) now cites the WHO classification (2001), and the NIHSS reference (57) now cites the original scale publication (Brott et al., Stroke 1989). Reference 9 has been completed (NICE NG236), reference 12, which duplicated it with an incorrect guideline number, has been replaced, and the AVERT reference (67) now includes its authorship. New references 79–84 support the added Discussion and Limitations text.</w:t>
      </w:r>
    </w:p>
    <w:p>
      <w:pPr>
        <w:spacing w:before="280"/>
        <w:shd w:val="clear" w:color="auto" w:fill="D9E2F3"/>
      </w:pPr>
      <w:r>
        <w:rPr>
          <w:b/>
          <w:i w:val="0"/>
          <w:sz w:val="25"/>
        </w:rPr>
        <w:t>REVIEWER 1 — Comments on figures</w:t>
      </w:r>
    </w:p>
    <w:p>
      <w:pPr>
        <w:spacing w:before="200"/>
      </w:pPr>
      <w:r>
        <w:rPr>
          <w:b/>
        </w:rPr>
        <w:t xml:space="preserve">Comment 1.F1: </w:t>
      </w:r>
      <w:r>
        <w:rPr>
          <w:i/>
        </w:rPr>
        <w:t>Figure 1 – Conceptual Framework</w:t>
      </w:r>
    </w:p>
    <w:p>
      <w:r>
        <w:rPr>
          <w:i/>
        </w:rPr>
        <w:t>The figure is visually clear and provides a useful overview of the theoretical basis of the intervention. However, the mapping between the measured outcomes and ICF domains needs greater conceptual justification. The causal arrows should also be interpreted cautiously because the study design does not establish definitive causal relationships. The role of swallowing care should be clearly distinguished from the measured study outcomes.</w:t>
      </w:r>
    </w:p>
    <w:p>
      <w:r>
        <w:rPr>
          <w:b/>
        </w:rPr>
        <w:t xml:space="preserve">Response: </w:t>
      </w:r>
      <w:r>
        <w:t>Figure 1 has been revised as described under Comment 1.14: ICF labels now indicate the component each instrument indexes, arrows are labelled as hypothesised associations, and swallowing safety is shown as an intervention component that was not measured. The legend states this explicitly.</w:t>
      </w:r>
    </w:p>
    <w:p>
      <w:pPr>
        <w:ind w:left="454"/>
      </w:pPr>
      <w:r>
        <w:rPr>
          <w:b/>
          <w:sz w:val="21"/>
        </w:rPr>
        <w:t>Revised text (Figure 1 legend):</w:t>
      </w:r>
    </w:p>
    <w:p>
      <w:pPr>
        <w:ind w:left="454"/>
        <w:shd w:val="clear" w:color="auto" w:fill="F2F2F2"/>
      </w:pPr>
      <w:r>
        <w:rPr>
          <w:sz w:val="21"/>
        </w:rPr>
        <w:t>“Solid arrows indicate hypothesised associations between the programme and the four measured outcomes; dashed arrows indicate the supporting role of swallowing safety, which was an intervention component and was not measured as an outcome.”</w:t>
      </w:r>
    </w:p>
    <w:p>
      <w:pPr>
        <w:spacing w:before="200"/>
      </w:pPr>
      <w:r>
        <w:rPr>
          <w:b/>
        </w:rPr>
        <w:t xml:space="preserve">Comment 1.F2: </w:t>
      </w:r>
      <w:r>
        <w:rPr>
          <w:i/>
        </w:rPr>
        <w:t>Figure 2 – Participant Flow Diagram</w:t>
      </w:r>
    </w:p>
    <w:p>
      <w:r>
        <w:rPr>
          <w:i/>
        </w:rPr>
        <w:t>This figure requires “major correction”. The participant numbers shown in the figure are inconsistent with those reported in the Methods and Results. The authors should reconstruct the flow diagram using one verified set of participant numbers and ensure complete consistency with the Abstract, main text, tables, and sample-size description.</w:t>
      </w:r>
    </w:p>
    <w:p>
      <w:r>
        <w:rPr>
          <w:b/>
        </w:rPr>
        <w:t xml:space="preserve">Response: </w:t>
      </w:r>
      <w:r>
        <w:t>Figure 2 has been reconstructed from one verified set of numbers (see Comment 1.2).</w:t>
      </w:r>
    </w:p>
    <w:p>
      <w:pPr>
        <w:spacing w:before="200"/>
      </w:pPr>
      <w:r>
        <w:rPr>
          <w:b/>
        </w:rPr>
        <w:t xml:space="preserve">Comment 1.F3: </w:t>
      </w:r>
      <w:r>
        <w:rPr>
          <w:i/>
        </w:rPr>
        <w:t>Figure 3 – Intervention Framework</w:t>
      </w:r>
    </w:p>
    <w:p>
      <w:r>
        <w:rPr>
          <w:i/>
        </w:rPr>
        <w:t>The figure is informative but relatively dense. It would benefit from clearer visual separation between the inpatient and outpatient phases and from specifying how the 16 sessions were distributed across these phases. Terminology should also be harmonized, particularly “swallowing function” versus “swallowing safety.” The figure should distinguish intervention targets from actual outcome measures to avoid implying that every intervention component was directly evaluated.</w:t>
      </w:r>
    </w:p>
    <w:p>
      <w:r>
        <w:rPr>
          <w:b/>
        </w:rPr>
        <w:t xml:space="preserve">Response: </w:t>
      </w:r>
      <w:r>
        <w:t>Figure 3 has been revised: the inpatient (ward, until discharge) and outpatient (clinic, after discharge) phases are labelled separately, component B is renamed “Swallowing safety”, and the measured outcomes are labelled as such and separated from the intervention components. The session distribution is given in the legend and the Methods (Comment 1.10).</w:t>
      </w:r>
    </w:p>
    <w:p>
      <w:pPr>
        <w:ind w:left="454"/>
      </w:pPr>
      <w:r>
        <w:rPr>
          <w:b/>
          <w:sz w:val="21"/>
        </w:rPr>
        <w:t>Revised text (Figure 3 legend):</w:t>
      </w:r>
    </w:p>
    <w:p>
      <w:pPr>
        <w:ind w:left="454"/>
        <w:shd w:val="clear" w:color="auto" w:fill="F2F2F2"/>
      </w:pPr>
      <w:r>
        <w:rPr>
          <w:sz w:val="21"/>
        </w:rPr>
        <w:t>“The inpatient and outpatient phases are shown separately. Components A–D are intervention targets; the five tools shown at the bottom are the measured outcomes. Sessions 1–4 were scheduled during hospitalisation and sessions 5–16 after discharge. Swallowing safety (component B) was an intervention component and was not measured as an outcome.”</w:t>
      </w:r>
    </w:p>
    <w:p>
      <w:pPr>
        <w:spacing w:before="280"/>
        <w:shd w:val="clear" w:color="auto" w:fill="D9E2F3"/>
      </w:pPr>
      <w:r>
        <w:rPr>
          <w:b/>
          <w:i w:val="0"/>
          <w:sz w:val="25"/>
        </w:rPr>
        <w:t>REVIEWER 2</w:t>
      </w:r>
    </w:p>
    <w:p>
      <w:pPr>
        <w:spacing w:before="200"/>
      </w:pPr>
      <w:r>
        <w:rPr>
          <w:b/>
        </w:rPr>
        <w:t xml:space="preserve">Comment 2.1: </w:t>
      </w:r>
      <w:r>
        <w:rPr>
          <w:i/>
        </w:rPr>
        <w:t>1-The abstract could benefit from briefly mentioning the theoretical framework (ICF) that guided the intervention</w:t>
      </w:r>
    </w:p>
    <w:p>
      <w:r>
        <w:rPr>
          <w:b/>
        </w:rPr>
        <w:t xml:space="preserve">Response: </w:t>
      </w:r>
      <w:r>
        <w:t>The abstract now names the ICF in the Aim and refers to it in the Methods.</w:t>
      </w:r>
    </w:p>
    <w:p>
      <w:pPr>
        <w:ind w:left="454"/>
      </w:pPr>
      <w:r>
        <w:rPr>
          <w:b/>
          <w:sz w:val="21"/>
        </w:rPr>
        <w:t>Revised text (Abstract – Aim):</w:t>
      </w:r>
    </w:p>
    <w:p>
      <w:pPr>
        <w:ind w:left="454"/>
        <w:shd w:val="clear" w:color="auto" w:fill="F2F2F2"/>
      </w:pPr>
      <w:r>
        <w:rPr>
          <w:sz w:val="21"/>
        </w:rPr>
        <w:t>“This study evaluated the effects of a nurse-led multidomain stroke rehabilitation programme guided by the International Classification of Functioning, Disability and Health (ICF)”</w:t>
      </w:r>
    </w:p>
    <w:p>
      <w:pPr>
        <w:spacing w:before="200"/>
      </w:pPr>
      <w:r>
        <w:rPr>
          <w:b/>
        </w:rPr>
        <w:t xml:space="preserve">Comment 2.2: </w:t>
      </w:r>
      <w:r>
        <w:rPr>
          <w:i/>
        </w:rPr>
        <w:t>2-Consider specifying the study setting (Egypt) in the abstract</w:t>
      </w:r>
    </w:p>
    <w:p>
      <w:r>
        <w:rPr>
          <w:b/>
        </w:rPr>
        <w:t xml:space="preserve">Response: </w:t>
      </w:r>
      <w:r>
        <w:t>The setting is now specified.</w:t>
      </w:r>
    </w:p>
    <w:p>
      <w:pPr>
        <w:ind w:left="454"/>
      </w:pPr>
      <w:r>
        <w:rPr>
          <w:b/>
          <w:sz w:val="21"/>
        </w:rPr>
        <w:t>Revised text (Abstract – Methods):</w:t>
      </w:r>
    </w:p>
    <w:p>
      <w:pPr>
        <w:ind w:left="454"/>
        <w:shd w:val="clear" w:color="auto" w:fill="F2F2F2"/>
      </w:pPr>
      <w:r>
        <w:rPr>
          <w:sz w:val="21"/>
        </w:rPr>
        <w:t>“A pretest–posttest nonequivalent-groups quasi-experimental design was conducted in the neurology units and affiliated outpatient clinic of a university hospital in Kafr Elsheikh, Egypt.”</w:t>
      </w:r>
    </w:p>
    <w:p>
      <w:pPr>
        <w:spacing w:before="200"/>
      </w:pPr>
      <w:r>
        <w:rPr>
          <w:b/>
        </w:rPr>
        <w:t xml:space="preserve">Comment 2.3: </w:t>
      </w:r>
      <w:r>
        <w:rPr>
          <w:i/>
        </w:rPr>
        <w:t>3- Please review the ethics statement for possible wording errors, particularly the reference to “nursing faculty members.” The supplied Methods section identifies the Scientific Research Ethics Committee of Kafr Elsheikh University as the approving body, The correction should be based on the original ethics approval and study records.</w:t>
      </w:r>
    </w:p>
    <w:p>
      <w:r>
        <w:rPr>
          <w:b/>
        </w:rPr>
        <w:t xml:space="preserve">Response: </w:t>
      </w:r>
      <w:r>
        <w:t>Thank you for noticing this error. The ethics statement has been corrected to refer to stroke survivors and harmonised with the Methods (committee name and approval number).</w:t>
      </w:r>
    </w:p>
    <w:p>
      <w:pPr>
        <w:ind w:left="454"/>
      </w:pPr>
      <w:r>
        <w:rPr>
          <w:b/>
          <w:sz w:val="21"/>
        </w:rPr>
        <w:t>Revised text (Declarations – Ethics approval and consent to participate):</w:t>
      </w:r>
    </w:p>
    <w:p>
      <w:pPr>
        <w:ind w:left="454"/>
        <w:shd w:val="clear" w:color="auto" w:fill="F2F2F2"/>
      </w:pPr>
      <w:r>
        <w:rPr>
          <w:sz w:val="21"/>
        </w:rPr>
        <w:t>“This study was conducted in accordance with the Declaration of Helsinki. Ethical approval was obtained from the Scientific Research Ethics Committee of Kafr Elsheikh University, Egypt (approval no. KFSIRB200-749; research serial no. AU-20-8-347). Written informed consent was obtained from all participating stroke survivors before enrolment.”</w:t>
      </w:r>
    </w:p>
    <w:p>
      <w:pPr>
        <w:spacing w:before="200"/>
      </w:pPr>
      <w:r>
        <w:rPr>
          <w:b/>
        </w:rPr>
        <w:t xml:space="preserve">Comment 2.4: </w:t>
      </w:r>
      <w:r>
        <w:rPr>
          <w:i/>
        </w:rPr>
        <w:t>4-The Methods state that the study was reported in accordance with the Transparent Reporting of Evaluations with Nonrandomized Designs (TREND) statement. Please include the completed TREND checklist as supplementary material, with page or section references indicating where each applicable item is addressed. This will improve reporting transparency and help readers assess the design, allocation procedure, intervention, outcomes, and analysis.</w:t>
      </w:r>
    </w:p>
    <w:p>
      <w:r>
        <w:rPr>
          <w:b/>
        </w:rPr>
        <w:t xml:space="preserve">Response: </w:t>
      </w:r>
      <w:r>
        <w:t>The completed TREND checklist, indicating the section where each item is reported, is provided as Additional file 1 and cited in the Methods.</w:t>
      </w:r>
    </w:p>
    <w:p>
      <w:pPr>
        <w:ind w:left="454"/>
      </w:pPr>
      <w:r>
        <w:rPr>
          <w:b/>
          <w:sz w:val="21"/>
        </w:rPr>
        <w:t>Revised text (Methods – Study Design):</w:t>
      </w:r>
    </w:p>
    <w:p>
      <w:pPr>
        <w:ind w:left="454"/>
        <w:shd w:val="clear" w:color="auto" w:fill="F2F2F2"/>
      </w:pPr>
      <w:r>
        <w:rPr>
          <w:sz w:val="21"/>
        </w:rPr>
        <w:t>“The completed TREND checklist, indicating where each item is reported, is provided as Additional file 1.”</w:t>
      </w:r>
    </w:p>
    <w:p>
      <w:pPr>
        <w:spacing w:before="200"/>
      </w:pPr>
      <w:r>
        <w:rPr>
          <w:b/>
        </w:rPr>
        <w:t xml:space="preserve">Comment 2.5: </w:t>
      </w:r>
      <w:r>
        <w:rPr>
          <w:i/>
        </w:rPr>
        <w:t>5-The intervention fidelity section does not adequately describe the detailed clear specification of nurses delivering the programme. Please report their professional qualifications, clinical experience, previous stroke-care experience, training duration, training content, competency assessment, and supervision arrangements. clarify whether the principal investigator delivered sessions, supervised the nurses, or independently assessed intervention fidelity. These details are important for evaluating reproducibility and the feasibility of implementing the programme in other clinical settings.</w:t>
      </w:r>
    </w:p>
    <w:p>
      <w:r>
        <w:rPr>
          <w:b/>
        </w:rPr>
        <w:t xml:space="preserve">Response: </w:t>
      </w:r>
      <w:r>
        <w:t>Please see our response to Comment 1.9, where the revised Intervention Fidelity text is quoted in full. It now reports the nurses’ qualifications, clinical and stroke-care experience, training duration and content, competency assessment and supervision, and states the principal investigator’s role.</w:t>
      </w:r>
    </w:p>
    <w:p>
      <w:pPr>
        <w:spacing w:before="200"/>
      </w:pPr>
      <w:r>
        <w:rPr>
          <w:b/>
        </w:rPr>
        <w:t xml:space="preserve">Comment 2.6: </w:t>
      </w:r>
      <w:r>
        <w:rPr>
          <w:i/>
        </w:rPr>
        <w:t>6-The manuscript reports mean session adherence of 91.4% (SD = 6.8%), but it is unclear whether participants receiving different intervention doses experienced different outcomes. If participant-level session attendance and outcome data are available, consider a sensitivity analysis excluding participants who did not complete a prespecified proportion of the planned sessions. The threshold should be justified and, ideally, specified independently of the observed outcomes.</w:t>
      </w:r>
    </w:p>
    <w:p>
      <w:r>
        <w:rPr>
          <w:i/>
        </w:rPr>
        <w:t>Please treat this as a supplementary analysis rather than a replacement for the primary analysis. Excluding participants according to adherence can introduce selection bias because completion may be related to clinical deterioration, recovery, or other prognostic factors. The number excluded and the reasons for non-completion should be reported.</w:t>
      </w:r>
    </w:p>
    <w:p>
      <w:r>
        <w:rPr>
          <w:b/>
        </w:rPr>
        <w:t xml:space="preserve">Response: </w:t>
      </w:r>
      <w:r>
        <w:t>We have added a supplementary per-protocol sensitivity analysis using a threshold of 75% of planned sessions (12 of 16), specified before analysis and independently of outcomes. It is presented as supplementary to the primary analysis, with the number excluded and reasons for non-completion, and its potential for selection bias is stated.</w:t>
      </w:r>
    </w:p>
    <w:p>
      <w:pPr>
        <w:ind w:left="454"/>
      </w:pPr>
      <w:r>
        <w:rPr>
          <w:b/>
          <w:sz w:val="21"/>
        </w:rPr>
        <w:t>Revised text (Methods – Statistical Analysis):</w:t>
      </w:r>
    </w:p>
    <w:p>
      <w:pPr>
        <w:ind w:left="454"/>
        <w:shd w:val="clear" w:color="auto" w:fill="F2F2F2"/>
      </w:pPr>
      <w:r>
        <w:rPr>
          <w:sz w:val="21"/>
        </w:rPr>
        <w:t>“A supplementary per-protocol sensitivity analysis, specified before it was conducted and independently of the observed outcomes, repeated the primary analyses after excluding intervention-group participants who completed fewer than 75% of planned sessions (fewer than 12 of 16). This threshold was chosen because it corresponds to missing more than two weeks of the twice-weekly programme. This analysis is supplementary to, and does not replace, the primary analysis, because exclusion on the basis of adherence may introduce selection bias if completion is related to prognosis.”</w:t>
      </w:r>
    </w:p>
    <w:p>
      <w:pPr>
        <w:spacing w:before="200"/>
      </w:pPr>
      <w:r>
        <w:rPr>
          <w:b/>
        </w:rPr>
        <w:t xml:space="preserve">Comment 2.7: </w:t>
      </w:r>
      <w:r>
        <w:rPr>
          <w:i/>
        </w:rPr>
        <w:t>7-The control group is described as receiving routine medical and nursing care, with referrals to physiotherapy, speech therapy, or other rehabilitation services when clinically indicated. However, the frequency, duration, and nature of these services are not reported.</w:t>
      </w:r>
    </w:p>
    <w:p>
      <w:r>
        <w:rPr>
          <w:i/>
        </w:rPr>
        <w:t>Please provide additional information about usual care, including the typical availability of physiotherapy, speech and language therapy, and other relevant rehabilitation services, where these records exist. Clarify whether actual exposure to these services, medication changes, additional rehabilitation, and other relevant co-interventions was recorded in either group. If these data were not collected, state this explicitly as a limitation rather than implying that co-interventions were controlled.</w:t>
      </w:r>
    </w:p>
    <w:p>
      <w:r>
        <w:rPr>
          <w:b/>
        </w:rPr>
        <w:t xml:space="preserve">Response: </w:t>
      </w:r>
      <w:r>
        <w:t>Please see our response to Comment 1.4. Usual care is now described more fully, and we state explicitly that actual exposure to rehabilitation services and other co-interventions was not recorded in either group, which is acknowledged as a limitation.</w:t>
      </w:r>
    </w:p>
    <w:p>
      <w:pPr>
        <w:spacing w:before="200"/>
      </w:pPr>
      <w:r>
        <w:rPr>
          <w:b/>
        </w:rPr>
        <w:t xml:space="preserve">Comment 2.8: </w:t>
      </w:r>
      <w:r>
        <w:rPr>
          <w:i/>
        </w:rPr>
        <w:t>8-The Discussion would benefit from a more direct comparison with previous nurse-led rehabilitation studies. Please compare the current findings with studies using similar interventions and outcomes, particularly those reporting functional mobility, psychological symptoms, disability, or neurological status.</w:t>
      </w:r>
    </w:p>
    <w:p>
      <w:r>
        <w:rPr>
          <w:i/>
        </w:rPr>
        <w:t>Where comparable estimates are available, discuss the magnitude of the effects and differences in intervention duration, patient characteristics, usual care, study design, and outcome measurement.</w:t>
      </w:r>
    </w:p>
    <w:p>
      <w:r>
        <w:rPr>
          <w:b/>
        </w:rPr>
        <w:t xml:space="preserve">Response: </w:t>
      </w:r>
      <w:r>
        <w:t>We have added a subsection comparing our findings with previous nurse-led rehabilitation trials and meta-analyses, discussing differences in effect magnitude, intervention duration, baseline severity, usual care and design.</w:t>
      </w:r>
    </w:p>
    <w:p>
      <w:pPr>
        <w:ind w:left="454"/>
      </w:pPr>
      <w:r>
        <w:rPr>
          <w:b/>
          <w:sz w:val="21"/>
        </w:rPr>
        <w:t>Revised text (Discussion – Comparison With Previous Nurse-Led Rehabilitation Studies):</w:t>
      </w:r>
    </w:p>
    <w:p>
      <w:pPr>
        <w:ind w:left="454"/>
        <w:shd w:val="clear" w:color="auto" w:fill="F2F2F2"/>
      </w:pPr>
      <w:r>
        <w:rPr>
          <w:sz w:val="21"/>
        </w:rPr>
        <w:t>“Several differences may explain the larger effects observed in the present study. The programme was longer and more integrated than most acute nurse-led programmes, which typically lasted about one week, and it combined mobility training, psychological support, swallowing safety, and family education within a single protocol spanning inpatient and outpatient care. Participants also had moderately severe baseline deficits (median mRS 4; mean NIHSS approximately 12), leaving considerable room for improvement, and outcomes were assessed during the period of greatest spontaneous recovery. Most importantly, the ward-based nonrandomised design, incomplete assessor blinding, and unrecorded differences in usual rehabilitation exposure may have inflated the estimates relative to those from randomised trials.”</w:t>
      </w:r>
    </w:p>
    <w:p>
      <w:pPr>
        <w:spacing w:before="200"/>
      </w:pPr>
      <w:r>
        <w:rPr>
          <w:b/>
        </w:rPr>
        <w:t xml:space="preserve">Comment 2.9: </w:t>
      </w:r>
      <w:r>
        <w:rPr>
          <w:i/>
        </w:rPr>
        <w:t>9-Some numerical entries appear misaligned in the supplied table formatting. Please check the alignment of values, percentages, statistical tests, and p-values, and ensure that the column headings clearly distinguish intervention and control groups. Confirm that all percentages use the appropriate group denominators.</w:t>
      </w:r>
    </w:p>
    <w:p>
      <w:r>
        <w:rPr>
          <w:b/>
        </w:rPr>
        <w:t xml:space="preserve">Response: </w:t>
      </w:r>
      <w:r>
        <w:t>The misalignment arose from right-to-left formatting in the table cells, which reversed some values (e.g., in Table 4). This formatting has been removed from all tables, column widths have been set so that group headings are unambiguous, and all percentages were recomputed from the counts using the group denominators (n = 75 and n = 74), which are stated in the table notes.</w:t>
      </w:r>
    </w:p>
    <w:p>
      <w:pPr>
        <w:spacing w:before="200"/>
      </w:pPr>
      <w:r>
        <w:rPr>
          <w:b/>
        </w:rPr>
        <w:t xml:space="preserve">Comment 2.10: </w:t>
      </w:r>
      <w:r>
        <w:rPr>
          <w:i/>
        </w:rPr>
        <w:t>10- regarding table 3; Please correct the apparent line break in “Interventio n” and review the presentation of p-values, group labels, pretest and posttest values, and within-group changes. Ensure that statistical symbols, confidence intervals, and effect sizes are consistently formatted.</w:t>
      </w:r>
    </w:p>
    <w:p>
      <w:r>
        <w:rPr>
          <w:b/>
        </w:rPr>
        <w:t xml:space="preserve">Response: </w:t>
      </w:r>
      <w:r>
        <w:t>The line break in “Intervention” has been corrected by adjusting column widths. P values, group labels, pretest and posttest values and within-group changes are now formatted consistently, and mRS medians are reported with first–third quartiles.</w:t>
      </w:r>
    </w:p>
    <w:p>
      <w:pPr>
        <w:spacing w:before="200"/>
      </w:pPr>
      <w:r>
        <w:rPr>
          <w:b/>
        </w:rPr>
        <w:t xml:space="preserve">Comment 2.11: </w:t>
      </w:r>
      <w:r>
        <w:rPr>
          <w:i/>
        </w:rPr>
        <w:t>11- simplify tables footnotes when possible.</w:t>
      </w:r>
    </w:p>
    <w:p>
      <w:r>
        <w:rPr>
          <w:b/>
        </w:rPr>
        <w:t xml:space="preserve">Response: </w:t>
      </w:r>
      <w:r>
        <w:t>All table notes have been shortened to essential definitions and test descriptions.</w:t>
      </w:r>
    </w:p>
    <w:p>
      <w:pPr>
        <w:spacing w:before="200"/>
      </w:pPr>
      <w:r>
        <w:rPr>
          <w:b/>
        </w:rPr>
        <w:t xml:space="preserve">Comment 2.12: </w:t>
      </w:r>
      <w:r>
        <w:rPr>
          <w:i/>
        </w:rPr>
        <w:t>12-Consider reporting an exploratory NNT for achieving functional independence, defined in the manuscript as an mRS score of 0–2. Based on the reported posttest proportions, 57.3% of the intervention group and 18.9% of the control group achieved this outcome. The unadjusted absolute difference is 38.4 percentage points, corresponding to a crude NNT of approximately 3.</w:t>
      </w:r>
    </w:p>
    <w:p>
      <w:r>
        <w:rPr>
          <w:b/>
        </w:rPr>
        <w:t xml:space="preserve">Response: </w:t>
      </w:r>
      <w:r>
        <w:t>Thank you for this helpful suggestion. We now report the risk difference and an exploratory, unadjusted NNT with 95% CIs, with an explicit caution about the nonrandomised design.</w:t>
      </w:r>
    </w:p>
    <w:p>
      <w:pPr>
        <w:ind w:left="454"/>
      </w:pPr>
      <w:r>
        <w:rPr>
          <w:b/>
          <w:sz w:val="21"/>
        </w:rPr>
        <w:t>Revised text (Results – Clinical Category Changes):</w:t>
      </w:r>
    </w:p>
    <w:p>
      <w:pPr>
        <w:ind w:left="454"/>
        <w:shd w:val="clear" w:color="auto" w:fill="F2F2F2"/>
      </w:pPr>
      <w:r>
        <w:rPr>
          <w:sz w:val="21"/>
        </w:rPr>
        <w:t>“The absolute difference at posttest was 38.4 percentage points, 95% CI [23.1, 51.3], χ²(1) = 23.27, p &lt; .001, corresponding to an exploratory, unadjusted number needed to treat of 2.6, 95% CI [2.0, 4.3]; that is, approximately three patients would need to receive the programme rather than routine care for one additional patient to reach an mRS score of 0–2 at the end of the programme. Because allocation was not randomised, this estimate is descriptive and should not be interpreted as a causal treatment effect.”</w:t>
      </w:r>
    </w:p>
    <w:p>
      <w:pPr>
        <w:spacing w:before="200"/>
      </w:pPr>
      <w:r>
        <w:rPr>
          <w:b/>
        </w:rPr>
        <w:t xml:space="preserve">Comment 2.13: </w:t>
      </w:r>
      <w:r>
        <w:rPr>
          <w:i/>
        </w:rPr>
        <w:t>13- consider language revision according to journal style throughout manuscript as programme/ program, standardize/ standardise</w:t>
      </w:r>
    </w:p>
    <w:p>
      <w:r>
        <w:rPr>
          <w:b/>
        </w:rPr>
        <w:t xml:space="preserve">Response: </w:t>
      </w:r>
      <w:r>
        <w:t>The manuscript now uses British English consistently (e.g., programme, standardised, randomised, counselling), including the text within Figures 1–3. American spellings are retained only in reference titles and in the name of the TREND statement.</w:t>
      </w:r>
    </w:p>
    <w:p/>
    <w:p>
      <w:r>
        <w:rPr>
          <w:b w:val="0"/>
          <w:i w:val="0"/>
        </w:rPr>
        <w:t>We thank the reviewers again and hope that the revised manuscript is now suitable for publication.</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