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The Burden of Proof: Unit-Level Nurse Managers’ Judgements and Responses to Nurses’ Care Concerns When Quality Indicators Appear Reassuring—An Interpretive Description</w:t>
      </w:r>
    </w:p>
    <w:p>
      <w:pPr>
        <w:pStyle w:val="Heading1"/>
      </w:pPr>
      <w:r>
        <w:t>1. Introduction</w:t>
      </w:r>
    </w:p>
    <w:p>
      <w:r>
        <w:t>Nurses’ concerns can reveal unmet care needs and emerging safety problems. In Saudi hospitals, unit-level nurse assessments of care quality have been associated with independently recorded pressure-injury incidence (Alanazi et al., 2023). Nurses also describe knowing patients and obtaining timely support as important to safe care (Harton &amp; Skemp, 2024). Yet troubling staff accounts can coexist with apparently reassuring performance information (Martin et al., 2015). This raises a “burden of proof” question for unit-level nurse managers: what, if anything, must a concern demonstrate before it warrants investigation?</w:t>
      </w:r>
    </w:p>
    <w:p>
      <w:r>
        <w:t>Research explains important conditions for raising concerns. Anticipated reactions and interpersonal expectations shape nurses’ speaking-up decisions (Lee et al., 2022), while communication openness and information exchange are associated with safety voice (Ahn, 2026). Psychological safety and management support are also linked to communication and safety perceptions (Cho et al., 2023; Seo &amp; Lee, 2022). However, speaking does not ensure a meaningful response: nurses described organisational disregard during the pandemic and, in subsequent ethnographic research, feeling unheard despite available communication channels (Abrams et al., 2023; Rietze et al., 2026).</w:t>
      </w:r>
    </w:p>
    <w:p>
      <w:r>
        <w:t>Unit-level nurse managers connect these accounts with organisational quality oversight. Nurse leaders describe listening, follow-through and staff support as elements of safety leadership, alongside constraints on resources and authority (Harton &amp; Skemp, 2022). Studies have examined managers’ awareness and management of missed care (Kohanová et al., 2024), difficulties supporting speaking up within existing governance arrangements (Dong et al., 2026), and assessments of reports of unprofessional behaviour (Bagot et al., 2023). Together, these studies direct attention to how managers assess and act on concerns within organisational constraints.</w:t>
      </w:r>
    </w:p>
    <w:p>
      <w:r>
        <w:t>Here, quality indicators mean routinely reported unit or organisational measures of care quality and patient safety; “reassuring” denotes results managers interpret as satisfactory against organisational targets or benchmarks. Dashboard use depends on data quality, usefulness and managerial knowledge (Young et al., 2025). A concern and an indicator may also address different aspects or periods of care, so satisfactory results do not necessarily resolve the issue raised. Professional judgement contributes contextual knowledge to decisions about nursing resources (Allen et al., 2023). The concept of “soft intelligence” captures the work of seeking and interpreting experiential information that resists straightforward measurement (Martin et al., 2015). The distinction between problem-sensing and comfort-seeking identifies whether organisations actively seek unwelcome signals or favour reassurance (Dixon-Woods et al., 2014).</w:t>
      </w:r>
    </w:p>
    <w:p>
      <w:r>
        <w:t>Evidential expectations connect these information sources to action. Formal processes can discourage speaking up when staff must transform uncertain concerns into demonstrable facts (Martin et al., 2018). “Burden of proof” is used here as a sensitising concept to examine what substantiation, if any, managers require, who is expected to obtain it, and how those expectations shape investigation, action and feedback.</w:t>
      </w:r>
    </w:p>
    <w:p>
      <w:r>
        <w:t>Saudi Arabia offers a relevant setting because national guidance connects leadership, safety culture and performance measurement. The Saudi Patient Safety Center (2025) specifies indicator-data validation and comparison with benchmarks or internal targets. National survey analysis found more favourable reporting-culture perceptions among managerial and quality or safety staff than several frontline groups (Alkahf &amp; Alonazi, 2024). Saudi qualitative research also shows how indicators organise nursing accountability and opportunities to influence performance discussions (Alshehri et al., 2026), while an interpretive descriptive study identified perceived links between toxic managerial behaviours, restricted reporting and care processes (Alshmemri, 2026). These findings make unit-level nurse managers’ interpretation of frontline concerns alongside formal measures particularly relevant to Saudi quality oversight.</w:t>
      </w:r>
    </w:p>
    <w:p>
      <w:r>
        <w:t>Building on Martin et al.’s (2018) analysis of how formal organisational channels can constrain staff voice, this study addressed a more specific gap: how unit-level nurse managers set or apply evidential expectations and allocate responsibility for substantiating care concerns when routine indicators appear satisfactory. An interpretive description in Saudi hospitals examined managers’ reported judgements and responses, including investigation, action and follow-up. The findings could inform a framework for assessing concerns alongside indicators, prompts for quality-review meetings, and follow-up and feedback standards for nurses who raise concerns. These potential applications may be relevant to other healthcare systems using performance indicators.</w:t>
      </w:r>
    </w:p>
    <w:p>
      <w:pPr>
        <w:pStyle w:val="Heading2"/>
      </w:pPr>
      <w:r>
        <w:t>1.1 Aim and research question</w:t>
      </w:r>
    </w:p>
    <w:p>
      <w:r>
        <w:t>The study aimed to develop a practice-relevant understanding of unit-level nurse managers’ reported judgements and responses to nurses’ care concerns when routinely reported quality indicators appear reassuring in Saudi hospitals.</w:t>
      </w:r>
    </w:p>
    <w:p>
      <w:r>
        <w:t>The research question was: How do unit-level nurse managers in Saudi hospitals judge and respond to nurses’ care concerns when available quality indicators appear reassuring?</w:t>
      </w:r>
    </w:p>
    <w:p>
      <w:pPr>
        <w:pStyle w:val="Heading2"/>
      </w:pPr>
      <w:r>
        <w:t>1.2 Objectives</w:t>
      </w:r>
    </w:p>
    <w:p>
      <w:r>
        <w:t>1. Examine how managers interpret concerns alongside indicators and contextual information.</w:t>
      </w:r>
    </w:p>
    <w:p>
      <w:r>
        <w:t>2. Explore whether managers seek further substantiation, what information they seek and who is expected to obtain it.</w:t>
      </w:r>
    </w:p>
    <w:p>
      <w:r>
        <w:t>3. Describe managers’ reported investigation, action, escalation, follow-up and feedback in response to care concerns.</w:t>
      </w:r>
    </w:p>
    <w:p>
      <w:r>
        <w:t>4. Identify organisational conditions shaping judgements and capacity to respond.</w:t>
      </w:r>
    </w:p>
    <w:p>
      <w:pPr>
        <w:pStyle w:val="Heading1"/>
      </w:pPr>
      <w:r>
        <w:t>2. Methods</w:t>
      </w:r>
    </w:p>
    <w:p>
      <w:pPr>
        <w:pStyle w:val="Heading2"/>
      </w:pPr>
      <w:r>
        <w:t>2.1 Study design</w:t>
      </w:r>
    </w:p>
    <w:p>
      <w:r>
        <w:t>The study used qualitative interpretive description to develop a practice-relevant understanding of unit-level nurse managers’ reported judgements and responses to nurses’ care concerns in Saudi hospitals (Thorne, 2025). Its constructivist, naturalistic orientation supported interpretation of patterns and contextual variation in professional reasoning. Managers’ accounts were treated as situated interpretations rather than independently verified records of events. The conceptual orientation outlined in the Introduction informed interview probes about evidence, responsibility and follow-up but did not constitute a predetermined coding framework. Initial coding was inductive and subsequent interpretation remained open to accounts that challenged these concepts, including concerns acted on without additional substantiation. The evidence-oriented framing could foreground demands for substantiation; contrasting incidents allowed these expectations to be examined without assuming they were universal. The study examined reported decisions; it did not establish the accuracy of indicator results or independently verify the actions described.</w:t>
      </w:r>
    </w:p>
    <w:p>
      <w:pPr>
        <w:pStyle w:val="Heading2"/>
      </w:pPr>
      <w:r>
        <w:t>2.2 Setting and participants</w:t>
      </w:r>
    </w:p>
    <w:p>
      <w:r>
        <w:t>The study took place in six public hospitals in the Jouf region of northern Saudi Arabia. Hospitals were selected purposively for variation in size, level of care, clinical specialties and patient acuity. They had 200–420 beds, provided secondary or tertiary care, held Saudi Central Board for Accreditation of Healthcare Institutions accreditation and operated within a shared regional healthcare directorate. Clinical units reported quality and patient-safety indicators monthly to hospital quality departments. These included falls, hospital-acquired pressure injuries, device-associated infections, medication-administration incidents, incident-reporting counts and patient-experience scores. Dashboards displayed results against organisational targets and national benchmarks for discussion at monthly quality meetings. Head nurses or nurse managers were accountable for unit indicator performance and reported to the Director of Nursing. Workforces included Saudi and internationally educated nurses, with Arabic and English used professionally.</w:t>
      </w:r>
    </w:p>
    <w:p>
      <w:r>
        <w:t>Eligible participants were registered nurses holding substantive head nurse or nurse manager posts with 24-hour managerial accountability for an inpatient, critical care or emergency unit reporting routine quality indicators. They had at least six months in their current role, allowing experience of repeated reporting and review cycles, and could be interviewed in Arabic or English. Managers of non-clinical or outpatient-only areas and individuals with current supervisory, employment or academic relationships with research-team members were excluded. Full eligibility criteria are provided in Supplementary File 3.</w:t>
      </w:r>
      <w:r>
        <w:t xml:space="preserve"> Eligibility did not require experience of a particular type of incident; the classification of accounts is described in Section 2.7.</w:t>
      </w:r>
    </w:p>
    <w:p>
      <w:pPr>
        <w:pStyle w:val="Heading2"/>
      </w:pPr>
      <w:r>
        <w:t>2.3 Sampling and sample adequacy</w:t>
      </w:r>
    </w:p>
    <w:p>
      <w:r>
        <w:t>Purposive maximum-variation sampling addressed hospital, unit type, managerial experience (&lt;5, 5–10 or &gt;10 years) and country of initial nursing education (Saudi Arabia or elsewhere). As analysis developed, recruitment prioritised volunteers whose experience could extend emerging comparisons, including managers with consistently on-target dashboards or recent experience of escalating concerns. These dimensions guided diversity of experience rather than statistical comparisons between subgroups.</w:t>
      </w:r>
    </w:p>
    <w:p>
      <w:r>
        <w:t>A provisional sample of 18–25 managers was planned using information power, considering the focused aim, specificity of participants, anticipated depth of incident-based interviews and breadth of comparisons across settings (Malterud et al., 2016). Empirical evidence on interview sample sizes provided a contextual benchmark rather than a numerical stopping rule (Hennink &amp; Kaiser, 2022). The sampling plan sought at least three participants per hospital and two per unit type, without requiring every hospital–unit combination. Recruitment ended after 23 interviews when these coverage goals were met and the team judged the developing interpretation sufficiently detailed to address all four objectives, examine contrasting accounts and explain meaningful contextual variation. The judgement and its supporting comparisons were documented in the audit trail. The final sample included three to five managers per hospital and managers of medical (n = 5), surgical (n = 5), critical care (n = 5), emergency (n = 3), maternity (n = 3) and paediatric (n = 2) units.</w:t>
      </w:r>
    </w:p>
    <w:p>
      <w:pPr>
        <w:pStyle w:val="Heading2"/>
      </w:pPr>
      <w:r>
        <w:t>2.4 Recruitment and consent</w:t>
      </w:r>
    </w:p>
    <w:p>
      <w:r>
        <w:t>Following ethical approval, administrative permission was obtained in January 2026 from the regional healthcare directorate and participating hospitals. Directors of Nursing acted solely as gatekeepers, emailing a standard invitation and bilingual information sheet to all 38 eligible managers. Interested managers contacted the researchers directly; Directors were not informed of individual participation decisions. Twenty-nine managers volunteered, of whom 23 were interviewed. Nine invitees did not respond, and reasons for non-response were not sought. Two could not be scheduled because of annual leave, one withdrew before interview because of workload and three volunteered after recruitment closed. No participant withdrew after interview. Recruitment details are provided in Supplementary File 3.</w:t>
      </w:r>
    </w:p>
    <w:p>
      <w:r>
        <w:t>Researchers arranged interviews directly with participants. Private rooms in non-clinical education or training areas were booked under a generic study title without participant names; off-site and video interviews were also offered. The information sheet identified the interviewer’s name, academic role, nursing-management background and study purpose. Participants had at least 48 hours to consider participation, gave written informed consent and reconfirmed permission for audio recording at the start of the interview. They could decline questions, stop the interview or withdraw their data within 14 days. No incentives were offered.</w:t>
      </w:r>
    </w:p>
    <w:p>
      <w:pPr>
        <w:pStyle w:val="Heading2"/>
      </w:pPr>
      <w:r>
        <w:t>2.5 Data collection</w:t>
      </w:r>
    </w:p>
    <w:p>
      <w:r>
        <w:t>Data were collected from January to June 2026 through one semi-structured interview and a brief demographic and professional-profile questionnaire per participant. The guide was developed from the study objectives, relevant literature available during its development and the sensitising concepts. Questions elicited managers’ use of quality information, a recent occasion within the previous 12 months when a nurse raised a concern while indicators appeared satisfactory, and a contrasting occasion handled differently. Incident-focused prompts, informed by the critical incident technique (Flanagan, 1954), explored what happened, how indicator results informed judgement, whether further information was sought, who obtained it and what investigation, action, escalation, follow-up or feedback reportedly followed. Organisational resources, authority and reporting arrangements were also explored. Indicator reassurance was understood from each manager’s account, not independently classified by the researchers.</w:t>
      </w:r>
      <w:r>
        <w:t xml:space="preserve"> Because eligibility did not require such an occasion, some managers could not recall one. In these interviews, the interviewer invited the manager to describe the closest comparable occasion they could recall and then continued with the contrasting-occasion and expectation questions.</w:t>
      </w:r>
    </w:p>
    <w:p>
      <w:r>
        <w:t>Two senior nurse leaders and a qualitative methodologist reviewed the guide for relevance, clarity and cultural appropriateness. Two bilingual nurse researchers undertook Arabic translation and back-translation, resolving discrepancies for conceptual equivalence (Squires, 2009). Following ethical approval, two pilot interviews were conducted in early January 2026 with managers from a non-participating Jouf hospital. Minor wording and sequencing changes were made; pilot data were excluded. Subsequent refinements added probes on informal channels after interview 6 and written documentation after interview 12. Changes remained within the approved scope and were recorded in the audit trail. The bilingual guide and refinement history appear in Supplementary File 1.</w:t>
      </w:r>
    </w:p>
    <w:p>
      <w:r>
        <w:t>Section D asked directly about evidential expectations. Question D2 (“In your experience, whose job is it to show that a concern is real?”) presupposed that a concern might need to be shown to be real. It is reported as administered (Supplementary File 1). This evidence-focused framing may have encouraged managers to describe their reasoning in evidential terms or to emphasise substantiation; its possible influence was considered during analysis (Section 2.7) and is addressed in the study limitations.</w:t>
      </w:r>
    </w:p>
    <w:p>
      <w:r>
        <w:t xml:space="preserve">The first author (R1), a bilingual researcher trained in qualitative interviewing with no supervisory, employment or evaluative relationship with participants, conducted all interviews. Participants chose Arabic (n = 14) or English (n = 9), and face-to-face (n = 18) or video interviews (n = 5). </w:t>
      </w:r>
      <w:r>
        <w:t>Video interviews used an institutionally licensed Microsoft Teams account for the live connection only; no Teams recording or transcription function was used.</w:t>
      </w:r>
      <w:r>
        <w:t xml:space="preserve"> Only the participant and interviewer were present during interviews; all face-to-face interviews took place in the hospital rooms described above. Interviews lasted 42–81 minutes (mean 58 minutes) and were audio-recorded using encrypted digital recorders; video interviews were recorded as audio only. Participants were asked not to name patients or colleagues. R1 completed field notes immediately afterwards, recording context, rapport, emerging analytic ideas and reflexive observations.</w:t>
      </w:r>
    </w:p>
    <w:p>
      <w:pPr>
        <w:pStyle w:val="Heading2"/>
      </w:pPr>
      <w:r>
        <w:t>2.6 Data management and language</w:t>
      </w:r>
    </w:p>
    <w:p>
      <w:r>
        <w:t xml:space="preserve">Recordings and research files were stored on an encrypted, password-protected institutional drive hosted in Saudi Arabia. A Saudi-based professional bilingual transcriptionist working under a confidentiality agreement transcribed interviews verbatim in their original language. R1 checked transcripts against recordings and removed identifying details, assigning participant codes P01–P23 and hospital codes H1–H6. Apart from the transcriptionist, audio files were accessible only to R1 and R2; each file was deleted once R1 had verified and de-identified the corresponding transcript, and deletion dates were recorded in the audit trail. No automated transcription or generative-AI tools were used for data handling or analysis. Access was restricted by role; the translation checker received de-identified quotation excerpts, and the independent methodologist received de-identified transcripts and the analytic audit trail. </w:t>
      </w:r>
      <w:r>
        <w:t>De-identified research data will be retained for five years after publication and then securely destroyed. Consent forms, the identification key, participant contact details and the transcriptionist’s working copies were handled separately: consent forms and the identification key are held securely, apart from research data, for five years after publication and will then be shredded and securely deleted, respectively; contact details were deleted in August 2026 after member reflection closed; and the transcriptionist deleted each audio file and transcript on delivery, confirming deletion in writing in July 2026.</w:t>
      </w:r>
      <w:r>
        <w:t xml:space="preserve"> Transcripts will not be made publicly available because of the risk of identifying individuals in this small managerial population. Detailed access and retention arrangements appear in Supplementary File 3.</w:t>
      </w:r>
    </w:p>
    <w:p>
      <w:r>
        <w:t>Both analysts, R1 and R2, worked with Arabic transcripts in Arabic and English transcripts in English, using English code labels. This retained source-language context during interpretation, although code labelling and quotation translation still required interpretive choices. Only quotations selected for reporting were translated into English. R1 prepared translations and a bilingual nurse researcher checked conceptual equivalence (Squires, 2009).</w:t>
      </w:r>
    </w:p>
    <w:p>
      <w:pPr>
        <w:pStyle w:val="Heading2"/>
      </w:pPr>
      <w:r>
        <w:t>2.7 Data analysis</w:t>
      </w:r>
    </w:p>
    <w:p>
      <w:r>
        <w:t>Analysis followed the iterative logic of interpretive description from February to August 2026, overlapping with data collection and continuing after the final interview (Thorne, 2025). NVivo 14 supported data organisation, coding, memos and comparison matrices. Familiarisation involved repeated reading of transcripts and field notes and preparation of initial memos. R1 and R2 independently coded the first four transcripts, two in each language, using broad descriptive and interpretive codes. Discussion produced a provisional, revisable coding structure. Differences were examined for their interpretive implications rather than treated as measurement error; inter-coder reliability statistics were not calculated.</w:t>
      </w:r>
    </w:p>
    <w:p>
      <w:r>
        <w:t>R1 coded the remaining transcripts. R2 independently coded a further eight selected across hospitals, languages and contrasting responses, and reviewed R1’s coding of the remainder. Comparisons within and across accounts examined hospital and unit contexts, managerial experience, types of care concern and reported responses. Matrices organised reported responses, including acceptance, investigation, escalation and non-pursuit. Dated coding versions and analytic decisions were retained.</w:t>
      </w:r>
    </w:p>
    <w:p>
      <w:r>
        <w:t>Because eligibility did not require a qualifying incident, R1 and R2 classified each account according to whether the manager described (a) a concern raised by a nurse while, by the manager’s account, routinely reported indicators appeared satisfactory; (b) a concern raised in other circumstances, such as when indicators were unfavourable or were not referred to; or (c) no specific incident. For category (a), the analysts recorded which indicators the manager referred to and whether, as described, those indicators measured the aspect or period of care to which the concern related. Accounts in categories (b) and (c) were retained for what they showed about general evidential expectations and organisational conditions, but were identified separately in matrices and were not used as evidence of judgements in qualifying situations. The number of managers in each category, the indicators referred to and whether these addressed the concerns are reported in Results. Of the 23 managers, 19 described a qualifying incident, 2 described concerns raised in other circumstances and 2 described usual practice without a specific incident. In the 19 qualifying accounts, managers referred most often to falls (n = 8), hospital-acquired pressure injuries (n = 6), patient-experience scores (n = 3) and medication-administration incidents (n = 2). In 15 of these accounts, the indicators referred to did not measure the aspect or period of care to which the concern related.</w:t>
      </w:r>
    </w:p>
    <w:p>
      <w:r>
        <w:t>After initial coding of eight interviews, the analysts explicitly examined how emerging interpretations related to the sensitising concepts, retaining accounts that challenged or extended them. Contrasting cases included concerns accepted without additional substantiation and accounts in which managers described indicators as having failed to signal a problem. Such cases were used to test emerging interpretations, without treating reported indicator failures as independently verified events. Because Section D questions, particularly D2, foregrounded evidence and responsibility, evidential expectations described within incident accounts were distinguished from those offered in response to Section D prompts, and this distinction was recorded in analytic memos. Codes and comparisons were developed into interpretive patterns addressing how managers reasoned and responded under different conditions. Fourteen approximately fortnightly meetings involving R1, R2 and R3, together with peer debriefing, supported interpretive development and consideration of implications for management practice.</w:t>
      </w:r>
      <w:r>
        <w:t xml:space="preserve"> Any practice framework derived from these interpretations summarises managers’ reported reasoning; it has not been tested for feasibility, implementation or effects on care.</w:t>
      </w:r>
    </w:p>
    <w:p>
      <w:pPr>
        <w:pStyle w:val="Heading2"/>
      </w:pPr>
      <w:r>
        <w:t>2.8 Rigour and reflexivity</w:t>
      </w:r>
    </w:p>
    <w:p>
      <w:r>
        <w:t xml:space="preserve">Rigour was supported through epistemological integrity, representative credibility, analytic logic and interpretive authority (Thorne, 2025). Alignment between the applied question, contextual understanding of accounts and inductive analysis supported epistemological integrity. Variation in sampling, incident-based interviewing and deliberate examination of contrasting accounts </w:t>
      </w:r>
      <w:r>
        <w:t>supported claims proportionate to the range and depth of the data. Classifying incident accounts (Section 2.7) restricted claims about qualifying situations to the accounts that described them.</w:t>
      </w:r>
      <w:r>
        <w:t xml:space="preserve"> Cross-case matrices, dated coding versions and memos documented the reasoning linking evidence to interpretation. An independent qualitative methodologist reviewed the audit trail after interview 12 and at the end of analysis. Quotations were selected across participants to illustrate both patterns and variation. Context and participant characteristics were described to enable readers to assess relevance to other settings.</w:t>
      </w:r>
    </w:p>
    <w:p>
      <w:r>
        <w:t>Transcripts were not returned to participants. All 23 participants were offered a two-page bilingual summary of preliminary interpretations; 10 provided comments. These reflections were treated as additional perspectives rather than confirmation of a single correct interpretation and informed refinement of an interpretation concerning informal follow-up (Smith &amp; McGannon, 2018).</w:t>
      </w:r>
    </w:p>
    <w:p>
      <w:r>
        <w:t>The team comprised three bilingual researchers: R1, a male nurse academic (RN, PhD) with doctoral qualitative-methods training and previous unit-management experience in a Saudi hospital outside the study region; R2, a qualitative health-services researcher without a clinical or managerial role in Saudi hospitals; and R3, a nurse leader with quality and patient-safety experience. No team member had an employment, supervisory or evaluative relationship with participants or study sites. R1’s professional familiarity supported rapport but could encourage assumptions of shared meaning or sympathy with managerial constraints. Clarifying probes and a reflexive journal recorded these influences, while the team’s differing perspectives and peer debriefing challenged interpretations (Olmos-Vega et al., 2023). Confidentiality, non-evaluative interviewing and requests for both difficult and successful incidents addressed the possibility of favourable self-presentation without assuming that it was eliminated.</w:t>
      </w:r>
      <w:r>
        <w:t xml:space="preserve"> R1 had no prior personal acquaintance with any participant.</w:t>
      </w:r>
    </w:p>
    <w:p>
      <w:pPr>
        <w:pStyle w:val="Heading2"/>
      </w:pPr>
      <w:r>
        <w:t>2.9 Ethics and reporting</w:t>
      </w:r>
    </w:p>
    <w:p>
      <w:r>
        <w:t xml:space="preserve">The Institutional Review Board of King Abdulaziz Specialist Hospital, Aljouf Health Cluster (committee registration H-13-S-161), approved the study on 26 December 2025 (No. 9804). Approval covered interviews, domestic transcription, optional member reflection and access to de-identified data by the specified support roles. The study was conducted within the Saudi research-ethics and data-protection framework (Kingdom of Saudi Arabia, 2010, 2021) and followed the ethical principles of the 2024 revision of the Declaration of Helsinki (World Medical Association, 2025). Professional and reputational risks were addressed through confidential recruitment, restricted data access and removal or generalisation of identifying details. </w:t>
      </w:r>
      <w:r>
        <w:t>Participants were informed that, if they disclosed an ongoing, unaddressed risk of serious harm, the interviewer would encourage them to use organisational reporting channels. This safety-response procedure did not involve disclosure by the researchers, and no such disclosure occurred. The approved information sheet and consent form specified no exceptions to confidentiality.</w:t>
      </w:r>
      <w:r>
        <w:t xml:space="preserve"> Supplementary File 3 details the safeguards. Reporting was guided by SRQR (O’Brien et al., 2014), with SRQR and COREQ (Tong et al., 2007) mappings provided in Supplementary File 2.</w:t>
      </w:r>
    </w:p>
    <w:p>
      <w:pPr>
        <w:pStyle w:val="Heading1"/>
      </w:pPr>
      <w:r>
        <w:t>References</w:t>
      </w:r>
    </w:p>
    <w:p>
      <w:pPr>
        <w:keepLines/>
        <w:spacing w:line="252" w:lineRule="auto" w:after="120"/>
        <w:ind w:left="432" w:hanging="432"/>
      </w:pPr>
      <w:r>
        <w:rPr>
          <w:sz w:val="22"/>
        </w:rPr>
        <w:t xml:space="preserve">Abrams, R., Conolly, A., Rowland, E., Harris, R., Kent, B., Kelly, D., Couper, K., &amp; Maben, J. (2023). Speaking up during the COVID-19 pandemic: Nurses’ experiences of organizational disregard and silence. </w:t>
      </w:r>
      <w:r>
        <w:rPr>
          <w:i/>
          <w:sz w:val="22"/>
        </w:rPr>
        <w:t>Journal of Advanced Nursing, 79</w:t>
      </w:r>
      <w:r>
        <w:rPr>
          <w:sz w:val="22"/>
        </w:rPr>
        <w:t>(6), 2189–2199. https://doi.org/10.1111/jan.15526</w:t>
      </w:r>
    </w:p>
    <w:p>
      <w:pPr>
        <w:keepLines/>
        <w:spacing w:line="252" w:lineRule="auto" w:after="120"/>
        <w:ind w:left="432" w:hanging="432"/>
      </w:pPr>
      <w:r>
        <w:rPr>
          <w:sz w:val="22"/>
        </w:rPr>
        <w:t xml:space="preserve">Ahn, S. (2026). Factors influencing nurses’ safety voices about patient safety concerns: A cross-sectional study. </w:t>
      </w:r>
      <w:r>
        <w:rPr>
          <w:i/>
          <w:sz w:val="22"/>
        </w:rPr>
        <w:t>Applied Nursing Research, 87</w:t>
      </w:r>
      <w:r>
        <w:rPr>
          <w:sz w:val="22"/>
        </w:rPr>
        <w:t>, 152046. https://doi.org/10.1016/j.apnr.2025.152046</w:t>
      </w:r>
    </w:p>
    <w:p>
      <w:pPr>
        <w:keepLines/>
        <w:spacing w:line="252" w:lineRule="auto" w:after="120"/>
        <w:ind w:left="432" w:hanging="432"/>
      </w:pPr>
      <w:r>
        <w:rPr>
          <w:sz w:val="22"/>
        </w:rPr>
        <w:t xml:space="preserve">Alanazi, F. K., Lapkin, S., Molloy, L., &amp; Sim, J. (2023). Safety culture, quality of care, missed care, nurse staffing and their impact on pressure injuries: A cross-sectional multi-source study. </w:t>
      </w:r>
      <w:r>
        <w:rPr>
          <w:i/>
          <w:sz w:val="22"/>
        </w:rPr>
        <w:t>International Journal of Nursing Studies Advances, 5</w:t>
      </w:r>
      <w:r>
        <w:rPr>
          <w:sz w:val="22"/>
        </w:rPr>
        <w:t>, 100125. https://doi.org/10.1016/j.ijnsa.2023.100125</w:t>
      </w:r>
    </w:p>
    <w:p>
      <w:pPr>
        <w:keepLines/>
        <w:spacing w:line="252" w:lineRule="auto" w:after="120"/>
        <w:ind w:left="432" w:hanging="432"/>
      </w:pPr>
      <w:r>
        <w:rPr>
          <w:sz w:val="22"/>
        </w:rPr>
        <w:t xml:space="preserve">Alkahf, D., &amp; Alonazi, W. (2024). Exploring the safety reporting culture among healthcare practitioners in Saudi hospitals: A comprehensive 2022 national study. </w:t>
      </w:r>
      <w:r>
        <w:rPr>
          <w:i/>
          <w:sz w:val="22"/>
        </w:rPr>
        <w:t>BMC Health Services Research, 24</w:t>
      </w:r>
      <w:r>
        <w:rPr>
          <w:sz w:val="22"/>
        </w:rPr>
        <w:t>, 769. https://doi.org/10.1186/s12913-024-11160-3</w:t>
      </w:r>
    </w:p>
    <w:p>
      <w:pPr>
        <w:keepLines/>
        <w:spacing w:line="252" w:lineRule="auto" w:after="120"/>
        <w:ind w:left="432" w:hanging="432"/>
      </w:pPr>
      <w:r>
        <w:rPr>
          <w:sz w:val="22"/>
        </w:rPr>
        <w:t xml:space="preserve">Allen, D., Jacob, N., Strange, H., Jones, A., Burton, C., &amp; Rafferty, A. M. (2023). “It’s not just about the numbers”: Inside the black box of nurses’ professional judgement in nurse staffing systems in England and Wales: Insights from a qualitative cross-case comparative study. </w:t>
      </w:r>
      <w:r>
        <w:rPr>
          <w:i/>
          <w:sz w:val="22"/>
        </w:rPr>
        <w:t>International Journal of Nursing Studies, 147</w:t>
      </w:r>
      <w:r>
        <w:rPr>
          <w:sz w:val="22"/>
        </w:rPr>
        <w:t>, 104586. https://doi.org/10.1016/j.ijnurstu.2023.104586</w:t>
      </w:r>
    </w:p>
    <w:p>
      <w:pPr>
        <w:keepLines/>
        <w:spacing w:line="252" w:lineRule="auto" w:after="120"/>
        <w:ind w:left="432" w:hanging="432"/>
      </w:pPr>
      <w:r>
        <w:rPr>
          <w:sz w:val="22"/>
        </w:rPr>
        <w:t xml:space="preserve">Alshehri, W. M., Eid, T., Alodhailah, A. M., &amp; Alshaibany, F. F. (2026). Moving on performance responsibility: An institutional ethnographic study of nurses’ experiences with quality indicators in the transforming healthcare system of Saudi Arabia. </w:t>
      </w:r>
      <w:r>
        <w:rPr>
          <w:i/>
          <w:sz w:val="22"/>
        </w:rPr>
        <w:t>BMC Nursing, 25</w:t>
      </w:r>
      <w:r>
        <w:rPr>
          <w:sz w:val="22"/>
        </w:rPr>
        <w:t>, 51. https://doi.org/10.1186/s12912-025-04272-6</w:t>
      </w:r>
    </w:p>
    <w:p>
      <w:pPr>
        <w:keepLines/>
        <w:spacing w:line="252" w:lineRule="auto" w:after="120"/>
        <w:ind w:left="432" w:hanging="432"/>
      </w:pPr>
      <w:r>
        <w:rPr>
          <w:sz w:val="22"/>
        </w:rPr>
        <w:t xml:space="preserve">Alshmemri, M. (2026). The dark side of nurse-manager leadership: Toxic leadership behaviours, adverse-event reporting, and care quality—an interpretive descriptive study. </w:t>
      </w:r>
      <w:r>
        <w:rPr>
          <w:i/>
          <w:sz w:val="22"/>
        </w:rPr>
        <w:t>BMC Nursing, 25</w:t>
      </w:r>
      <w:r>
        <w:rPr>
          <w:sz w:val="22"/>
        </w:rPr>
        <w:t>, 329. https://doi.org/10.1186/s12912-026-04506-1</w:t>
      </w:r>
    </w:p>
    <w:p>
      <w:pPr>
        <w:keepLines/>
        <w:spacing w:line="252" w:lineRule="auto" w:after="120"/>
        <w:ind w:left="432" w:hanging="432"/>
      </w:pPr>
      <w:r>
        <w:rPr>
          <w:sz w:val="22"/>
        </w:rPr>
        <w:t xml:space="preserve">Bagot, K. L., McInnes, E., Mannion, R., McMullan, R. D., Urwin, R., Churruca, K., Hibbert, P., &amp; Westbrook, J. I. (2023). Middle manager responses to hospital co-workers’ unprofessional behaviours within the context of a professional accountability culture change program: A qualitative analysis. </w:t>
      </w:r>
      <w:r>
        <w:rPr>
          <w:i/>
          <w:sz w:val="22"/>
        </w:rPr>
        <w:t>BMC Health Services Research, 23</w:t>
      </w:r>
      <w:r>
        <w:rPr>
          <w:sz w:val="22"/>
        </w:rPr>
        <w:t>, 1012. https://doi.org/10.1186/s12913-023-09968-6</w:t>
      </w:r>
    </w:p>
    <w:p>
      <w:pPr>
        <w:keepLines/>
        <w:spacing w:line="252" w:lineRule="auto" w:after="120"/>
        <w:ind w:left="432" w:hanging="432"/>
      </w:pPr>
      <w:r>
        <w:rPr>
          <w:sz w:val="22"/>
        </w:rPr>
        <w:t xml:space="preserve">Cho, H., Steege, L. M., &amp; Arsenault Knudsen, É. N. (2023). Psychological safety, communication openness, nurse job outcomes, and patient safety in hospital nurses. </w:t>
      </w:r>
      <w:r>
        <w:rPr>
          <w:i/>
          <w:sz w:val="22"/>
        </w:rPr>
        <w:t>Research in Nursing &amp; Health, 46</w:t>
      </w:r>
      <w:r>
        <w:rPr>
          <w:sz w:val="22"/>
        </w:rPr>
        <w:t>(4), 445–453. https://doi.org/10.1002/nur.22327</w:t>
      </w:r>
    </w:p>
    <w:p>
      <w:pPr>
        <w:keepLines/>
        <w:spacing w:line="252" w:lineRule="auto" w:after="120"/>
        <w:ind w:left="432" w:hanging="432"/>
      </w:pPr>
      <w:r>
        <w:rPr>
          <w:sz w:val="22"/>
        </w:rPr>
        <w:t xml:space="preserve">Dixon-Woods, M., Baker, R., Charles, K., Dawson, J., Jerzembek, G., Martin, G., McCarthy, I., McKee, L., Minion, J., Ozieranski, P., Willars, J., Wilkie, P., &amp; West, M. (2014). Culture and behaviour in the English National Health Service: Overview of lessons from a large multimethod study. </w:t>
      </w:r>
      <w:r>
        <w:rPr>
          <w:i/>
          <w:sz w:val="22"/>
        </w:rPr>
        <w:t>BMJ Quality &amp; Safety, 23</w:t>
      </w:r>
      <w:r>
        <w:rPr>
          <w:sz w:val="22"/>
        </w:rPr>
        <w:t>(2), 106–115. https://doi.org/10.1136/bmjqs-2013-001947</w:t>
      </w:r>
    </w:p>
    <w:p>
      <w:pPr>
        <w:keepLines/>
        <w:spacing w:line="252" w:lineRule="auto" w:after="120"/>
        <w:ind w:left="432" w:hanging="432"/>
      </w:pPr>
      <w:r>
        <w:rPr>
          <w:sz w:val="22"/>
        </w:rPr>
        <w:t xml:space="preserve">Dong, J., Du, L., Xu, J., Li, J., Tao, J., &amp; Wang, F. (2026). The ideal-reality gap: A qualitative study of nurse middle managers’ perspectives on speaking up for patient safety. </w:t>
      </w:r>
      <w:r>
        <w:rPr>
          <w:i/>
          <w:sz w:val="22"/>
        </w:rPr>
        <w:t>Frontiers in Public Health, 14</w:t>
      </w:r>
      <w:r>
        <w:rPr>
          <w:sz w:val="22"/>
        </w:rPr>
        <w:t>, 1790424. https://doi.org/10.3389/fpubh.2026.1790424</w:t>
      </w:r>
    </w:p>
    <w:p>
      <w:pPr>
        <w:keepLines/>
        <w:spacing w:line="252" w:lineRule="auto" w:after="120"/>
        <w:ind w:left="432" w:hanging="432"/>
      </w:pPr>
      <w:r>
        <w:rPr>
          <w:sz w:val="22"/>
        </w:rPr>
        <w:t xml:space="preserve">Flanagan, J. C. (1954). The critical incident technique. </w:t>
      </w:r>
      <w:r>
        <w:rPr>
          <w:i/>
          <w:sz w:val="22"/>
        </w:rPr>
        <w:t>Psychological Bulletin, 51</w:t>
      </w:r>
      <w:r>
        <w:rPr>
          <w:sz w:val="22"/>
        </w:rPr>
        <w:t>(4), 327–358. https://doi.org/10.1037/h0061470</w:t>
      </w:r>
    </w:p>
    <w:p>
      <w:pPr>
        <w:keepLines/>
        <w:spacing w:line="252" w:lineRule="auto" w:after="120"/>
        <w:ind w:left="432" w:hanging="432"/>
      </w:pPr>
      <w:r>
        <w:rPr>
          <w:sz w:val="22"/>
        </w:rPr>
        <w:t xml:space="preserve">Harton, L., &amp; Skemp, L. (2022). Medical–surgical nurse leaders’ experiences with safety culture: An inductive qualitative descriptive study. </w:t>
      </w:r>
      <w:r>
        <w:rPr>
          <w:i/>
          <w:sz w:val="22"/>
        </w:rPr>
        <w:t>Journal of Nursing Management, 30</w:t>
      </w:r>
      <w:r>
        <w:rPr>
          <w:sz w:val="22"/>
        </w:rPr>
        <w:t>(7), 2781–2790. https://doi.org/10.1111/jonm.13775</w:t>
      </w:r>
    </w:p>
    <w:p>
      <w:pPr>
        <w:keepLines/>
        <w:spacing w:line="252" w:lineRule="auto" w:after="120"/>
        <w:ind w:left="432" w:hanging="432"/>
      </w:pPr>
      <w:r>
        <w:rPr>
          <w:sz w:val="22"/>
        </w:rPr>
        <w:t xml:space="preserve">Harton, L., &amp; Skemp, L. (2024). Have our backs-medical-surgical nurses’ safety culture experiences: An inductive qualitative descriptive study. </w:t>
      </w:r>
      <w:r>
        <w:rPr>
          <w:i/>
          <w:sz w:val="22"/>
        </w:rPr>
        <w:t>Nursing Open, 11</w:t>
      </w:r>
      <w:r>
        <w:rPr>
          <w:sz w:val="22"/>
        </w:rPr>
        <w:t>(2), e2095. https://doi.org/10.1002/nop2.2095</w:t>
      </w:r>
    </w:p>
    <w:p>
      <w:pPr>
        <w:keepLines/>
        <w:spacing w:line="252" w:lineRule="auto" w:after="120"/>
        <w:ind w:left="432" w:hanging="432"/>
      </w:pPr>
      <w:r>
        <w:rPr>
          <w:sz w:val="22"/>
        </w:rPr>
        <w:t xml:space="preserve">Hennink, M., &amp; Kaiser, B. N. (2022). Sample sizes for saturation in qualitative research: A systematic review of empirical tests. </w:t>
      </w:r>
      <w:r>
        <w:rPr>
          <w:i/>
          <w:sz w:val="22"/>
        </w:rPr>
        <w:t>Social Science &amp; Medicine, 292</w:t>
      </w:r>
      <w:r>
        <w:rPr>
          <w:sz w:val="22"/>
        </w:rPr>
        <w:t>, 114523. https://doi.org/10.1016/j.socscimed.2021.114523</w:t>
      </w:r>
    </w:p>
    <w:p>
      <w:pPr>
        <w:keepLines/>
        <w:spacing w:line="252" w:lineRule="auto" w:after="120"/>
        <w:ind w:left="432" w:hanging="432"/>
      </w:pPr>
      <w:r>
        <w:rPr>
          <w:sz w:val="22"/>
        </w:rPr>
        <w:t xml:space="preserve">Kingdom of Saudi Arabia. (2010). </w:t>
      </w:r>
      <w:r>
        <w:rPr>
          <w:i/>
          <w:sz w:val="22"/>
        </w:rPr>
        <w:t>Law of ethics of research on living things</w:t>
      </w:r>
      <w:r>
        <w:rPr>
          <w:sz w:val="22"/>
        </w:rPr>
        <w:t xml:space="preserve"> (Royal Decree No. M/59). https://laws.boe.gov.sa/BoeLaws/Laws/LawDetails/fad7b0d1-e536-46ea-8202-a9a700f28b03/2</w:t>
      </w:r>
    </w:p>
    <w:p>
      <w:pPr>
        <w:keepLines/>
        <w:spacing w:line="252" w:lineRule="auto" w:after="120"/>
        <w:ind w:left="432" w:hanging="432"/>
      </w:pPr>
      <w:r>
        <w:rPr>
          <w:sz w:val="22"/>
        </w:rPr>
        <w:t xml:space="preserve">Kingdom of Saudi Arabia. (2021). </w:t>
      </w:r>
      <w:r>
        <w:rPr>
          <w:i/>
          <w:sz w:val="22"/>
        </w:rPr>
        <w:t>Personal data protection law</w:t>
      </w:r>
      <w:r>
        <w:rPr>
          <w:sz w:val="22"/>
        </w:rPr>
        <w:t xml:space="preserve"> (Royal Decree No. M/19, as amended by Royal Decree No. M/148 of 2023). https://misa.gov.sa/app/uploads/2025/08/PersonalDataProtectionLaw.pdf</w:t>
      </w:r>
    </w:p>
    <w:p>
      <w:pPr>
        <w:keepLines/>
        <w:spacing w:line="252" w:lineRule="auto" w:after="120"/>
        <w:ind w:left="432" w:hanging="432"/>
      </w:pPr>
      <w:r>
        <w:rPr>
          <w:sz w:val="22"/>
        </w:rPr>
        <w:t xml:space="preserve">Kohanová, D., Kirwan, M., Bartoníčková, D., Gurková, E., &amp; Žiaková, K. (2024). Examining the perspectives of nurse managers on missed nursing care in surgical units. </w:t>
      </w:r>
      <w:r>
        <w:rPr>
          <w:i/>
          <w:sz w:val="22"/>
        </w:rPr>
        <w:t>The Journal of Nursing Administration, 54</w:t>
      </w:r>
      <w:r>
        <w:rPr>
          <w:sz w:val="22"/>
        </w:rPr>
        <w:t>(3), 148–153. https://doi.org/10.1097/NNA.0000000000001399</w:t>
      </w:r>
    </w:p>
    <w:p>
      <w:pPr>
        <w:keepLines/>
        <w:spacing w:line="252" w:lineRule="auto" w:after="120"/>
        <w:ind w:left="432" w:hanging="432"/>
      </w:pPr>
      <w:r>
        <w:rPr>
          <w:sz w:val="22"/>
        </w:rPr>
        <w:t xml:space="preserve">Lee, S. E., Dahinten, V. S., Ji, H., Kim, E., &amp; Lee, H. (2022). Motivators and inhibitors of nurses’ speaking up behaviours: A descriptive qualitative study. </w:t>
      </w:r>
      <w:r>
        <w:rPr>
          <w:i/>
          <w:sz w:val="22"/>
        </w:rPr>
        <w:t>Journal of Advanced Nursing, 78</w:t>
      </w:r>
      <w:r>
        <w:rPr>
          <w:sz w:val="22"/>
        </w:rPr>
        <w:t>(10), 3398–3408. https://doi.org/10.1111/jan.15343</w:t>
      </w:r>
    </w:p>
    <w:p>
      <w:pPr>
        <w:keepLines/>
        <w:spacing w:line="252" w:lineRule="auto" w:after="120"/>
        <w:ind w:left="432" w:hanging="432"/>
      </w:pPr>
      <w:r>
        <w:rPr>
          <w:sz w:val="22"/>
        </w:rPr>
        <w:t xml:space="preserve">Malterud, K., Siersma, V. D., &amp; Guassora, A. D. (2016). Sample size in qualitative interview studies: Guided by information power. </w:t>
      </w:r>
      <w:r>
        <w:rPr>
          <w:i/>
          <w:sz w:val="22"/>
        </w:rPr>
        <w:t>Qualitative Health Research, 26</w:t>
      </w:r>
      <w:r>
        <w:rPr>
          <w:sz w:val="22"/>
        </w:rPr>
        <w:t>(13), 1753–1760. https://doi.org/10.1177/1049732315617444</w:t>
      </w:r>
    </w:p>
    <w:p>
      <w:pPr>
        <w:keepLines/>
        <w:spacing w:line="252" w:lineRule="auto" w:after="120"/>
        <w:ind w:left="432" w:hanging="432"/>
      </w:pPr>
      <w:r>
        <w:rPr>
          <w:sz w:val="22"/>
        </w:rPr>
        <w:t xml:space="preserve">Martin, G. P., Aveling, E.-L., Campbell, A., Tarrant, C., Pronovost, P. J., Mitchell, I., Dankers, C., Bates, D., &amp; Dixon-Woods, M. (2018). Making soft intelligence hard: A multi-site qualitative study of challenges relating to voice about safety concerns. </w:t>
      </w:r>
      <w:r>
        <w:rPr>
          <w:i/>
          <w:sz w:val="22"/>
        </w:rPr>
        <w:t>BMJ Quality &amp; Safety, 27</w:t>
      </w:r>
      <w:r>
        <w:rPr>
          <w:sz w:val="22"/>
        </w:rPr>
        <w:t>(9), 710–717. https://doi.org/10.1136/bmjqs-2017-007579</w:t>
      </w:r>
    </w:p>
    <w:p>
      <w:pPr>
        <w:keepLines/>
        <w:spacing w:line="252" w:lineRule="auto" w:after="120"/>
        <w:ind w:left="432" w:hanging="432"/>
      </w:pPr>
      <w:r>
        <w:rPr>
          <w:sz w:val="22"/>
        </w:rPr>
        <w:t xml:space="preserve">Martin, G. P., McKee, L., &amp; Dixon-Woods, M. (2015). Beyond metrics? Utilizing ‘soft intelligence’ for healthcare quality and safety. </w:t>
      </w:r>
      <w:r>
        <w:rPr>
          <w:i/>
          <w:sz w:val="22"/>
        </w:rPr>
        <w:t>Social Science &amp; Medicine, 142</w:t>
      </w:r>
      <w:r>
        <w:rPr>
          <w:sz w:val="22"/>
        </w:rPr>
        <w:t>, 19–26. https://doi.org/10.1016/j.socscimed.2015.07.027</w:t>
      </w:r>
    </w:p>
    <w:p>
      <w:pPr>
        <w:keepLines/>
        <w:spacing w:line="252" w:lineRule="auto" w:after="120"/>
        <w:ind w:left="432" w:hanging="432"/>
      </w:pPr>
      <w:r>
        <w:rPr>
          <w:sz w:val="22"/>
        </w:rPr>
        <w:t xml:space="preserve">O’Brien, B. C., Harris, I. B., Beckman, T. J., Reed, D. A., &amp; Cook, D. A. (2014). Standards for reporting qualitative research: A synthesis of recommendations. </w:t>
      </w:r>
      <w:r>
        <w:rPr>
          <w:i/>
          <w:sz w:val="22"/>
        </w:rPr>
        <w:t>Academic Medicine, 89</w:t>
      </w:r>
      <w:r>
        <w:rPr>
          <w:sz w:val="22"/>
        </w:rPr>
        <w:t>(9), 1245–1251. https://doi.org/10.1097/ACM.0000000000000388</w:t>
      </w:r>
    </w:p>
    <w:p>
      <w:pPr>
        <w:keepLines/>
        <w:spacing w:line="252" w:lineRule="auto" w:after="120"/>
        <w:ind w:left="432" w:hanging="432"/>
      </w:pPr>
      <w:r>
        <w:rPr>
          <w:sz w:val="22"/>
        </w:rPr>
        <w:t xml:space="preserve">Olmos-Vega, F. M., Stalmeijer, R. E., Varpio, L., &amp; Kahlke, R. (2023). A practical guide to reflexivity in qualitative research: AMEE Guide No. 149. </w:t>
      </w:r>
      <w:r>
        <w:rPr>
          <w:i/>
          <w:sz w:val="22"/>
        </w:rPr>
        <w:t>Medical Teacher, 45</w:t>
      </w:r>
      <w:r>
        <w:rPr>
          <w:sz w:val="22"/>
        </w:rPr>
        <w:t>(3), 241–251. https://doi.org/10.1080/0142159X.2022.2057287</w:t>
      </w:r>
    </w:p>
    <w:p>
      <w:pPr>
        <w:keepLines/>
        <w:spacing w:line="252" w:lineRule="auto" w:after="120"/>
        <w:ind w:left="432" w:hanging="432"/>
      </w:pPr>
      <w:r>
        <w:rPr>
          <w:sz w:val="22"/>
        </w:rPr>
        <w:t xml:space="preserve">Rietze, L. L., Purkis, M. E., Stajduhar, K. I., &amp; Cloutier, D. S. (2026). The sounds of silence: Problematizing voicelessness in nursing practice. </w:t>
      </w:r>
      <w:r>
        <w:rPr>
          <w:i/>
          <w:sz w:val="22"/>
        </w:rPr>
        <w:t>Nursing Inquiry, 33</w:t>
      </w:r>
      <w:r>
        <w:rPr>
          <w:sz w:val="22"/>
        </w:rPr>
        <w:t>(1), e70070. https://doi.org/10.1111/nin.70070</w:t>
      </w:r>
    </w:p>
    <w:p>
      <w:pPr>
        <w:keepLines/>
        <w:spacing w:line="252" w:lineRule="auto" w:after="120"/>
        <w:ind w:left="432" w:hanging="432"/>
      </w:pPr>
      <w:r>
        <w:rPr>
          <w:sz w:val="22"/>
        </w:rPr>
        <w:t xml:space="preserve">Saudi Patient Safety Center. (2025). </w:t>
      </w:r>
      <w:r>
        <w:rPr>
          <w:i/>
          <w:sz w:val="22"/>
        </w:rPr>
        <w:t>Patient safety standards book</w:t>
      </w:r>
      <w:r>
        <w:rPr>
          <w:sz w:val="22"/>
        </w:rPr>
        <w:t xml:space="preserve"> (Version 1.0). https://resources.spsc.gov.sa/pss.pdf</w:t>
      </w:r>
    </w:p>
    <w:p>
      <w:pPr>
        <w:keepLines/>
        <w:spacing w:line="252" w:lineRule="auto" w:after="120"/>
        <w:ind w:left="432" w:hanging="432"/>
      </w:pPr>
      <w:r>
        <w:rPr>
          <w:sz w:val="22"/>
        </w:rPr>
        <w:t xml:space="preserve">Seo, J.-K., &amp; Lee, S. E. (2022). Hospital management, supervisor support and nurse speaking-up behaviours: The mediating role of safety culture perception. </w:t>
      </w:r>
      <w:r>
        <w:rPr>
          <w:i/>
          <w:sz w:val="22"/>
        </w:rPr>
        <w:t>Journal of Nursing Management, 30</w:t>
      </w:r>
      <w:r>
        <w:rPr>
          <w:sz w:val="22"/>
        </w:rPr>
        <w:t>(7), 3160–3167. https://doi.org/10.1111/jonm.13737</w:t>
      </w:r>
    </w:p>
    <w:p>
      <w:pPr>
        <w:keepLines/>
        <w:spacing w:line="252" w:lineRule="auto" w:after="120"/>
        <w:ind w:left="432" w:hanging="432"/>
      </w:pPr>
      <w:r>
        <w:rPr>
          <w:sz w:val="22"/>
        </w:rPr>
        <w:t xml:space="preserve">Smith, B., &amp; McGannon, K. R. (2018). Developing rigor in qualitative research: Problems and opportunities within sport and exercise psychology. </w:t>
      </w:r>
      <w:r>
        <w:rPr>
          <w:i/>
          <w:sz w:val="22"/>
        </w:rPr>
        <w:t>International Review of Sport and Exercise Psychology, 11</w:t>
      </w:r>
      <w:r>
        <w:rPr>
          <w:sz w:val="22"/>
        </w:rPr>
        <w:t>(1), 101–121. https://doi.org/10.1080/1750984X.2017.1317357</w:t>
      </w:r>
    </w:p>
    <w:p>
      <w:pPr>
        <w:keepLines/>
        <w:spacing w:line="252" w:lineRule="auto" w:after="120"/>
        <w:ind w:left="432" w:hanging="432"/>
      </w:pPr>
      <w:r>
        <w:rPr>
          <w:sz w:val="22"/>
        </w:rPr>
        <w:t xml:space="preserve">Squires, A. (2009). Methodological challenges in cross-language qualitative research: A research review. </w:t>
      </w:r>
      <w:r>
        <w:rPr>
          <w:i/>
          <w:sz w:val="22"/>
        </w:rPr>
        <w:t>International Journal of Nursing Studies, 46</w:t>
      </w:r>
      <w:r>
        <w:rPr>
          <w:sz w:val="22"/>
        </w:rPr>
        <w:t>(2), 277–287. https://doi.org/10.1016/j.ijnurstu.2008.08.006</w:t>
      </w:r>
    </w:p>
    <w:p>
      <w:pPr>
        <w:keepLines/>
        <w:spacing w:line="252" w:lineRule="auto" w:after="120"/>
        <w:ind w:left="432" w:hanging="432"/>
      </w:pPr>
      <w:r>
        <w:rPr>
          <w:sz w:val="22"/>
        </w:rPr>
        <w:t xml:space="preserve">Thorne, S. (2025). </w:t>
      </w:r>
      <w:r>
        <w:rPr>
          <w:i/>
          <w:sz w:val="22"/>
        </w:rPr>
        <w:t>Interpretive description: Qualitative research for applied practice</w:t>
      </w:r>
      <w:r>
        <w:rPr>
          <w:sz w:val="22"/>
        </w:rPr>
        <w:t xml:space="preserve"> (3rd ed.). Routledge. https://doi.org/10.4324/9781003503538</w:t>
      </w:r>
    </w:p>
    <w:p>
      <w:pPr>
        <w:keepLines/>
        <w:spacing w:line="252" w:lineRule="auto" w:after="120"/>
        <w:ind w:left="432" w:hanging="432"/>
      </w:pPr>
      <w:r>
        <w:rPr>
          <w:sz w:val="22"/>
        </w:rPr>
        <w:t xml:space="preserve">Tong, A., Sainsbury, P., &amp; Craig, J. (2007). Consolidated criteria for reporting qualitative research (COREQ): A 32-item checklist for interviews and focus groups. </w:t>
      </w:r>
      <w:r>
        <w:rPr>
          <w:i/>
          <w:sz w:val="22"/>
        </w:rPr>
        <w:t>International Journal for Quality in Health Care, 19</w:t>
      </w:r>
      <w:r>
        <w:rPr>
          <w:sz w:val="22"/>
        </w:rPr>
        <w:t>(6), 349–357. https://doi.org/10.1093/intqhc/mzm042</w:t>
      </w:r>
    </w:p>
    <w:p>
      <w:pPr>
        <w:keepLines/>
        <w:spacing w:line="252" w:lineRule="auto" w:after="120"/>
        <w:ind w:left="432" w:hanging="432"/>
      </w:pPr>
      <w:r>
        <w:rPr>
          <w:sz w:val="22"/>
        </w:rPr>
        <w:t xml:space="preserve">World Medical Association. (2025). World Medical Association Declaration of Helsinki: Ethical principles for medical research involving human participants. </w:t>
      </w:r>
      <w:r>
        <w:rPr>
          <w:i/>
          <w:sz w:val="22"/>
        </w:rPr>
        <w:t>JAMA, 333</w:t>
      </w:r>
      <w:r>
        <w:rPr>
          <w:sz w:val="22"/>
        </w:rPr>
        <w:t>(1), 71–74. https://doi.org/10.1001/jama.2024.21972</w:t>
      </w:r>
    </w:p>
    <w:p>
      <w:pPr>
        <w:keepLines/>
        <w:spacing w:line="252" w:lineRule="auto" w:after="120"/>
        <w:ind w:left="432" w:hanging="432"/>
      </w:pPr>
      <w:r>
        <w:rPr>
          <w:sz w:val="22"/>
        </w:rPr>
        <w:t xml:space="preserve">Young, L., Johnson, A. H., Reeder, B. P., &amp; Vogelsmeier, A. (2025). From an informatics lens: Dashboards for hospital nurse managers influencing unit patient outcomes. </w:t>
      </w:r>
      <w:r>
        <w:rPr>
          <w:i/>
          <w:sz w:val="22"/>
        </w:rPr>
        <w:t>CIN: Computers, Informatics, Nursing, 43</w:t>
      </w:r>
      <w:r>
        <w:rPr>
          <w:sz w:val="22"/>
        </w:rPr>
        <w:t>(2), e01212. https://doi.org/10.1097/CIN.0000000000001212</w:t>
      </w:r>
    </w:p>
    <w:sectPr w:rsidR="00FC693F" w:rsidRPr="0006063C" w:rsidSect="00034616">
      <w:footerReference w:type="default" r:id="rId9"/>
      <w:headerReference w:type="default" r:id="rId10"/>
      <w:pgSz w:w="12240" w:h="15840"/>
      <w:pgMar w:top="1152" w:right="1440" w:bottom="1152" w:left="144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i/>
        <w:color w:val="808080"/>
        <w:sz w:val="16"/>
      </w:rPr>
      <w:t>Educational example — illustrative data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cstheme="minorBidi"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76" w:lineRule="auto"/>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120" w:line="276" w:lineRule="auto"/>
      <w:outlineLvl w:val="0"/>
    </w:pPr>
    <w:rPr>
      <w:rFonts w:cstheme="majorBidi"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20" w:line="276" w:lineRule="auto"/>
      <w:outlineLvl w:val="1"/>
    </w:pPr>
    <w:rPr>
      <w:rFonts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widowControl/>
      <w:spacing w:before="200" w:after="120" w:line="276" w:lineRule="auto"/>
      <w:outlineLvl w:val="2"/>
    </w:pPr>
    <w:rPr>
      <w:rFonts w:cstheme="majorBidi"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cstheme="majorBidi"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stheme="majorBidi"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cstheme="majorBidi"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cstheme="majorBidi"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stheme="majorBidi"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cstheme="majorBidi"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cstheme="majorBidi"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cstheme="majorBidi"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cstheme="majorBidi"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20" w:line="276" w:lineRule="auto" w:before="0"/>
      <w:contextualSpacing/>
    </w:pPr>
    <w:rPr>
      <w:rFonts w:cstheme="majorBidi" w:ascii="Times New Roman" w:hAnsi="Times New Roman"/>
      <w:b/>
      <w:color w:val="000000"/>
      <w:kern w:val="28"/>
      <w:sz w:val="28"/>
      <w:szCs w:val="52"/>
    </w:rPr>
  </w:style>
  <w:style w:type="character" w:customStyle="1" w:styleId="TitleChar">
    <w:name w:val="Title Char"/>
    <w:basedOn w:val="DefaultParagraphFont"/>
    <w:link w:val="Title"/>
    <w:uiPriority w:val="10"/>
    <w:rsid w:val="00FC693F"/>
    <w:rPr>
      <w:rFonts w:cstheme="majorBidi" w:ascii="Times New Roman" w:hAnsi="Times New Roman"/>
      <w:color w:val="17365D" w:themeColor="text2" w:themeShade="BF"/>
      <w:kern w:val="28"/>
      <w:sz w:val="52"/>
      <w:szCs w:val="52"/>
    </w:rPr>
  </w:style>
  <w:style w:type="paragraph" w:styleId="Subtitle">
    <w:name w:val="Subtitle"/>
    <w:basedOn w:val="Normal"/>
    <w:next w:val="Normal"/>
    <w:link w:val="SubtitleChar"/>
    <w:uiPriority w:val="11"/>
    <w:qFormat/>
    <w:rsid w:val="00FC693F"/>
    <w:pPr>
      <w:widowControl/>
      <w:numPr>
        <w:ilvl w:val="1"/>
      </w:numPr>
      <w:spacing w:after="120" w:line="276" w:lineRule="auto"/>
    </w:pPr>
    <w:rPr>
      <w:rFonts w:cstheme="majorBidi" w:ascii="Times New Roman" w:hAnsi="Times New Roman"/>
      <w:i w:val="0"/>
      <w:iCs/>
      <w:color w:val="000000"/>
      <w:sz w:val="24"/>
      <w:szCs w:val="24"/>
    </w:rPr>
  </w:style>
  <w:style w:type="character" w:customStyle="1" w:styleId="SubtitleChar">
    <w:name w:val="Subtitle Char"/>
    <w:basedOn w:val="DefaultParagraphFont"/>
    <w:link w:val="Subtitle"/>
    <w:uiPriority w:val="11"/>
    <w:rsid w:val="00FC693F"/>
    <w:rPr>
      <w:rFonts w:cstheme="majorBidi" w:ascii="Times New Roman" w:hAnsi="Times New Roman"/>
      <w:i/>
      <w:iCs/>
      <w:color w:val="4F81BD" w:themeColor="accent1"/>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after="120" w:line="276" w:lineRule="auto"/>
      <w:contextualSpacing/>
    </w:pPr>
    <w:rPr>
      <w:rFonts w:ascii="Times New Roman" w:hAnsi="Times New Roman"/>
      <w:color w:val="000000"/>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after="120" w:line="276" w:lineRule="auto"/>
      <w:contextualSpacing/>
    </w:pPr>
    <w:rPr>
      <w:rFonts w:ascii="Times New Roman" w:hAnsi="Times New Roman"/>
      <w:color w:val="000000"/>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cstheme="majorBidi"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cstheme="majorBidi"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cstheme="majorBidi"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cstheme="majorBidi"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cstheme="majorBidi"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cstheme="majorBidi"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u w:val="single"/>
    </w:rPr>
  </w:style>
  <w:style w:type="character" w:styleId="BookTitle">
    <w:name w:val="Book Title"/>
    <w:basedOn w:val="DefaultParagraphFont"/>
    <w:uiPriority w:val="33"/>
    <w:qFormat/>
    <w:rsid w:val="00FC693F"/>
    <w:rPr>
      <w:b/>
      <w:bCs/>
      <w:smallCaps/>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cstheme="majorBidi"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cstheme="majorBidi"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cstheme="majorBidi"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cstheme="majorBidi"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cstheme="majorBidi"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cstheme="majorBidi"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cstheme="majorBidi"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Burden of Proof: Unit-Level Nurse Managers’ Judgements and Responses to Nurses’ Care Concerns When Quality Indicators Appear Reassuring—An Interpretive Description</dc:title>
  <dc:subject/>
  <dc:creator/>
  <cp:keywords/>
  <dc:description>Educational example with illustrative data.</dc:description>
  <cp:lastModifiedBy/>
  <cp:revision>1</cp:revision>
  <dcterms:created xsi:type="dcterms:W3CDTF">2013-12-23T23:15:00Z</dcterms:created>
  <dcterms:modified xsi:type="dcterms:W3CDTF">2013-12-23T23:15:00Z</dcterms:modified>
  <cp:category/>
</cp:coreProperties>
</file>