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3</w:t>
      </w:r>
    </w:p>
    <w:p>
      <w:pPr>
        <w:pStyle w:val="Subtitle"/>
      </w:pPr>
      <w:r>
        <w:t>Eligibility, Data Management and Ethical Safeguards</w:t>
      </w:r>
    </w:p>
    <w:p>
      <w:pPr/>
      <w:r>
        <w:t>Study: The Burden of Proof: Unit-Level Nurse Managers’ Judgements and Responses to Nurses’ Care Concerns When Quality Indicators Appear Reassuring—An Interpretive Description</w:t>
      </w:r>
    </w:p>
    <w:p>
      <w:pPr/>
      <w:r>
        <w:t>Ethics approval: Institutional Review Board, King Abdulaziz Specialist Hospital, Aljouf Health Cluster (committee registration H-13-S-161); approval No. 9804, 26 December 2025.</w:t>
      </w:r>
    </w:p>
    <w:p>
      <w:pPr/>
      <w:r>
        <w:t>This file details eligibility, recruitment, data management and ethical safeguards summarised in Sections 2.2–2.6 and 2.9 of the manuscript.</w:t>
      </w:r>
    </w:p>
    <w:p>
      <w:pPr>
        <w:pStyle w:val="Heading1"/>
      </w:pPr>
      <w:r>
        <w:t>S3.1 Eligibility criteria</w:t>
      </w:r>
    </w:p>
    <w:p>
      <w:pPr>
        <w:keepNext/>
      </w:pPr>
      <w:r>
        <w:t>Table S3.1. Inclusion and exclusion criteria with rationale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4824"/>
        <w:gridCol w:w="4536"/>
      </w:tblGrid>
      <w:tr>
        <w:trPr>
          <w:tblHeader/>
          <w:cantSplit/>
          <w:tblHeader/>
        </w:trPr>
        <w:tc>
          <w:tcPr>
            <w:tcW w:type="dxa" w:w="482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Criterion</w:t>
            </w:r>
          </w:p>
        </w:tc>
        <w:tc>
          <w:tcPr>
            <w:tcW w:type="dxa" w:w="453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Rationale</w:t>
            </w:r>
          </w:p>
        </w:tc>
      </w:tr>
      <w:tr>
        <w:trPr>
          <w:cantSplit/>
        </w:trPr>
        <w:tc>
          <w:tcPr>
            <w:tcW w:type="dxa" w:w="4824"/>
            <w:gridSpan w:val="2"/>
            <w:shd w:fill="F2F2F2" w:color="auto" w:val="clear"/>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Inclusion criteria</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Registered nurse</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The study concerns nursing management judgement.</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Substantive head nurse or nurse manager post with 24-hour accountability for a clinical inpatient, critical care or emergency unit</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Ensures formal responsibility for receiving and responding to nurses’ care concerns at unit level.</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At least six months in the current managerial role</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Provides experience of repeated indicator-reporting and review cycles in the current role.</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Unit reports routine quality indicators to the hospital quality department</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Indicators are necessary for the phenomenon of interest: concerns raised while indicators appear reassuring.</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Able to be interviewed in Arabic or English</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Interviews were conducted in the participant’s preferred language by a bilingual interviewer.</w:t>
            </w:r>
          </w:p>
        </w:tc>
      </w:tr>
      <w:tr>
        <w:trPr>
          <w:cantSplit/>
        </w:trPr>
        <w:tc>
          <w:tcPr>
            <w:tcW w:type="dxa" w:w="4824"/>
            <w:gridSpan w:val="2"/>
            <w:shd w:fill="F2F2F2" w:color="auto" w:val="clear"/>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Exclusion criteria</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No substantive eligible unit-manager post, or fewer than six months in the current post</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Does not meet the substantive-post or minimum-experience inclusion criterion.</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Manager of a non-clinical or outpatient-only area</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Inpatient indicator reporting and 24-hour accountability do not apply in the same way.</w:t>
            </w:r>
          </w:p>
        </w:tc>
      </w:tr>
      <w:tr>
        <w:trPr>
          <w:cantSplit/>
        </w:trPr>
        <w:tc>
          <w:tcPr>
            <w:tcW w:type="dxa" w:w="48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Current supervisory, employment or academic relationship with a member of the research team</w:t>
            </w:r>
          </w:p>
        </w:tc>
        <w:tc>
          <w:tcPr>
            <w:tcW w:type="dxa" w:w="45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Avoids coercion, power imbalance and compromised confidentiality.</w:t>
            </w:r>
          </w:p>
        </w:tc>
      </w:tr>
    </w:tbl>
    <w:p>
      <w:pPr/>
      <w:r>
        <w:t>Eligibility did not require experience of a particular type of incident. Accounts were classified during analysis according to whether a qualifying incident was described (Methods, Section 2.7).</w:t>
      </w:r>
    </w:p>
    <w:p>
      <w:pPr>
        <w:pStyle w:val="Heading1"/>
      </w:pPr>
      <w:r>
        <w:t>S3.2 Recruitment and participation</w:t>
      </w:r>
    </w:p>
    <w:p>
      <w:pPr>
        <w:keepNext/>
      </w:pPr>
      <w:r>
        <w:t>Table S3.2. Recruitment flow (January–June 2026)</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8496"/>
        <w:gridCol w:w="864"/>
      </w:tblGrid>
      <w:tr>
        <w:trPr>
          <w:tblHeader/>
          <w:cantSplit/>
          <w:tblHeader/>
        </w:trPr>
        <w:tc>
          <w:tcPr>
            <w:tcW w:type="dxa" w:w="849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Stage</w:t>
            </w:r>
          </w:p>
        </w:tc>
        <w:tc>
          <w:tcPr>
            <w:tcW w:type="dxa" w:w="86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n</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Eligible unit-level nurse managers across six hospitals (number and unit types provided anonymously by Directors of Nursing)</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38</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Received a standard invitation by official hospital email from the Director of Nursing</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38</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Did not respond (no reasons sought)</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9</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Volunteered by contacting the research team directly</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29</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Not interviewed: could not be scheduled because of annual leave</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Not interviewed: withdrew before interview, citing workload</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1</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Not interviewed: volunteered after interpretive sufficiency was reached (thanked and told that recruitment had closed)</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3</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Interviewed and included in analysis</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23</w:t>
            </w:r>
          </w:p>
        </w:tc>
      </w:tr>
      <w:tr>
        <w:trPr>
          <w:cantSplit/>
        </w:trPr>
        <w:tc>
          <w:tcPr>
            <w:tcW w:type="dxa" w:w="849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Withdrew after interview</w:t>
            </w:r>
          </w:p>
        </w:tc>
        <w:tc>
          <w:tcPr>
            <w:tcW w:type="dxa" w:w="86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0</w:t>
            </w:r>
          </w:p>
        </w:tc>
      </w:tr>
    </w:tbl>
    <w:p>
      <w:pPr>
        <w:keepNext/>
      </w:pPr>
      <w:r>
        <w:t>Table S3.3. Sample by hospital and unit type (each dimension represented; not every combination)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736"/>
        <w:gridCol w:w="6624"/>
      </w:tblGrid>
      <w:tr>
        <w:trPr>
          <w:tblHeader/>
          <w:cantSplit/>
          <w:tblHeader/>
        </w:trPr>
        <w:tc>
          <w:tcPr>
            <w:tcW w:type="dxa" w:w="273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Dimension</w:t>
            </w:r>
          </w:p>
        </w:tc>
        <w:tc>
          <w:tcPr>
            <w:tcW w:type="dxa" w:w="662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Distribution</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Hospitals (H1–H6)</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Three to five participants per hospital; all six represented</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Unit type</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Medical 5; surgical 5; critical care 5; emergency 3; maternity 3; paediatric 2</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 language</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Arabic 14; English 9</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Interview format</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Face to face 18; video 5</w:t>
            </w:r>
          </w:p>
        </w:tc>
      </w:tr>
    </w:tbl>
    <w:p>
      <w:pPr>
        <w:pStyle w:val="Heading1"/>
      </w:pPr>
      <w:r>
        <w:t>S3.3 Data management procedures</w:t>
      </w:r>
    </w:p>
    <w:p>
      <w:pPr/>
      <w:r>
        <w:t>Study data were managed within the Saudi Personal Data Protection Law framework, including its 2023 amendments (Kingdom of Saudi Arabia, 2021), and institutional policy. Recordings, transcripts and analytic files were stored on an institutional drive hosted in Saudi Arabia. No automated transcription or generative-AI tools were used in data handling or analysis.</w:t>
      </w:r>
    </w:p>
    <w:p>
      <w:pPr>
        <w:keepNext/>
      </w:pPr>
      <w:r>
        <w:t>Table S3.4. Data life cycle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1512"/>
        <w:gridCol w:w="3888"/>
        <w:gridCol w:w="1584"/>
        <w:gridCol w:w="2376"/>
      </w:tblGrid>
      <w:tr>
        <w:trPr>
          <w:tblHeader/>
          <w:cantSplit/>
          <w:tblHeader/>
        </w:trPr>
        <w:tc>
          <w:tcPr>
            <w:tcW w:type="dxa" w:w="1512"/>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Stage</w:t>
            </w:r>
          </w:p>
        </w:tc>
        <w:tc>
          <w:tcPr>
            <w:tcW w:type="dxa" w:w="3888"/>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Procedure</w:t>
            </w:r>
          </w:p>
        </w:tc>
        <w:tc>
          <w:tcPr>
            <w:tcW w:type="dxa" w:w="158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Role</w:t>
            </w:r>
          </w:p>
        </w:tc>
        <w:tc>
          <w:tcPr>
            <w:tcW w:type="dxa" w:w="237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Safeguard</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Consent and identification</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Paper consent forms signed before interview. Each participant given a code (P01–P23) and each hospital a code (H1–H6). Identification key created.</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Consent forms in a locked cabinet; key in a separate encrypted file</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Questionnaire</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Paper questionnaire labelled with codes only and entered into a coded spreadsheet.</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Stored separately from consent forms</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Recording</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Audio recorded on two encrypted digital recorders (video interviews recorded as audio only).</w:t>
            </w:r>
            <w:r>
              <w:rPr>
                <w:rFonts w:ascii="Times New Roman" w:hAnsi="Times New Roman"/>
                <w:color w:val="000000"/>
                <w:sz w:val="20"/>
              </w:rPr>
              <w:t xml:space="preserve"> Video interviews used Microsoft Teams for the live connection only; no Teams recording or transcription function was used.</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Device encryption</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Transfer and storage</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Audio transferred on the day of interview to an encrypted, password-protected, institutionally managed drive, then deleted from the recorders.</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Access restricted to the research team; drive hosted in Saudi Arabia</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Transcription</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Verbatim transcription in the language of the interview by a professional bilingual transcriptionist based in Saudi Arabia (domestic transcription).</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Transcriber</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Signed confidentiality agreement; encrypted institutional device</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Verification and de-identification</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Each transcript checked against its audio. Direct identifiers and identifying contextual details replaced with codes or generic descriptors, retaining relevant non-identifying context.</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 verified and de-identified transcripts before sharing them for analysis or with support personnel</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Field notes</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Completed after each interview using the S1.8 template, with codes only.</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Stored with de-identified transcripts</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Analysis</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De-identified transcripts imported into NVivo 14. Memos, matrices and dated coding-framework versions retained.</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 R2 (R3 in meetings)</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Project file stored on the encrypted drive</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Translation of quotations</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Selected Arabic quotations translated by R1 and checked for conceptual equivalence.</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 bilingual translation checker</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De-identified excerpts only</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Peer debriefing and audit</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Audit trail reviewed after interview 12 and at the end of analysis.</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Auditor</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De-identified transcripts and analytic materials; confidentiality agreement</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Member reflection</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Two-page bilingual summary of preliminary interpretations emailed to all 23 participants; comments by email or brief call within three weeks (10 of 23 responded).</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Summary contained no individual quotations or identifiers</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Retention and destruction</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Audio deleted after transcript verification and de-identification, with deletion dates recorded in the audit trail. De-identified transcripts, analytic files and the audit trail retained for five years after publication, then securely destroyed. Other records: see Table S3.6.</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R1</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Institutional retention policy</w:t>
            </w:r>
          </w:p>
        </w:tc>
      </w:tr>
      <w:tr>
        <w:trPr>
          <w:cantSplit/>
        </w:trPr>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Data sharing</w:t>
            </w:r>
          </w:p>
        </w:tc>
        <w:tc>
          <w:tcPr>
            <w:tcW w:type="dxa" w:w="388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Transcripts not shared publicly because the participant population is small and identifiable.</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Research team</w:t>
            </w:r>
          </w:p>
        </w:tc>
        <w:tc>
          <w:tcPr>
            <w:tcW w:type="dxa" w:w="23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Protects participants from identification</w:t>
            </w:r>
          </w:p>
        </w:tc>
      </w:tr>
    </w:tbl>
    <w:p>
      <w:pPr>
        <w:keepNext/>
      </w:pPr>
      <w:r>
        <w:t>Table S3.5. Access to study data by role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880"/>
        <w:gridCol w:w="576"/>
        <w:gridCol w:w="576"/>
        <w:gridCol w:w="576"/>
        <w:gridCol w:w="1512"/>
        <w:gridCol w:w="1584"/>
        <w:gridCol w:w="1656"/>
      </w:tblGrid>
      <w:tr>
        <w:trPr>
          <w:tblHeader/>
          <w:cantSplit/>
          <w:tblHeader/>
        </w:trPr>
        <w:tc>
          <w:tcPr>
            <w:tcW w:type="dxa" w:w="2880"/>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Data item</w:t>
            </w:r>
          </w:p>
        </w:tc>
        <w:tc>
          <w:tcPr>
            <w:tcW w:type="dxa" w:w="57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R1</w:t>
            </w:r>
          </w:p>
        </w:tc>
        <w:tc>
          <w:tcPr>
            <w:tcW w:type="dxa" w:w="57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R2</w:t>
            </w:r>
          </w:p>
        </w:tc>
        <w:tc>
          <w:tcPr>
            <w:tcW w:type="dxa" w:w="57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R3</w:t>
            </w:r>
          </w:p>
        </w:tc>
        <w:tc>
          <w:tcPr>
            <w:tcW w:type="dxa" w:w="1512"/>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Transcriber</w:t>
            </w:r>
          </w:p>
        </w:tc>
        <w:tc>
          <w:tcPr>
            <w:tcW w:type="dxa" w:w="158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Translation checker</w:t>
            </w:r>
          </w:p>
        </w:tc>
        <w:tc>
          <w:tcPr>
            <w:tcW w:type="dxa" w:w="165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0"/>
              </w:rPr>
              <w:t>Methodologist</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Consent forms and identification key</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Audio recordings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 (until deletion)</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 (until transcribed)</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Identifiable transcripts (before de-identification)</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 (as produced)</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De-identified transcripts and field notes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Excerpts only</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r>
      <w:tr>
        <w:trPr>
          <w:cantSplit/>
        </w:trPr>
        <w:tc>
          <w:tcPr>
            <w:tcW w:type="dxa" w:w="2880"/>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NVivo project, memos and audit trail</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57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c>
          <w:tcPr>
            <w:tcW w:type="dxa" w:w="151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58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No</w:t>
            </w:r>
          </w:p>
        </w:tc>
        <w:tc>
          <w:tcPr>
            <w:tcW w:type="dxa" w:w="165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0"/>
              </w:rPr>
              <w:t>Yes</w:t>
            </w:r>
          </w:p>
        </w:tc>
      </w:tr>
    </w:tbl>
    <w:p>
      <w:pPr/>
      <w:r>
        <w:t>R1 = first author and principal investigator; R2 = second author; R3 = third author. Directors of Nursing and other hospital staff had no access to any study data and were not told who took part.</w:t>
      </w:r>
    </w:p>
    <w:p>
      <w:pPr>
        <w:keepNext/>
      </w:pPr>
      <w:r>
        <w:t>Table S3.6. Retention and destruction of study records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736"/>
        <w:gridCol w:w="6624"/>
      </w:tblGrid>
      <w:tr>
        <w:trPr>
          <w:tblHeader/>
          <w:cantSplit/>
          <w:tblHeader/>
        </w:trPr>
        <w:tc>
          <w:tcPr>
            <w:tcW w:type="dxa" w:w="2736"/>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Record</w:t>
            </w:r>
          </w:p>
        </w:tc>
        <w:tc>
          <w:tcPr>
            <w:tcW w:type="dxa" w:w="6624"/>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Retention and destruction</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Audio recordings</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Deleted after transcript verification and de-identification; deletion dates recorded in the audit trail.</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Consent forms</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Locked cabinet, separate from research data; retained for five years after publication, then confidentially shredded.</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Participant identification key</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Separate encrypted file accessible only to R1; retained for five years after publication, then securely deleted.</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Participant contact details (scheduling and member reflection)</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Deleted in August 2026 after member reflection closed.</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Transcriptionist working copies</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Audio and transcript files deleted on delivery of each transcript; deletion confirmed in writing in July 2026.</w:t>
            </w:r>
          </w:p>
        </w:tc>
      </w:tr>
      <w:tr>
        <w:trPr>
          <w:cantSplit/>
        </w:trPr>
        <w:tc>
          <w:tcPr>
            <w:tcW w:type="dxa" w:w="2736"/>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De-identified transcripts, analytic files and audit trail</w:t>
            </w:r>
          </w:p>
        </w:tc>
        <w:tc>
          <w:tcPr>
            <w:tcW w:type="dxa" w:w="6624"/>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Retained for five years after publication, then securely destroyed.</w:t>
            </w:r>
          </w:p>
        </w:tc>
      </w:tr>
    </w:tbl>
    <w:p>
      <w:pPr>
        <w:pStyle w:val="Heading1"/>
      </w:pPr>
      <w:r>
        <w:t>S3.4 Ethical approval and regulatory compliance</w:t>
      </w:r>
    </w:p>
    <w:p>
      <w:pPr>
        <w:pStyle w:val="ListBullet"/>
      </w:pPr>
      <w:r>
        <w:t>Ethics approval: Institutional Review Board, King Abdulaziz Specialist Hospital, Aljouf Health Cluster (committee registration H-13-S-161); approval No. 9804, dated 26 December 2025. The approval covered one interview per participant, domestic transcription, optional member reflection, and confidential access to de-identified transcripts by the research support roles.</w:t>
      </w:r>
    </w:p>
    <w:p>
      <w:pPr>
        <w:pStyle w:val="ListBullet"/>
      </w:pPr>
      <w:r>
        <w:t>Administrative permission: Granted in January 2026 by the regional healthcare directorate and by the medical and nursing directors of each participating hospital.</w:t>
      </w:r>
    </w:p>
    <w:p>
      <w:pPr>
        <w:pStyle w:val="ListBullet"/>
      </w:pPr>
      <w:r>
        <w:t>Frameworks: the ethical principles of the 2024 revision of the Declaration of Helsinki (World Medical Association, 2025); the Law of Ethics of Research on Living Things (Kingdom of Saudi Arabia, 2010); and the Personal Data Protection Law, as amended in 2023 (Kingdom of Saudi Arabia, 2021).</w:t>
      </w:r>
    </w:p>
    <w:p>
      <w:pPr>
        <w:pStyle w:val="Heading1"/>
      </w:pPr>
      <w:r>
        <w:t>S3.5 Informed consent process</w:t>
      </w:r>
    </w:p>
    <w:p>
      <w:pPr>
        <w:pStyle w:val="ListBullet"/>
      </w:pPr>
      <w:r>
        <w:t>The participant information sheet, in Arabic and English, was sent with the invitation. It explained the study purpose, voluntary participation, the single interview, audio recording, data handling, the optional member reflection, confidentiality arrangements, the safety-response procedure and the right to withdraw.</w:t>
      </w:r>
    </w:p>
    <w:p>
      <w:pPr>
        <w:pStyle w:val="ListBullet"/>
      </w:pPr>
      <w:r>
        <w:t>The approved information sheet and consent form specified no exceptions to confidentiality. The safety-response procedure (encouraging use of organisational reporting channels) did not involve disclosure by the researchers.</w:t>
      </w:r>
    </w:p>
    <w:p>
      <w:pPr>
        <w:pStyle w:val="ListBullet"/>
      </w:pPr>
      <w:r>
        <w:t>It stated that taking part or declining would not be disclosed to the employer and would have no effect on employment or appraisal.</w:t>
      </w:r>
    </w:p>
    <w:p>
      <w:pPr>
        <w:pStyle w:val="ListBullet"/>
      </w:pPr>
      <w:r>
        <w:t>Participants had at least 48 hours between receiving the information and the interview, and could ask the research team questions at any time.</w:t>
      </w:r>
    </w:p>
    <w:p>
      <w:pPr>
        <w:pStyle w:val="ListBullet"/>
      </w:pPr>
      <w:r>
        <w:t>Written informed consent was obtained before each interview. Consent to recording was reconfirmed verbally at the start of the recording.</w:t>
      </w:r>
    </w:p>
    <w:p>
      <w:pPr>
        <w:pStyle w:val="ListBullet"/>
      </w:pPr>
      <w:r>
        <w:t>Participants could withdraw their data without giving a reason until 14 days after their interview. De-identified data were subsequently incorporated into the interpretive analysis.</w:t>
      </w:r>
    </w:p>
    <w:p>
      <w:pPr>
        <w:pStyle w:val="ListBullet"/>
      </w:pPr>
      <w:r>
        <w:t>No incentives were offered.</w:t>
      </w:r>
    </w:p>
    <w:p>
      <w:pPr>
        <w:pStyle w:val="Heading1"/>
      </w:pPr>
      <w:r>
        <w:t>S3.6 Foreseeable risks and safeguards</w:t>
      </w:r>
    </w:p>
    <w:p>
      <w:pPr>
        <w:keepNext/>
      </w:pPr>
      <w:r>
        <w:t>Table S3.7. Risks and safeguards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3168"/>
        <w:gridCol w:w="6192"/>
      </w:tblGrid>
      <w:tr>
        <w:trPr>
          <w:tblHeader/>
          <w:cantSplit/>
          <w:tblHeader/>
        </w:trPr>
        <w:tc>
          <w:tcPr>
            <w:tcW w:type="dxa" w:w="3168"/>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Risk</w:t>
            </w:r>
          </w:p>
        </w:tc>
        <w:tc>
          <w:tcPr>
            <w:tcW w:type="dxa" w:w="6192"/>
            <w:shd w:fill="D9E2F3" w:color="auto" w:val="clear"/>
            <w:tcMar>
              <w:top w:type="dxa" w:w="60"/>
              <w:left w:type="dxa" w:w="90"/>
              <w:bottom w:type="dxa" w:w="60"/>
              <w:right w:type="dxa" w:w="90"/>
            </w:tcMar>
            <w:vAlign w:val="center"/>
            <w:tcMar>
              <w:top w:w="80" w:type="dxa"/>
              <w:left w:w="80" w:type="dxa"/>
              <w:bottom w:w="80" w:type="dxa"/>
              <w:right w:w="80" w:type="dxa"/>
            </w:tcMar>
            <w:shd w:fill="E7E6E6"/>
          </w:tcPr>
          <w:p>
            <w:pPr>
              <w:keepNext w:val="0"/>
              <w:spacing w:after="60" w:before="40" w:line="252" w:lineRule="auto"/>
            </w:pPr>
            <w:r>
              <w:rPr>
                <w:rFonts w:ascii="Times New Roman" w:hAnsi="Times New Roman"/>
                <w:b/>
                <w:color w:val="000000"/>
                <w:sz w:val="21"/>
              </w:rPr>
              <w:t>Safeguard</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Perceived pressure to take part because the invitation came through the Director of Nursing</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Directors acted only as gatekeepers and sent one standard invitation to all eligible managers.</w:t>
              <w:br/>
              <w:t>Volunteers contacted the research team directly.</w:t>
              <w:br/>
              <w:t>The information sheet stated that the decision would not be disclosed and would not affect employment.</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Gatekeepers or colleagues identifying who took part</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The research team arranged all scheduling directly with participants.</w:t>
              <w:br/>
              <w:t>Interview rooms were in non-clinical education or training areas, away from nursing administration, and booked under a generic study title without names.</w:t>
              <w:br/>
              <w:t>Off-site or video interviews were offered.</w:t>
              <w:br/>
              <w:t>Directors were not told who volunteered, who was interviewed or when.</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Identification in publications because the population is small and in one region</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Context and participant characteristics are described in aggregate.</w:t>
              <w:br/>
              <w:t>Quotations are attributed only by participant and hospital code.</w:t>
              <w:br/>
              <w:t>Unit-identifying details are removed or generalised.</w:t>
              <w:br/>
              <w:t>No quotation is reported with a combination of characteristics that could identify an individual.</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Professional or reputational harm from describing decisions that others might view critically</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Non-evaluative interviewing stance.</w:t>
              <w:br/>
              <w:t>Restricted disclosure and data access.</w:t>
              <w:br/>
              <w:t>Participants could skip questions, ask for statements to be removed, and withdraw within 14 days.</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Disclosure of an ongoing, unaddressed risk of serious harm to patients</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The consent discussion described encouragement to use organisational reporting channels if an ongoing, unaddressed risk of serious harm was disclosed.</w:t>
              <w:br/>
              <w:t>No such disclosure occurred.</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Emotional discomfort when recalling adverse or difficult events</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Participants could pause or stop at any time.</w:t>
              <w:br/>
              <w:t>Information about the hospital employee-support service was available.</w:t>
              <w:br/>
              <w:t>No participant needed this support.</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Breach of confidentiality by people outside the research team</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The transcriptionist and both support roles signed confidentiality agreements.</w:t>
              <w:br/>
              <w:t>Support roles accessed de-identified data only.</w:t>
              <w:br/>
              <w:t>No support role had any relationship with the study sites.</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Data breach or transfer of personal data outside Saudi Arabia</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Encrypted devices and an institutional drive hosted in Saudi Arabia.</w:t>
              <w:br/>
              <w:t>Domestic transcription.</w:t>
              <w:br/>
              <w:t xml:space="preserve">Research files stored on the institutional drive. </w:t>
            </w:r>
            <w:r>
              <w:rPr>
                <w:rFonts w:ascii="Times New Roman" w:hAnsi="Times New Roman"/>
                <w:color w:val="000000"/>
                <w:sz w:val="21"/>
              </w:rPr>
              <w:t>Video interviews used an institutionally licensed Microsoft Teams account for the live connection only and were audio-recorded on encrypted devices; no Teams recording or transcription function was used.</w:t>
            </w:r>
            <w:r>
              <w:rPr>
                <w:rFonts w:ascii="Times New Roman" w:hAnsi="Times New Roman"/>
                <w:color w:val="000000"/>
                <w:sz w:val="21"/>
              </w:rPr>
              <w:t xml:space="preserve"> No automated transcription or generative-AI tools were used in data handling or analysis.</w:t>
            </w:r>
          </w:p>
        </w:tc>
      </w:tr>
      <w:tr>
        <w:trPr>
          <w:cantSplit/>
        </w:trPr>
        <w:tc>
          <w:tcPr>
            <w:tcW w:type="dxa" w:w="3168"/>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Misrepresentation of participants’ meaning through translation</w:t>
            </w:r>
          </w:p>
        </w:tc>
        <w:tc>
          <w:tcPr>
            <w:tcW w:type="dxa" w:w="6192"/>
            <w:tcMar>
              <w:top w:type="dxa" w:w="60"/>
              <w:left w:type="dxa" w:w="90"/>
              <w:bottom w:type="dxa" w:w="60"/>
              <w:right w:type="dxa" w:w="90"/>
            </w:tcMar>
            <w:vAlign w:val="center"/>
            <w:tcMar>
              <w:top w:w="80" w:type="dxa"/>
              <w:left w:w="80" w:type="dxa"/>
              <w:bottom w:w="80" w:type="dxa"/>
              <w:right w:w="80" w:type="dxa"/>
            </w:tcMar>
            <w:shd w:fill="FFFFFF"/>
          </w:tcPr>
          <w:p>
            <w:pPr>
              <w:keepNext w:val="0"/>
              <w:spacing w:after="60" w:before="40" w:line="252" w:lineRule="auto"/>
            </w:pPr>
            <w:r>
              <w:rPr>
                <w:rFonts w:ascii="Times New Roman" w:hAnsi="Times New Roman"/>
                <w:color w:val="000000"/>
                <w:sz w:val="21"/>
              </w:rPr>
              <w:t>Arabic transcripts analysed in Arabic by bilingual analysts.</w:t>
              <w:br/>
              <w:t>Only reported quotations translated, and each checked for conceptual equivalence by a bilingual nurse researcher.</w:t>
            </w:r>
          </w:p>
        </w:tc>
      </w:tr>
    </w:tbl>
    <w:p>
      <w:pPr>
        <w:pStyle w:val="Heading1"/>
      </w:pPr>
      <w:r>
        <w:t>References</w:t>
      </w:r>
    </w:p>
    <w:p>
      <w:pPr>
        <w:keepNext/>
        <w:keepLines/>
        <w:spacing w:line="252" w:lineRule="auto" w:after="120"/>
        <w:ind w:left="432" w:hanging="432"/>
      </w:pPr>
      <w:r>
        <w:rPr>
          <w:sz w:val="22"/>
        </w:rPr>
        <w:t xml:space="preserve">Kingdom of Saudi Arabia. (2010). </w:t>
      </w:r>
      <w:r>
        <w:rPr>
          <w:i/>
          <w:sz w:val="22"/>
        </w:rPr>
        <w:t>Law of ethics of research on living things</w:t>
      </w:r>
      <w:r>
        <w:rPr>
          <w:sz w:val="22"/>
        </w:rPr>
        <w:t xml:space="preserve"> (Royal Decree No. M/59). https://laws.boe.gov.sa/BoeLaws/Laws/LawDetails/fad7b0d1-e536-46ea-8202-a9a700f28b03/2</w:t>
      </w:r>
    </w:p>
    <w:p>
      <w:pPr>
        <w:keepNext/>
        <w:keepLines/>
        <w:spacing w:line="252" w:lineRule="auto" w:after="120"/>
        <w:ind w:left="432" w:hanging="432"/>
      </w:pPr>
      <w:r>
        <w:rPr>
          <w:sz w:val="22"/>
        </w:rPr>
        <w:t xml:space="preserve">Kingdom of Saudi Arabia. (2021). </w:t>
      </w:r>
      <w:r>
        <w:rPr>
          <w:i/>
          <w:sz w:val="22"/>
        </w:rPr>
        <w:t>Personal data protection law</w:t>
      </w:r>
      <w:r>
        <w:rPr>
          <w:sz w:val="22"/>
        </w:rPr>
        <w:t xml:space="preserve"> (Royal Decree No. M/19, as amended by Royal Decree No. M/148 of 2023). https://misa.gov.sa/app/uploads/2025/08/PersonalDataProtectionLaw.pdf</w:t>
      </w:r>
    </w:p>
    <w:p>
      <w:pPr>
        <w:keepLines/>
        <w:spacing w:line="252" w:lineRule="auto" w:after="120"/>
        <w:ind w:left="432" w:hanging="432"/>
      </w:pPr>
      <w:r>
        <w:rPr>
          <w:sz w:val="22"/>
        </w:rPr>
        <w:t xml:space="preserve">World Medical Association. (2025). World Medical Association Declaration of Helsinki: Ethical principles for medical research involving human participants. </w:t>
      </w:r>
      <w:r>
        <w:rPr>
          <w:i/>
          <w:sz w:val="22"/>
        </w:rPr>
        <w:t>JAMA, 333</w:t>
      </w:r>
      <w:r>
        <w:rPr>
          <w:sz w:val="22"/>
        </w:rPr>
        <w:t>(1), 71–74. https://doi.org/10.1001/jama.2024.21972</w:t>
      </w:r>
    </w:p>
    <w:sectPr w:rsidR="00FC693F" w:rsidRPr="0006063C" w:rsidSect="00034616">
      <w:footerReference w:type="default" r:id="rId9"/>
      <w:head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color w:val="808080"/>
        <w:sz w:val="16"/>
      </w:rPr>
      <w:t>Educational example — illustrative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4"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64"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cstheme="majorBidi" w:ascii="Times New Roman" w:hAnsi="Times New Roman"/>
      <w:i w:val="0"/>
      <w:iCs/>
      <w:color w:val="000000"/>
      <w:sz w:val="22"/>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Educational example with illustrative data.</dc:description>
  <cp:lastModifiedBy/>
  <cp:revision>1</cp:revision>
  <dcterms:created xsi:type="dcterms:W3CDTF">2013-12-23T23:15:00Z</dcterms:created>
  <dcterms:modified xsi:type="dcterms:W3CDTF">2013-12-23T23:15:00Z</dcterms:modified>
  <cp:category/>
</cp:coreProperties>
</file>