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Discussion: Limitations</w:t>
      </w:r>
    </w:p>
    <w:p>
      <w:r>
        <w:rPr>
          <w:i/>
        </w:rPr>
        <w:t>Draft text for insertion into the Discussion. Highlighted items must be completed from study records; delete the final paragraph if no practice framework is proposed.</w:t>
      </w:r>
    </w:p>
    <w:p>
      <w:r>
        <w:t>This study has several limitations. First, the interview guide included questions framed around evidence and responsibility. Question D2 (“In your experience, whose job is it to show that a concern is real?”) presupposed that a concern might need to be shown to be real. This framing reflected the burden-of-proof sensitising concept, but it may have encouraged managers to present their reasoning in evidential terms, to emphasise substantiation or to describe responsibility for proof as more formalised than it was in practice. Contrasting incidents, and the distinction drawn in analysis between incident accounts and responses to Section D prompts, reduced but did not remove this risk. Findings about evidential expectations should therefore be read as partly shaped by the questions asked. Future studies could use more open wording, such as asking what happens after a concern is raised.</w:t>
      </w:r>
    </w:p>
    <w:p>
      <w:r>
        <w:t xml:space="preserve">Second, eligibility did not require a qualifying incident, and </w:t>
      </w:r>
      <w:r>
        <w:rPr>
          <w:highlight w:val="yellow"/>
        </w:rPr>
        <w:t>[n]</w:t>
      </w:r>
      <w:r>
        <w:t xml:space="preserve"> of the 23 managers did not describe a concern raised while indicators appeared satisfactory. Their accounts informed general expectations and organisational conditions, but not the analysis of qualifying situations, which rests on </w:t>
      </w:r>
      <w:r>
        <w:rPr>
          <w:highlight w:val="yellow"/>
        </w:rPr>
        <w:t>[n]</w:t>
      </w:r>
      <w:r>
        <w:t xml:space="preserve"> accounts. Whether indicators appeared reassuring, and whether they addressed the concern, was taken from managers’ accounts rather than from indicator records.</w:t>
      </w:r>
    </w:p>
    <w:p>
      <w:r>
        <w:t>Third, the findings rest on managers’ retrospective accounts of incidents they chose to describe. Recall, selective reporting and favourable self-presentation may have shaped these accounts despite confidential, non-evaluative interviewing. The perspectives of the nurses who raised the concerns, and documentary records of what followed, were not examined, so the reported actions, follow-up and feedback could not be verified.</w:t>
      </w:r>
    </w:p>
    <w:p>
      <w:r>
        <w:t>Fourth, the study took place in six public hospitals within one regional directorate in northern Saudi Arabia. Transferability to private, military, university or other regional settings, and to health systems with different indicator and governance arrangements, should be judged against the context described. Member reflection was optional, and 10 of the 23 participants responded.</w:t>
      </w:r>
    </w:p>
    <w:p>
      <w:r>
        <w:t>Finally, the practice framework derived from these findings summarises managers’ reported reasoning. It has not been tested for feasibility, acceptability, implementation or effects on care, and it requires evaluation before use.</w:t>
      </w:r>
    </w:p>
    <w:sectPr w:rsidR="00FC693F" w:rsidRPr="0006063C" w:rsidSect="00034616">
      <w:footerReference w:type="default" r:id="rId9"/>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76"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76"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76"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20" w:line="276" w:lineRule="auto" w:before="0"/>
      <w:contextualSpacing/>
    </w:pPr>
    <w:rPr>
      <w:rFonts w:cstheme="majorBidi" w:ascii="Times New Roman" w:hAnsi="Times New Roman"/>
      <w:b/>
      <w:color w:val="000000"/>
      <w:kern w:val="28"/>
      <w:sz w:val="28"/>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76" w:lineRule="auto"/>
    </w:pPr>
    <w:rPr>
      <w:rFonts w:cstheme="majorBidi" w:ascii="Times New Roman" w:hAnsi="Times New Roman"/>
      <w:i w:val="0"/>
      <w:iCs/>
      <w:color w:val="000000"/>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76" w:lineRule="auto"/>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76" w:lineRule="auto"/>
      <w:contextualSpacing/>
    </w:pPr>
    <w:rPr>
      <w:rFonts w:ascii="Times New Roman" w:hAnsi="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Burden of Proof: Unit-Level Nurse Managers’ Judgements and Responses to Nurses’ Care Concerns When Quality Indicators Appear Reassuring—An Interpretive Description</dc:title>
  <dc:subject/>
  <dc:creator/>
  <cp:keywords/>
  <dc:description/>
  <cp:lastModifiedBy/>
  <cp:revision>1</cp:revision>
  <dcterms:created xsi:type="dcterms:W3CDTF">2013-12-23T23:15:00Z</dcterms:created>
  <dcterms:modified xsi:type="dcterms:W3CDTF">2013-12-23T23:15:00Z</dcterms:modified>
  <cp:category/>
</cp:coreProperties>
</file>