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 Comments and Record-Verification Checklist</w:t>
      </w:r>
    </w:p>
    <w:p>
      <w:r>
        <w:rPr>
          <w:i/>
        </w:rPr>
        <w:t>Study: The Burden of Proof: Unit-Level Nurse Managers’ Judgements and Responses to Nurses’ Care Concerns When Quality Indicators Appear Reassuring—An Interpretive Description</w:t>
      </w:r>
    </w:p>
    <w:p>
      <w:r>
        <w:t>This document records how each comment was addressed in the revised files and what remains to be confirmed. Text highlighted in yellow in the revised files marks information that only the authors can supply from study records. No counts, exceptions or retention periods have been added without a source.</w:t>
      </w:r>
    </w:p>
    <w:p>
      <w:r>
        <w:rPr>
          <w:b/>
        </w:rPr>
        <w:t>Important: several values in the Methods and supplementary files were first introduced as worked examples during drafting. These include recruitment counts, interview numbers and durations, dates, the number of analytic meetings and member-reflection responses. Each value must be checked against study records (Table 2) and corrected where it differs. A value that records do not support must not be reported.</w:t>
      </w:r>
    </w:p>
    <w:p>
      <w:pPr>
        <w:pStyle w:val="Heading1"/>
      </w:pPr>
      <w:r>
        <w:t>1. Point-by-point response</w:t>
      </w:r>
    </w:p>
    <w:tbl>
      <w:tblPr>
        <w:tblStyle w:val="TableGrid"/>
        <w:tblW w:type="auto" w:w="0"/>
        <w:tblLayout w:type="fixed"/>
        <w:tblLook w:firstColumn="1" w:firstRow="1" w:lastColumn="0" w:lastRow="0" w:noHBand="0" w:noVBand="1" w:val="04A0"/>
      </w:tblPr>
      <w:tblGrid>
        <w:gridCol w:w="1728"/>
        <w:gridCol w:w="3744"/>
        <w:gridCol w:w="2015"/>
        <w:gridCol w:w="3168"/>
      </w:tblGrid>
      <w:tr>
        <w:tc>
          <w:tcPr>
            <w:tcW w:type="dxa" w:w="1728"/>
            <w:shd w:val="clear" w:color="auto" w:fill="D9E2F3"/>
          </w:tcPr>
          <w:p>
            <w:r/>
            <w:r>
              <w:rPr>
                <w:b/>
                <w:sz w:val="19"/>
              </w:rPr>
              <w:t>Comment</w:t>
            </w:r>
          </w:p>
        </w:tc>
        <w:tc>
          <w:tcPr>
            <w:tcW w:type="dxa" w:w="3744"/>
            <w:shd w:val="clear" w:color="auto" w:fill="D9E2F3"/>
          </w:tcPr>
          <w:p>
            <w:r/>
            <w:r>
              <w:rPr>
                <w:b/>
                <w:sz w:val="19"/>
              </w:rPr>
              <w:t>Response and changes</w:t>
            </w:r>
          </w:p>
        </w:tc>
        <w:tc>
          <w:tcPr>
            <w:tcW w:type="dxa" w:w="2016"/>
            <w:shd w:val="clear" w:color="auto" w:fill="D9E2F3"/>
          </w:tcPr>
          <w:p>
            <w:r/>
            <w:r>
              <w:rPr>
                <w:b/>
                <w:sz w:val="19"/>
              </w:rPr>
              <w:t>Location</w:t>
            </w:r>
          </w:p>
        </w:tc>
        <w:tc>
          <w:tcPr>
            <w:tcW w:type="dxa" w:w="3168"/>
            <w:shd w:val="clear" w:color="auto" w:fill="D9E2F3"/>
          </w:tcPr>
          <w:p>
            <w:r/>
            <w:r>
              <w:rPr>
                <w:b/>
                <w:sz w:val="19"/>
              </w:rPr>
              <w:t>Still required from authors</w:t>
            </w:r>
          </w:p>
        </w:tc>
      </w:tr>
      <w:tr>
        <w:tc>
          <w:tcPr>
            <w:tcW w:type="dxa" w:w="1728"/>
          </w:tcPr>
          <w:p>
            <w:r/>
            <w:r>
              <w:rPr>
                <w:sz w:val="19"/>
              </w:rPr>
              <w:t>1. Relevant incident accounts</w:t>
            </w:r>
          </w:p>
        </w:tc>
        <w:tc>
          <w:tcPr>
            <w:tcW w:type="dxa" w:w="3744"/>
          </w:tcPr>
          <w:p>
            <w:r/>
            <w:r>
              <w:rPr>
                <w:sz w:val="19"/>
              </w:rPr>
              <w:t>No retrospective eligibility criterion and no count added. Methods now state that eligibility did not require a qualifying incident (2.2) and describe how accounts were classified: (a) qualifying incident; (b) concern in other circumstances; (c) no specific incident. For (a), the indicators referred to and whether they addressed the concern are recorded. Accounts without a qualifying incident are retained for general expectations but analysed separately (2.7). Rigour statement updated (2.8).</w:t>
            </w:r>
          </w:p>
        </w:tc>
        <w:tc>
          <w:tcPr>
            <w:tcW w:type="dxa" w:w="2016"/>
          </w:tcPr>
          <w:p>
            <w:r/>
            <w:r>
              <w:rPr>
                <w:sz w:val="19"/>
              </w:rPr>
              <w:t>Methods 2.2, 2.5, 2.7, 2.8; Supp. 2 (S12, S14); Supp. 3 (after Table S3.1); Limitations draft</w:t>
            </w:r>
          </w:p>
        </w:tc>
        <w:tc>
          <w:tcPr>
            <w:tcW w:type="dxa" w:w="3168"/>
          </w:tcPr>
          <w:p>
            <w:r/>
            <w:r>
              <w:rPr>
                <w:sz w:val="19"/>
              </w:rPr>
              <w:t>Count managers in each category from the transcripts and report in Results with the indicators referred to. Describe how interviews proceeded when no qualifying incident was recalled (2.5 placeholder). If the classification was not part of the original analysis, carry it out on the transcripts before retaining the 2.7 paragraph, or describe what was actually done.</w:t>
            </w:r>
          </w:p>
        </w:tc>
      </w:tr>
      <w:tr>
        <w:tc>
          <w:tcPr>
            <w:tcW w:type="dxa" w:w="1728"/>
          </w:tcPr>
          <w:p>
            <w:r/>
            <w:r>
              <w:rPr>
                <w:sz w:val="19"/>
              </w:rPr>
              <w:t>2. Historical interview guide</w:t>
            </w:r>
          </w:p>
        </w:tc>
        <w:tc>
          <w:tcPr>
            <w:tcW w:type="dxa" w:w="3744"/>
          </w:tcPr>
          <w:p>
            <w:r/>
            <w:r>
              <w:rPr>
                <w:sz w:val="19"/>
              </w:rPr>
              <w:t>D2 wording retained verbatim. Methods 2.5 adds a paragraph acknowledging its evidence-focused framing, and 2.7 states that incident accounts were distinguished from responses to Section D prompts. Supp. 1 notes that D2 is reproduced as administered and flags verification of wording and dates. A Discussion limitations paragraph is drafted.</w:t>
            </w:r>
          </w:p>
        </w:tc>
        <w:tc>
          <w:tcPr>
            <w:tcW w:type="dxa" w:w="2016"/>
          </w:tcPr>
          <w:p>
            <w:r/>
            <w:r>
              <w:rPr>
                <w:sz w:val="19"/>
              </w:rPr>
              <w:t>Methods 2.5, 2.7; Supp. 1 (S1.1, S1.4 note, S1.6, S1.9); Supp. 2 (COREQ 17); Limitations draft</w:t>
            </w:r>
          </w:p>
        </w:tc>
        <w:tc>
          <w:tcPr>
            <w:tcW w:type="dxa" w:w="3168"/>
          </w:tcPr>
          <w:p>
            <w:r/>
            <w:r>
              <w:rPr>
                <w:sz w:val="19"/>
              </w:rPr>
              <w:t>Compare the English questions, Arabic selected probes and v0.1–v1.3 dates with the archived administered versions. Confirm the 2.7 analytic statement against memos.</w:t>
            </w:r>
          </w:p>
        </w:tc>
      </w:tr>
      <w:tr>
        <w:tc>
          <w:tcPr>
            <w:tcW w:type="dxa" w:w="1728"/>
          </w:tcPr>
          <w:p>
            <w:r/>
            <w:r>
              <w:rPr>
                <w:sz w:val="19"/>
              </w:rPr>
              <w:t>3. Study records and chronology</w:t>
            </w:r>
          </w:p>
        </w:tc>
        <w:tc>
          <w:tcPr>
            <w:tcW w:type="dxa" w:w="3744"/>
          </w:tcPr>
          <w:p>
            <w:r/>
            <w:r>
              <w:rPr>
                <w:sz w:val="19"/>
              </w:rPr>
              <w:t>Audio access and deletion sequence made explicit: R1 and R2 only; deleted after R1 verified and de-identified each transcript; deletion dates logged (2.6; Supp. 3 Tables S3.4–S3.6). R2’s audio access in Table S3.5 now reads “until deletion”. All other record-dependent statements are listed for verification in Table 2.</w:t>
            </w:r>
          </w:p>
        </w:tc>
        <w:tc>
          <w:tcPr>
            <w:tcW w:type="dxa" w:w="2016"/>
          </w:tcPr>
          <w:p>
            <w:r/>
            <w:r>
              <w:rPr>
                <w:sz w:val="19"/>
              </w:rPr>
              <w:t>Methods 2.6; Supp. 2 (S13); Supp. 3 (Tables S3.4–S3.6)</w:t>
            </w:r>
          </w:p>
        </w:tc>
        <w:tc>
          <w:tcPr>
            <w:tcW w:type="dxa" w:w="3168"/>
          </w:tcPr>
          <w:p>
            <w:r/>
            <w:r>
              <w:rPr>
                <w:sz w:val="19"/>
              </w:rPr>
              <w:t>Work through Table 2. In particular, confirm eligibility was limited to substantive posts and check the end-of-recruitment decision against the dated audit trail.</w:t>
            </w:r>
          </w:p>
        </w:tc>
      </w:tr>
      <w:tr>
        <w:tc>
          <w:tcPr>
            <w:tcW w:type="dxa" w:w="1728"/>
          </w:tcPr>
          <w:p>
            <w:r/>
            <w:r>
              <w:rPr>
                <w:sz w:val="19"/>
              </w:rPr>
              <w:t>4. Confidentiality and data handling</w:t>
            </w:r>
          </w:p>
        </w:tc>
        <w:tc>
          <w:tcPr>
            <w:tcW w:type="dxa" w:w="3744"/>
          </w:tcPr>
          <w:p>
            <w:r/>
            <w:r>
              <w:rPr>
                <w:sz w:val="19"/>
              </w:rPr>
              <w:t>The safety-response procedure is now described as encouragement only, explicitly not a disclosure exception (2.9). The opening script is unchanged, with a note in Supp. 1 explaining the distinction. Teams is described as used for the live connection only, with no Teams recording or transcription; the text does not claim where platform processing occurred. A retention and destruction table (S3.6) lists consent forms, the identification key, contact details and transcriptionist copies as author placeholders.</w:t>
            </w:r>
          </w:p>
        </w:tc>
        <w:tc>
          <w:tcPr>
            <w:tcW w:type="dxa" w:w="2016"/>
          </w:tcPr>
          <w:p>
            <w:r/>
            <w:r>
              <w:rPr>
                <w:sz w:val="19"/>
              </w:rPr>
              <w:t>Methods 2.5, 2.6, 2.9; Supp. 1 (S1.3 note); Supp. 2 (S9, S13, COREQ 19); Supp. 3 (S3.5, Tables S3.4, S3.6, S3.7)</w:t>
            </w:r>
          </w:p>
        </w:tc>
        <w:tc>
          <w:tcPr>
            <w:tcW w:type="dxa" w:w="3168"/>
          </w:tcPr>
          <w:p>
            <w:r/>
            <w:r>
              <w:rPr>
                <w:sz w:val="19"/>
              </w:rPr>
              <w:t>Check the approved information sheet and consent form for actual disclosure exceptions and state them (or state none). Confirm with institutional IT that Teams recording and transcription were not used. Supply retention periods and destruction methods.</w:t>
            </w:r>
          </w:p>
        </w:tc>
      </w:tr>
      <w:tr>
        <w:tc>
          <w:tcPr>
            <w:tcW w:type="dxa" w:w="1728"/>
          </w:tcPr>
          <w:p>
            <w:r/>
            <w:r>
              <w:rPr>
                <w:sz w:val="19"/>
              </w:rPr>
              <w:t>5. Complete manuscript reporting</w:t>
            </w:r>
          </w:p>
        </w:tc>
        <w:tc>
          <w:tcPr>
            <w:tcW w:type="dxa" w:w="3744"/>
          </w:tcPr>
          <w:p>
            <w:r/>
            <w:r>
              <w:rPr>
                <w:sz w:val="19"/>
              </w:rPr>
              <w:t>Checklist entries for the Abstract, Results, Discussion and declarations remain explicitly marked “to be completed”. COREQ 4 (gender) and COREQ 6 (prior acquaintance) are marked for author completion, with a placeholder in 2.8. Methods 2.7, the S16 entry and the limitations draft state that any practice framework is untested.</w:t>
            </w:r>
          </w:p>
        </w:tc>
        <w:tc>
          <w:tcPr>
            <w:tcW w:type="dxa" w:w="2016"/>
          </w:tcPr>
          <w:p>
            <w:r/>
            <w:r>
              <w:rPr>
                <w:sz w:val="19"/>
              </w:rPr>
              <w:t>Methods 2.7, 2.8; Supp. 2 (S16, S19, COREQ 4, 6); Limitations draft</w:t>
            </w:r>
          </w:p>
        </w:tc>
        <w:tc>
          <w:tcPr>
            <w:tcW w:type="dxa" w:w="3168"/>
          </w:tcPr>
          <w:p>
            <w:r/>
            <w:r>
              <w:rPr>
                <w:sz w:val="19"/>
              </w:rPr>
              <w:t>Supply the Abstract, Results, Table 1, Discussion and declarations, then complete Supp. 2. State R1’s gender and any prior acquaintance. Confirm that the final findings support the framework, or remove framework references.</w:t>
            </w:r>
          </w:p>
        </w:tc>
      </w:tr>
      <w:tr>
        <w:tc>
          <w:tcPr>
            <w:tcW w:type="dxa" w:w="1728"/>
          </w:tcPr>
          <w:p>
            <w:r/>
            <w:r>
              <w:rPr>
                <w:sz w:val="19"/>
              </w:rPr>
              <w:t>6. Journal requirements (cover note)</w:t>
            </w:r>
          </w:p>
        </w:tc>
        <w:tc>
          <w:tcPr>
            <w:tcW w:type="dxa" w:w="3744"/>
          </w:tcPr>
          <w:p>
            <w:r/>
            <w:r>
              <w:rPr>
                <w:sz w:val="19"/>
              </w:rPr>
              <w:t>Data-handling statement kept separate from manuscript-preparation assistance. A template AI-use declaration is provided in Section 3.</w:t>
            </w:r>
          </w:p>
        </w:tc>
        <w:tc>
          <w:tcPr>
            <w:tcW w:type="dxa" w:w="2016"/>
          </w:tcPr>
          <w:p>
            <w:r/>
            <w:r>
              <w:rPr>
                <w:sz w:val="19"/>
              </w:rPr>
              <w:t>Section 3 of this document</w:t>
            </w:r>
          </w:p>
        </w:tc>
        <w:tc>
          <w:tcPr>
            <w:tcW w:type="dxa" w:w="3168"/>
          </w:tcPr>
          <w:p>
            <w:r/>
            <w:r>
              <w:rPr>
                <w:sz w:val="19"/>
              </w:rPr>
              <w:t>Check current length and formatting requirements in the journal’s Guide for Authors and submission portal. Complete the AI declaration accurately.</w:t>
            </w:r>
          </w:p>
        </w:tc>
      </w:tr>
    </w:tbl>
    <w:p>
      <w:pPr>
        <w:pStyle w:val="Heading1"/>
      </w:pPr>
      <w:r>
        <w:t>2. Record-verification checklist</w:t>
      </w:r>
    </w:p>
    <w:p>
      <w:r>
        <w:t>Tick each item only after checking it against the named source. Correct the manuscript wherever the record differs.</w:t>
      </w:r>
    </w:p>
    <w:tbl>
      <w:tblPr>
        <w:tblStyle w:val="TableGrid"/>
        <w:tblW w:type="auto" w:w="0"/>
        <w:tblLayout w:type="fixed"/>
        <w:tblLook w:firstColumn="1" w:firstRow="1" w:lastColumn="0" w:lastRow="0" w:noHBand="0" w:noVBand="1" w:val="04A0"/>
      </w:tblPr>
      <w:tblGrid>
        <w:gridCol w:w="2304"/>
        <w:gridCol w:w="3888"/>
        <w:gridCol w:w="2448"/>
        <w:gridCol w:w="864"/>
      </w:tblGrid>
      <w:tr>
        <w:tc>
          <w:tcPr>
            <w:tcW w:type="dxa" w:w="2304"/>
            <w:shd w:val="clear" w:color="auto" w:fill="D9E2F3"/>
          </w:tcPr>
          <w:p>
            <w:r/>
            <w:r>
              <w:rPr>
                <w:b/>
                <w:sz w:val="19"/>
              </w:rPr>
              <w:t>Item</w:t>
            </w:r>
          </w:p>
        </w:tc>
        <w:tc>
          <w:tcPr>
            <w:tcW w:type="dxa" w:w="3888"/>
            <w:shd w:val="clear" w:color="auto" w:fill="D9E2F3"/>
          </w:tcPr>
          <w:p>
            <w:r/>
            <w:r>
              <w:rPr>
                <w:b/>
                <w:sz w:val="19"/>
              </w:rPr>
              <w:t>As currently reported</w:t>
            </w:r>
          </w:p>
        </w:tc>
        <w:tc>
          <w:tcPr>
            <w:tcW w:type="dxa" w:w="2448"/>
            <w:shd w:val="clear" w:color="auto" w:fill="D9E2F3"/>
          </w:tcPr>
          <w:p>
            <w:r/>
            <w:r>
              <w:rPr>
                <w:b/>
                <w:sz w:val="19"/>
              </w:rPr>
              <w:t>Source record</w:t>
            </w:r>
          </w:p>
        </w:tc>
        <w:tc>
          <w:tcPr>
            <w:tcW w:type="dxa" w:w="864"/>
            <w:shd w:val="clear" w:color="auto" w:fill="D9E2F3"/>
          </w:tcPr>
          <w:p>
            <w:r/>
            <w:r>
              <w:rPr>
                <w:b/>
                <w:sz w:val="19"/>
              </w:rPr>
              <w:t>Checked</w:t>
            </w:r>
          </w:p>
        </w:tc>
      </w:tr>
      <w:tr>
        <w:tc>
          <w:tcPr>
            <w:tcW w:type="dxa" w:w="2304"/>
          </w:tcPr>
          <w:p>
            <w:r/>
            <w:r>
              <w:rPr>
                <w:sz w:val="19"/>
              </w:rPr>
              <w:t>IRB name, registration, approval number, date and scope</w:t>
            </w:r>
          </w:p>
        </w:tc>
        <w:tc>
          <w:tcPr>
            <w:tcW w:type="dxa" w:w="3888"/>
          </w:tcPr>
          <w:p>
            <w:r/>
            <w:r>
              <w:rPr>
                <w:sz w:val="19"/>
              </w:rPr>
              <w:t>King Abdulaziz Specialist Hospital IRB, Aljouf Health Cluster; H-13-S-161; No. 9804; 26 December 2025; interviews, domestic transcription, optional member reflection, support-role access</w:t>
            </w:r>
          </w:p>
        </w:tc>
        <w:tc>
          <w:tcPr>
            <w:tcW w:type="dxa" w:w="2448"/>
          </w:tcPr>
          <w:p>
            <w:r/>
            <w:r>
              <w:rPr>
                <w:sz w:val="19"/>
              </w:rPr>
              <w:t>Approval letter and approved protocol</w:t>
            </w:r>
          </w:p>
        </w:tc>
        <w:tc>
          <w:tcPr>
            <w:tcW w:type="dxa" w:w="864"/>
          </w:tcPr>
          <w:p>
            <w:r/>
            <w:r>
              <w:rPr>
                <w:sz w:val="19"/>
              </w:rPr>
              <w:t>☐</w:t>
            </w:r>
          </w:p>
        </w:tc>
      </w:tr>
      <w:tr>
        <w:tc>
          <w:tcPr>
            <w:tcW w:type="dxa" w:w="2304"/>
          </w:tcPr>
          <w:p>
            <w:r/>
            <w:r>
              <w:rPr>
                <w:sz w:val="19"/>
              </w:rPr>
              <w:t>Administrative permissions</w:t>
            </w:r>
          </w:p>
        </w:tc>
        <w:tc>
          <w:tcPr>
            <w:tcW w:type="dxa" w:w="3888"/>
          </w:tcPr>
          <w:p>
            <w:r/>
            <w:r>
              <w:rPr>
                <w:sz w:val="19"/>
              </w:rPr>
              <w:t>Regional directorate and each hospital, January 2026</w:t>
            </w:r>
          </w:p>
        </w:tc>
        <w:tc>
          <w:tcPr>
            <w:tcW w:type="dxa" w:w="2448"/>
          </w:tcPr>
          <w:p>
            <w:r/>
            <w:r>
              <w:rPr>
                <w:sz w:val="19"/>
              </w:rPr>
              <w:t>Permission letters</w:t>
            </w:r>
          </w:p>
        </w:tc>
        <w:tc>
          <w:tcPr>
            <w:tcW w:type="dxa" w:w="864"/>
          </w:tcPr>
          <w:p>
            <w:r/>
            <w:r>
              <w:rPr>
                <w:sz w:val="19"/>
              </w:rPr>
              <w:t>☐</w:t>
            </w:r>
          </w:p>
        </w:tc>
      </w:tr>
      <w:tr>
        <w:tc>
          <w:tcPr>
            <w:tcW w:type="dxa" w:w="2304"/>
          </w:tcPr>
          <w:p>
            <w:r/>
            <w:r>
              <w:rPr>
                <w:sz w:val="19"/>
              </w:rPr>
              <w:t>Sites</w:t>
            </w:r>
          </w:p>
        </w:tc>
        <w:tc>
          <w:tcPr>
            <w:tcW w:type="dxa" w:w="3888"/>
          </w:tcPr>
          <w:p>
            <w:r/>
            <w:r>
              <w:rPr>
                <w:sz w:val="19"/>
              </w:rPr>
              <w:t>Six public hospitals; 200–420 beds; secondary or tertiary care; CBAHI accredited; shared regional directorate</w:t>
            </w:r>
          </w:p>
        </w:tc>
        <w:tc>
          <w:tcPr>
            <w:tcW w:type="dxa" w:w="2448"/>
          </w:tcPr>
          <w:p>
            <w:r/>
            <w:r>
              <w:rPr>
                <w:sz w:val="19"/>
              </w:rPr>
              <w:t>Hospital profiles; CBAHI certificates</w:t>
            </w:r>
          </w:p>
        </w:tc>
        <w:tc>
          <w:tcPr>
            <w:tcW w:type="dxa" w:w="864"/>
          </w:tcPr>
          <w:p>
            <w:r/>
            <w:r>
              <w:rPr>
                <w:sz w:val="19"/>
              </w:rPr>
              <w:t>☐</w:t>
            </w:r>
          </w:p>
        </w:tc>
      </w:tr>
      <w:tr>
        <w:tc>
          <w:tcPr>
            <w:tcW w:type="dxa" w:w="2304"/>
          </w:tcPr>
          <w:p>
            <w:r/>
            <w:r>
              <w:rPr>
                <w:sz w:val="19"/>
              </w:rPr>
              <w:t>Governance terminology and indicators</w:t>
            </w:r>
          </w:p>
        </w:tc>
        <w:tc>
          <w:tcPr>
            <w:tcW w:type="dxa" w:w="3888"/>
          </w:tcPr>
          <w:p>
            <w:r/>
            <w:r>
              <w:rPr>
                <w:sz w:val="19"/>
              </w:rPr>
              <w:t>Head nurse or nurse manager; Director of Nursing; monthly indicator set listed in 2.2</w:t>
            </w:r>
          </w:p>
        </w:tc>
        <w:tc>
          <w:tcPr>
            <w:tcW w:type="dxa" w:w="2448"/>
          </w:tcPr>
          <w:p>
            <w:r/>
            <w:r>
              <w:rPr>
                <w:sz w:val="19"/>
              </w:rPr>
              <w:t>Hospital quality department documents</w:t>
            </w:r>
          </w:p>
        </w:tc>
        <w:tc>
          <w:tcPr>
            <w:tcW w:type="dxa" w:w="864"/>
          </w:tcPr>
          <w:p>
            <w:r/>
            <w:r>
              <w:rPr>
                <w:sz w:val="19"/>
              </w:rPr>
              <w:t>☐</w:t>
            </w:r>
          </w:p>
        </w:tc>
      </w:tr>
      <w:tr>
        <w:tc>
          <w:tcPr>
            <w:tcW w:type="dxa" w:w="2304"/>
          </w:tcPr>
          <w:p>
            <w:r/>
            <w:r>
              <w:rPr>
                <w:sz w:val="19"/>
              </w:rPr>
              <w:t>Eligibility</w:t>
            </w:r>
          </w:p>
        </w:tc>
        <w:tc>
          <w:tcPr>
            <w:tcW w:type="dxa" w:w="3888"/>
          </w:tcPr>
          <w:p>
            <w:r/>
            <w:r>
              <w:rPr>
                <w:sz w:val="19"/>
              </w:rPr>
              <w:t>Substantive posts only; ≥6 months in role; exclusions as stated</w:t>
            </w:r>
          </w:p>
        </w:tc>
        <w:tc>
          <w:tcPr>
            <w:tcW w:type="dxa" w:w="2448"/>
          </w:tcPr>
          <w:p>
            <w:r/>
            <w:r>
              <w:rPr>
                <w:sz w:val="19"/>
              </w:rPr>
              <w:t>Approved protocol; screening records</w:t>
            </w:r>
          </w:p>
        </w:tc>
        <w:tc>
          <w:tcPr>
            <w:tcW w:type="dxa" w:w="864"/>
          </w:tcPr>
          <w:p>
            <w:r/>
            <w:r>
              <w:rPr>
                <w:sz w:val="19"/>
              </w:rPr>
              <w:t>☐</w:t>
            </w:r>
          </w:p>
        </w:tc>
      </w:tr>
      <w:tr>
        <w:tc>
          <w:tcPr>
            <w:tcW w:type="dxa" w:w="2304"/>
          </w:tcPr>
          <w:p>
            <w:r/>
            <w:r>
              <w:rPr>
                <w:sz w:val="19"/>
              </w:rPr>
              <w:t>Recruitment flow</w:t>
            </w:r>
          </w:p>
        </w:tc>
        <w:tc>
          <w:tcPr>
            <w:tcW w:type="dxa" w:w="3888"/>
          </w:tcPr>
          <w:p>
            <w:r/>
            <w:r>
              <w:rPr>
                <w:sz w:val="19"/>
              </w:rPr>
              <w:t>38 eligible and invited; 9 no response; 29 volunteered; 2 leave; 1 withdrew before interview; 3 after recruitment closed; 23 interviewed</w:t>
            </w:r>
          </w:p>
        </w:tc>
        <w:tc>
          <w:tcPr>
            <w:tcW w:type="dxa" w:w="2448"/>
          </w:tcPr>
          <w:p>
            <w:r/>
            <w:r>
              <w:rPr>
                <w:sz w:val="19"/>
              </w:rPr>
              <w:t>Recruitment log</w:t>
            </w:r>
          </w:p>
        </w:tc>
        <w:tc>
          <w:tcPr>
            <w:tcW w:type="dxa" w:w="864"/>
          </w:tcPr>
          <w:p>
            <w:r/>
            <w:r>
              <w:rPr>
                <w:sz w:val="19"/>
              </w:rPr>
              <w:t>☐</w:t>
            </w:r>
          </w:p>
        </w:tc>
      </w:tr>
      <w:tr>
        <w:tc>
          <w:tcPr>
            <w:tcW w:type="dxa" w:w="2304"/>
          </w:tcPr>
          <w:p>
            <w:r/>
            <w:r>
              <w:rPr>
                <w:sz w:val="19"/>
              </w:rPr>
              <w:t>Sample distribution</w:t>
            </w:r>
          </w:p>
        </w:tc>
        <w:tc>
          <w:tcPr>
            <w:tcW w:type="dxa" w:w="3888"/>
          </w:tcPr>
          <w:p>
            <w:r/>
            <w:r>
              <w:rPr>
                <w:sz w:val="19"/>
              </w:rPr>
              <w:t>3–5 per hospital; medical 5, surgical 5, critical care 5, emergency 3, maternity 3, paediatric 2</w:t>
            </w:r>
          </w:p>
        </w:tc>
        <w:tc>
          <w:tcPr>
            <w:tcW w:type="dxa" w:w="2448"/>
          </w:tcPr>
          <w:p>
            <w:r/>
            <w:r>
              <w:rPr>
                <w:sz w:val="19"/>
              </w:rPr>
              <w:t>Demographic questionnaires</w:t>
            </w:r>
          </w:p>
        </w:tc>
        <w:tc>
          <w:tcPr>
            <w:tcW w:type="dxa" w:w="864"/>
          </w:tcPr>
          <w:p>
            <w:r/>
            <w:r>
              <w:rPr>
                <w:sz w:val="19"/>
              </w:rPr>
              <w:t>☐</w:t>
            </w:r>
          </w:p>
        </w:tc>
      </w:tr>
      <w:tr>
        <w:tc>
          <w:tcPr>
            <w:tcW w:type="dxa" w:w="2304"/>
          </w:tcPr>
          <w:p>
            <w:r/>
            <w:r>
              <w:rPr>
                <w:sz w:val="19"/>
              </w:rPr>
              <w:t>End of recruitment</w:t>
            </w:r>
          </w:p>
        </w:tc>
        <w:tc>
          <w:tcPr>
            <w:tcW w:type="dxa" w:w="3888"/>
          </w:tcPr>
          <w:p>
            <w:r/>
            <w:r>
              <w:rPr>
                <w:sz w:val="19"/>
              </w:rPr>
              <w:t>After interview 23, when coverage goals and interpretive sufficiency were met</w:t>
            </w:r>
          </w:p>
        </w:tc>
        <w:tc>
          <w:tcPr>
            <w:tcW w:type="dxa" w:w="2448"/>
          </w:tcPr>
          <w:p>
            <w:r/>
            <w:r>
              <w:rPr>
                <w:sz w:val="19"/>
              </w:rPr>
              <w:t>Dated audit trail</w:t>
            </w:r>
          </w:p>
        </w:tc>
        <w:tc>
          <w:tcPr>
            <w:tcW w:type="dxa" w:w="864"/>
          </w:tcPr>
          <w:p>
            <w:r/>
            <w:r>
              <w:rPr>
                <w:sz w:val="19"/>
              </w:rPr>
              <w:t>☐</w:t>
            </w:r>
          </w:p>
        </w:tc>
      </w:tr>
      <w:tr>
        <w:tc>
          <w:tcPr>
            <w:tcW w:type="dxa" w:w="2304"/>
          </w:tcPr>
          <w:p>
            <w:r/>
            <w:r>
              <w:rPr>
                <w:sz w:val="19"/>
              </w:rPr>
              <w:t>Interview details</w:t>
            </w:r>
          </w:p>
        </w:tc>
        <w:tc>
          <w:tcPr>
            <w:tcW w:type="dxa" w:w="3888"/>
          </w:tcPr>
          <w:p>
            <w:r/>
            <w:r>
              <w:rPr>
                <w:sz w:val="19"/>
              </w:rPr>
              <w:t>January–June 2026; Arabic 14, English 9; face to face 18, video 5; 42–81 min (mean 58)</w:t>
            </w:r>
          </w:p>
        </w:tc>
        <w:tc>
          <w:tcPr>
            <w:tcW w:type="dxa" w:w="2448"/>
          </w:tcPr>
          <w:p>
            <w:r/>
            <w:r>
              <w:rPr>
                <w:sz w:val="19"/>
              </w:rPr>
              <w:t>Interview log; recording metadata</w:t>
            </w:r>
          </w:p>
        </w:tc>
        <w:tc>
          <w:tcPr>
            <w:tcW w:type="dxa" w:w="864"/>
          </w:tcPr>
          <w:p>
            <w:r/>
            <w:r>
              <w:rPr>
                <w:sz w:val="19"/>
              </w:rPr>
              <w:t>☐</w:t>
            </w:r>
          </w:p>
        </w:tc>
      </w:tr>
      <w:tr>
        <w:tc>
          <w:tcPr>
            <w:tcW w:type="dxa" w:w="2304"/>
          </w:tcPr>
          <w:p>
            <w:r/>
            <w:r>
              <w:rPr>
                <w:sz w:val="19"/>
              </w:rPr>
              <w:t>Pilot</w:t>
            </w:r>
          </w:p>
        </w:tc>
        <w:tc>
          <w:tcPr>
            <w:tcW w:type="dxa" w:w="3888"/>
          </w:tcPr>
          <w:p>
            <w:r/>
            <w:r>
              <w:rPr>
                <w:sz w:val="19"/>
              </w:rPr>
              <w:t>Two interviews, early January 2026, non-participating Jouf hospital, after approval</w:t>
            </w:r>
          </w:p>
        </w:tc>
        <w:tc>
          <w:tcPr>
            <w:tcW w:type="dxa" w:w="2448"/>
          </w:tcPr>
          <w:p>
            <w:r/>
            <w:r>
              <w:rPr>
                <w:sz w:val="19"/>
              </w:rPr>
              <w:t>Pilot records</w:t>
            </w:r>
          </w:p>
        </w:tc>
        <w:tc>
          <w:tcPr>
            <w:tcW w:type="dxa" w:w="864"/>
          </w:tcPr>
          <w:p>
            <w:r/>
            <w:r>
              <w:rPr>
                <w:sz w:val="19"/>
              </w:rPr>
              <w:t>☐</w:t>
            </w:r>
          </w:p>
        </w:tc>
      </w:tr>
      <w:tr>
        <w:tc>
          <w:tcPr>
            <w:tcW w:type="dxa" w:w="2304"/>
          </w:tcPr>
          <w:p>
            <w:r/>
            <w:r>
              <w:rPr>
                <w:sz w:val="19"/>
              </w:rPr>
              <w:t>Guide versions</w:t>
            </w:r>
          </w:p>
        </w:tc>
        <w:tc>
          <w:tcPr>
            <w:tcW w:type="dxa" w:w="3888"/>
          </w:tcPr>
          <w:p>
            <w:r/>
            <w:r>
              <w:rPr>
                <w:sz w:val="19"/>
              </w:rPr>
              <w:t>v0.1 Nov 2025 to v1.3 after interview 12 (March 2026)</w:t>
            </w:r>
          </w:p>
        </w:tc>
        <w:tc>
          <w:tcPr>
            <w:tcW w:type="dxa" w:w="2448"/>
          </w:tcPr>
          <w:p>
            <w:r/>
            <w:r>
              <w:rPr>
                <w:sz w:val="19"/>
              </w:rPr>
              <w:t>Archived guide versions; audit trail</w:t>
            </w:r>
          </w:p>
        </w:tc>
        <w:tc>
          <w:tcPr>
            <w:tcW w:type="dxa" w:w="864"/>
          </w:tcPr>
          <w:p>
            <w:r/>
            <w:r>
              <w:rPr>
                <w:sz w:val="19"/>
              </w:rPr>
              <w:t>☐</w:t>
            </w:r>
          </w:p>
        </w:tc>
      </w:tr>
      <w:tr>
        <w:tc>
          <w:tcPr>
            <w:tcW w:type="dxa" w:w="2304"/>
          </w:tcPr>
          <w:p>
            <w:r/>
            <w:r>
              <w:rPr>
                <w:sz w:val="19"/>
              </w:rPr>
              <w:t>Qualifying-incident classification</w:t>
            </w:r>
          </w:p>
        </w:tc>
        <w:tc>
          <w:tcPr>
            <w:tcW w:type="dxa" w:w="3888"/>
          </w:tcPr>
          <w:p>
            <w:r/>
            <w:r>
              <w:rPr>
                <w:sz w:val="19"/>
                <w:highlight w:val="yellow"/>
              </w:rPr>
              <w:t>[To be counted]</w:t>
            </w:r>
          </w:p>
        </w:tc>
        <w:tc>
          <w:tcPr>
            <w:tcW w:type="dxa" w:w="2448"/>
          </w:tcPr>
          <w:p>
            <w:r/>
            <w:r>
              <w:rPr>
                <w:sz w:val="19"/>
              </w:rPr>
              <w:t>Transcripts; NVivo classification</w:t>
            </w:r>
          </w:p>
        </w:tc>
        <w:tc>
          <w:tcPr>
            <w:tcW w:type="dxa" w:w="864"/>
          </w:tcPr>
          <w:p>
            <w:r/>
            <w:r>
              <w:rPr>
                <w:sz w:val="19"/>
              </w:rPr>
              <w:t>☐</w:t>
            </w:r>
          </w:p>
        </w:tc>
      </w:tr>
      <w:tr>
        <w:tc>
          <w:tcPr>
            <w:tcW w:type="dxa" w:w="2304"/>
          </w:tcPr>
          <w:p>
            <w:r/>
            <w:r>
              <w:rPr>
                <w:sz w:val="19"/>
              </w:rPr>
              <w:t>Analysis</w:t>
            </w:r>
          </w:p>
        </w:tc>
        <w:tc>
          <w:tcPr>
            <w:tcW w:type="dxa" w:w="3888"/>
          </w:tcPr>
          <w:p>
            <w:r/>
            <w:r>
              <w:rPr>
                <w:sz w:val="19"/>
              </w:rPr>
              <w:t>February–August 2026; R2 coded first 4 plus 8 further transcripts; 14 meetings</w:t>
            </w:r>
          </w:p>
        </w:tc>
        <w:tc>
          <w:tcPr>
            <w:tcW w:type="dxa" w:w="2448"/>
          </w:tcPr>
          <w:p>
            <w:r/>
            <w:r>
              <w:rPr>
                <w:sz w:val="19"/>
              </w:rPr>
              <w:t>NVivo project; meeting notes</w:t>
            </w:r>
          </w:p>
        </w:tc>
        <w:tc>
          <w:tcPr>
            <w:tcW w:type="dxa" w:w="864"/>
          </w:tcPr>
          <w:p>
            <w:r/>
            <w:r>
              <w:rPr>
                <w:sz w:val="19"/>
              </w:rPr>
              <w:t>☐</w:t>
            </w:r>
          </w:p>
        </w:tc>
      </w:tr>
      <w:tr>
        <w:tc>
          <w:tcPr>
            <w:tcW w:type="dxa" w:w="2304"/>
          </w:tcPr>
          <w:p>
            <w:r/>
            <w:r>
              <w:rPr>
                <w:sz w:val="19"/>
              </w:rPr>
              <w:t>Audit</w:t>
            </w:r>
          </w:p>
        </w:tc>
        <w:tc>
          <w:tcPr>
            <w:tcW w:type="dxa" w:w="3888"/>
          </w:tcPr>
          <w:p>
            <w:r/>
            <w:r>
              <w:rPr>
                <w:sz w:val="19"/>
              </w:rPr>
              <w:t>Independent methodologist review after interview 12 and at end of analysis</w:t>
            </w:r>
          </w:p>
        </w:tc>
        <w:tc>
          <w:tcPr>
            <w:tcW w:type="dxa" w:w="2448"/>
          </w:tcPr>
          <w:p>
            <w:r/>
            <w:r>
              <w:rPr>
                <w:sz w:val="19"/>
              </w:rPr>
              <w:t>Auditor reports</w:t>
            </w:r>
          </w:p>
        </w:tc>
        <w:tc>
          <w:tcPr>
            <w:tcW w:type="dxa" w:w="864"/>
          </w:tcPr>
          <w:p>
            <w:r/>
            <w:r>
              <w:rPr>
                <w:sz w:val="19"/>
              </w:rPr>
              <w:t>☐</w:t>
            </w:r>
          </w:p>
        </w:tc>
      </w:tr>
      <w:tr>
        <w:tc>
          <w:tcPr>
            <w:tcW w:type="dxa" w:w="2304"/>
          </w:tcPr>
          <w:p>
            <w:r/>
            <w:r>
              <w:rPr>
                <w:sz w:val="19"/>
              </w:rPr>
              <w:t>Member reflection</w:t>
            </w:r>
          </w:p>
        </w:tc>
        <w:tc>
          <w:tcPr>
            <w:tcW w:type="dxa" w:w="3888"/>
          </w:tcPr>
          <w:p>
            <w:r/>
            <w:r>
              <w:rPr>
                <w:sz w:val="19"/>
              </w:rPr>
              <w:t>Offered to all 23; two-page bilingual summary; 10 responded; refined one interpretation</w:t>
            </w:r>
          </w:p>
        </w:tc>
        <w:tc>
          <w:tcPr>
            <w:tcW w:type="dxa" w:w="2448"/>
          </w:tcPr>
          <w:p>
            <w:r/>
            <w:r>
              <w:rPr>
                <w:sz w:val="19"/>
              </w:rPr>
              <w:t>Correspondence records</w:t>
            </w:r>
          </w:p>
        </w:tc>
        <w:tc>
          <w:tcPr>
            <w:tcW w:type="dxa" w:w="864"/>
          </w:tcPr>
          <w:p>
            <w:r/>
            <w:r>
              <w:rPr>
                <w:sz w:val="19"/>
              </w:rPr>
              <w:t>☐</w:t>
            </w:r>
          </w:p>
        </w:tc>
      </w:tr>
      <w:tr>
        <w:tc>
          <w:tcPr>
            <w:tcW w:type="dxa" w:w="2304"/>
          </w:tcPr>
          <w:p>
            <w:r/>
            <w:r>
              <w:rPr>
                <w:sz w:val="19"/>
              </w:rPr>
              <w:t>Audio access and deletion</w:t>
            </w:r>
          </w:p>
        </w:tc>
        <w:tc>
          <w:tcPr>
            <w:tcW w:type="dxa" w:w="3888"/>
          </w:tcPr>
          <w:p>
            <w:r/>
            <w:r>
              <w:rPr>
                <w:sz w:val="19"/>
              </w:rPr>
              <w:t>R1 and R2 only; deleted after verification and de-identification; dates logged</w:t>
            </w:r>
          </w:p>
        </w:tc>
        <w:tc>
          <w:tcPr>
            <w:tcW w:type="dxa" w:w="2448"/>
          </w:tcPr>
          <w:p>
            <w:r/>
            <w:r>
              <w:rPr>
                <w:sz w:val="19"/>
              </w:rPr>
              <w:t>Audit trail</w:t>
            </w:r>
          </w:p>
        </w:tc>
        <w:tc>
          <w:tcPr>
            <w:tcW w:type="dxa" w:w="864"/>
          </w:tcPr>
          <w:p>
            <w:r/>
            <w:r>
              <w:rPr>
                <w:sz w:val="19"/>
              </w:rPr>
              <w:t>☐</w:t>
            </w:r>
          </w:p>
        </w:tc>
      </w:tr>
      <w:tr>
        <w:tc>
          <w:tcPr>
            <w:tcW w:type="dxa" w:w="2304"/>
          </w:tcPr>
          <w:p>
            <w:r/>
            <w:r>
              <w:rPr>
                <w:sz w:val="19"/>
              </w:rPr>
              <w:t>Retention of other records</w:t>
            </w:r>
          </w:p>
        </w:tc>
        <w:tc>
          <w:tcPr>
            <w:tcW w:type="dxa" w:w="3888"/>
          </w:tcPr>
          <w:p>
            <w:r/>
            <w:r>
              <w:rPr>
                <w:sz w:val="19"/>
                <w:highlight w:val="yellow"/>
              </w:rPr>
              <w:t>[To be supplied]</w:t>
            </w:r>
          </w:p>
        </w:tc>
        <w:tc>
          <w:tcPr>
            <w:tcW w:type="dxa" w:w="2448"/>
          </w:tcPr>
          <w:p>
            <w:r/>
            <w:r>
              <w:rPr>
                <w:sz w:val="19"/>
              </w:rPr>
              <w:t>Approved protocol; data management plan</w:t>
            </w:r>
          </w:p>
        </w:tc>
        <w:tc>
          <w:tcPr>
            <w:tcW w:type="dxa" w:w="864"/>
          </w:tcPr>
          <w:p>
            <w:r/>
            <w:r>
              <w:rPr>
                <w:sz w:val="19"/>
              </w:rPr>
              <w:t>☐</w:t>
            </w:r>
          </w:p>
        </w:tc>
      </w:tr>
      <w:tr>
        <w:tc>
          <w:tcPr>
            <w:tcW w:type="dxa" w:w="2304"/>
          </w:tcPr>
          <w:p>
            <w:r/>
            <w:r>
              <w:rPr>
                <w:sz w:val="19"/>
              </w:rPr>
              <w:t>Disclosure exceptions</w:t>
            </w:r>
          </w:p>
        </w:tc>
        <w:tc>
          <w:tcPr>
            <w:tcW w:type="dxa" w:w="3888"/>
          </w:tcPr>
          <w:p>
            <w:r/>
            <w:r>
              <w:rPr>
                <w:sz w:val="19"/>
                <w:highlight w:val="yellow"/>
              </w:rPr>
              <w:t>[To be supplied]</w:t>
            </w:r>
          </w:p>
        </w:tc>
        <w:tc>
          <w:tcPr>
            <w:tcW w:type="dxa" w:w="2448"/>
          </w:tcPr>
          <w:p>
            <w:r/>
            <w:r>
              <w:rPr>
                <w:sz w:val="19"/>
              </w:rPr>
              <w:t>Approved information sheet and consent form</w:t>
            </w:r>
          </w:p>
        </w:tc>
        <w:tc>
          <w:tcPr>
            <w:tcW w:type="dxa" w:w="864"/>
          </w:tcPr>
          <w:p>
            <w:r/>
            <w:r>
              <w:rPr>
                <w:sz w:val="19"/>
              </w:rPr>
              <w:t>☐</w:t>
            </w:r>
          </w:p>
        </w:tc>
      </w:tr>
      <w:tr>
        <w:tc>
          <w:tcPr>
            <w:tcW w:type="dxa" w:w="2304"/>
          </w:tcPr>
          <w:p>
            <w:r/>
            <w:r>
              <w:rPr>
                <w:sz w:val="19"/>
              </w:rPr>
              <w:t>Microsoft Teams use</w:t>
            </w:r>
          </w:p>
        </w:tc>
        <w:tc>
          <w:tcPr>
            <w:tcW w:type="dxa" w:w="3888"/>
          </w:tcPr>
          <w:p>
            <w:r/>
            <w:r>
              <w:rPr>
                <w:sz w:val="19"/>
              </w:rPr>
              <w:t>Live connection only; no Teams recording or transcription</w:t>
            </w:r>
          </w:p>
        </w:tc>
        <w:tc>
          <w:tcPr>
            <w:tcW w:type="dxa" w:w="2448"/>
          </w:tcPr>
          <w:p>
            <w:r/>
            <w:r>
              <w:rPr>
                <w:sz w:val="19"/>
              </w:rPr>
              <w:t>Institutional IT confirmation</w:t>
            </w:r>
          </w:p>
        </w:tc>
        <w:tc>
          <w:tcPr>
            <w:tcW w:type="dxa" w:w="864"/>
          </w:tcPr>
          <w:p>
            <w:r/>
            <w:r>
              <w:rPr>
                <w:sz w:val="19"/>
              </w:rPr>
              <w:t>☐</w:t>
            </w:r>
          </w:p>
        </w:tc>
      </w:tr>
      <w:tr>
        <w:tc>
          <w:tcPr>
            <w:tcW w:type="dxa" w:w="2304"/>
          </w:tcPr>
          <w:p>
            <w:r/>
            <w:r>
              <w:rPr>
                <w:sz w:val="19"/>
              </w:rPr>
              <w:t>R1 characteristics</w:t>
            </w:r>
          </w:p>
        </w:tc>
        <w:tc>
          <w:tcPr>
            <w:tcW w:type="dxa" w:w="3888"/>
          </w:tcPr>
          <w:p>
            <w:r/>
            <w:r>
              <w:rPr>
                <w:sz w:val="19"/>
              </w:rPr>
              <w:t>RN, PhD; bilingual; former unit manager outside region; gender and prior acquaintance to be supplied</w:t>
            </w:r>
          </w:p>
        </w:tc>
        <w:tc>
          <w:tcPr>
            <w:tcW w:type="dxa" w:w="2448"/>
          </w:tcPr>
          <w:p>
            <w:r/>
            <w:r>
              <w:rPr>
                <w:sz w:val="19"/>
              </w:rPr>
              <w:t>Author</w:t>
            </w:r>
          </w:p>
        </w:tc>
        <w:tc>
          <w:tcPr>
            <w:tcW w:type="dxa" w:w="864"/>
          </w:tcPr>
          <w:p>
            <w:r/>
            <w:r>
              <w:rPr>
                <w:sz w:val="19"/>
              </w:rPr>
              <w:t>☐</w:t>
            </w:r>
          </w:p>
        </w:tc>
      </w:tr>
      <w:tr>
        <w:tc>
          <w:tcPr>
            <w:tcW w:type="dxa" w:w="2304"/>
          </w:tcPr>
          <w:p>
            <w:r/>
            <w:r>
              <w:rPr>
                <w:sz w:val="19"/>
              </w:rPr>
              <w:t>Software and AI</w:t>
            </w:r>
          </w:p>
        </w:tc>
        <w:tc>
          <w:tcPr>
            <w:tcW w:type="dxa" w:w="3888"/>
          </w:tcPr>
          <w:p>
            <w:r/>
            <w:r>
              <w:rPr>
                <w:sz w:val="19"/>
              </w:rPr>
              <w:t>NVivo 14; no automated transcription or generative AI in data handling or analysis</w:t>
            </w:r>
          </w:p>
        </w:tc>
        <w:tc>
          <w:tcPr>
            <w:tcW w:type="dxa" w:w="2448"/>
          </w:tcPr>
          <w:p>
            <w:r/>
            <w:r>
              <w:rPr>
                <w:sz w:val="19"/>
              </w:rPr>
              <w:t>Licence; author confirmation</w:t>
            </w:r>
          </w:p>
        </w:tc>
        <w:tc>
          <w:tcPr>
            <w:tcW w:type="dxa" w:w="864"/>
          </w:tcPr>
          <w:p>
            <w:r/>
            <w:r>
              <w:rPr>
                <w:sz w:val="19"/>
              </w:rPr>
              <w:t>☐</w:t>
            </w:r>
          </w:p>
        </w:tc>
      </w:tr>
    </w:tbl>
    <w:p>
      <w:pPr>
        <w:pStyle w:val="Heading1"/>
      </w:pPr>
      <w:r>
        <w:t>3. Declaration of AI assistance in manuscript preparation (template)</w:t>
      </w:r>
    </w:p>
    <w:p>
      <w:r>
        <w:t>Elsevier journals ask authors to declare any use of generative AI in preparing the manuscript, separately from methods statements. If AI tools assisted with drafting or editing, adapt the following wording:</w:t>
      </w:r>
    </w:p>
    <w:p>
      <w:r>
        <w:t xml:space="preserve">“Declaration of generative AI and AI-assisted technologies in the manuscript preparation process. During the preparation of this work the author(s) used </w:t>
      </w:r>
      <w:r>
        <w:rPr>
          <w:highlight w:val="yellow"/>
        </w:rPr>
        <w:t>[name of tool or service]</w:t>
      </w:r>
      <w:r>
        <w:t xml:space="preserve"> in order to </w:t>
      </w:r>
      <w:r>
        <w:rPr>
          <w:highlight w:val="yellow"/>
        </w:rPr>
        <w:t>[purpose, for example drafting and language editing of the Methods and supplementary files]</w:t>
      </w:r>
      <w:r>
        <w:t>. After using this tool or service, the author(s) reviewed and edited the content as needed and take(s) full responsibility for the content of the published article.”</w:t>
      </w:r>
    </w:p>
    <w:p>
      <w:r>
        <w:t>This declaration is separate from the Methods statement that no automated transcription or generative-AI tools were used in data handling or analysis. Confirm the exact wording and placement in the journal’s current Guide for Authors.</w:t>
      </w:r>
    </w:p>
    <w:p>
      <w:pPr>
        <w:pStyle w:val="Heading1"/>
      </w:pPr>
      <w:r>
        <w:t>4. Revised files</w:t>
      </w:r>
    </w:p>
    <w:p>
      <w:pPr>
        <w:pStyle w:val="ListBullet"/>
      </w:pPr>
      <w:r>
        <w:t>Nurse_Managers_Introduction_and_Methods_revised.docx</w:t>
      </w:r>
    </w:p>
    <w:p>
      <w:pPr>
        <w:pStyle w:val="ListBullet"/>
      </w:pPr>
      <w:r>
        <w:t>Supplementary_File_1_Interview_Guide_revised.docx</w:t>
      </w:r>
    </w:p>
    <w:p>
      <w:pPr>
        <w:pStyle w:val="ListBullet"/>
      </w:pPr>
      <w:r>
        <w:t>Supplementary_File_2_SRQR_COREQ_revised.docx</w:t>
      </w:r>
    </w:p>
    <w:p>
      <w:pPr>
        <w:pStyle w:val="ListBullet"/>
      </w:pPr>
      <w:r>
        <w:t>Supplementary_File_3_Eligibility_Data_Management_Ethics_revised.docx</w:t>
      </w:r>
    </w:p>
    <w:p>
      <w:pPr>
        <w:pStyle w:val="ListBullet"/>
      </w:pPr>
      <w:r>
        <w:t>Discussion_Limitations_Draft.docx</w:t>
      </w:r>
    </w:p>
    <w:sectPr w:rsidR="00FC693F" w:rsidRPr="0006063C" w:rsidSect="00034616">
      <w:footerReference w:type="default" r:id="rId9"/>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76"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6"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76"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76"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76" w:lineRule="auto"/>
    </w:pPr>
    <w:rPr>
      <w:rFonts w:cstheme="majorBidi" w:ascii="Times New Roman" w:hAnsi="Times New Roman"/>
      <w:i w:val="0"/>
      <w:iCs/>
      <w:color w:val="000000"/>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76"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76"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subject/>
  <dc:creator/>
  <cp:keywords/>
  <dc:description/>
  <cp:lastModifiedBy/>
  <cp:revision>1</cp:revision>
  <dcterms:created xsi:type="dcterms:W3CDTF">2013-12-23T23:15:00Z</dcterms:created>
  <dcterms:modified xsi:type="dcterms:W3CDTF">2013-12-23T23:15:00Z</dcterms:modified>
  <cp:category/>
</cp:coreProperties>
</file>