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2</w:t>
      </w:r>
    </w:p>
    <w:p>
      <w:pPr>
        <w:pStyle w:val="Subtitle"/>
      </w:pPr>
      <w:r>
        <w:t>SRQR and COREQ Reporting Map</w:t>
      </w:r>
    </w:p>
    <w:p>
      <w:r>
        <w:t>Study: The Burden of Proof: Unit-Level Nurse Managers’ Judgements and Responses to Nurses’ Care Concerns When Quality Indicators Appear Reassuring—An Interpretive Description</w:t>
      </w:r>
    </w:p>
    <w:p>
      <w:r>
        <w:t>This map locates reporting in the Introduction, Methods and supplementary materials. Entries relating to the remaining manuscript sections require completion against those sections. Section references are used because pagination may change when the full manuscript is assembled.</w:t>
      </w:r>
    </w:p>
    <w:p>
      <w:pPr>
        <w:pStyle w:val="Heading1"/>
      </w:pPr>
      <w:r>
        <w:t>S2.1 Standards for Reporting Qualitative Research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6696"/>
        <w:gridCol w:w="2016"/>
      </w:tblGrid>
      <w:tr>
        <w:trPr>
          <w:cantSplit/>
          <w:tblHeader/>
        </w:trPr>
        <w:tc>
          <w:tcPr>
            <w:tcW w:type="dxa" w:w="648"/>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Item</w:t>
            </w:r>
          </w:p>
        </w:tc>
        <w:tc>
          <w:tcPr>
            <w:tcW w:type="dxa" w:w="6696"/>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Reporting</w:t>
            </w:r>
          </w:p>
        </w:tc>
        <w:tc>
          <w:tcPr>
            <w:tcW w:type="dxa" w:w="2016"/>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Location</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Title</w:t>
              <w:br/>
              <w:t>Identifies the study as qualitative and names the approach (interpretive description).</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Title</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S2</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Abstract</w:t>
              <w:br/>
              <w:t>To be completed against the full Abstract.</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Abstract</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S3</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Problem formulation</w:t>
              <w:br/>
              <w:t>Nurses’ care concerns can coexist with reassuring quality indicators, raising a “burden of proof” question for unit-level nurse managers.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Introduction</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S4</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Purpose or research question</w:t>
              <w:br/>
              <w:t>Aim, research question and four objectives stated.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1.1–1.2</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S5</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Qualitative approach and research paradigm</w:t>
              <w:br/>
              <w:t>Interpretive description with a naturalistic, constructivist orientation; rationale linked to the applied nursing-management question. Sensitising concepts informed inquiry without determining the coding framework.</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2.1</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S6</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Researcher characteristics and reflexivity</w:t>
              <w:br/>
              <w:t>Three bilingual researchers with nursing, managerial and qualitative-research backgrounds. No formal employment, supervisory, academic or evaluative relationships with participants. Professional positioning, reflexive journalling and challenges to assumptions are described.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S7</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Context</w:t>
              <w:br/>
              <w:t>Six accredited public hospitals in Jouf, northern Saudi Arabia (200–420 beds), within shared regional governance. Monthly indicator reporting and unit-manager accountability are described.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2.2</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S8</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Sampling strategy</w:t>
              <w:br/>
              <w:t>Purposive maximum-variation sampling across four dimensions, becoming analytically informed. Sample size planned using information power, with a provisional range of 18–25. Recruitment stopped at interpretive sufficiency (n = 23).</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 Supplementary File 3 (S3.1–S3.2)</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S9</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Ethical issues pertaining to human subjects</w:t>
              <w:br/>
              <w:t>Reported IRB approval (No. 9804, 26 December 2025), written informed consent, voluntary participation, direct researcher–participant contact, a 14-day withdrawal period and safeguards against identification and unauthorised data access.</w:t>
            </w:r>
            <w:r>
              <w:rPr>
                <w:rFonts w:ascii="Times New Roman" w:hAnsi="Times New Roman"/>
                <w:color w:val="000000"/>
                <w:sz w:val="21"/>
              </w:rPr>
              <w:t xml:space="preserve"> Confidentiality exceptions in the approved consent documents: author to confirm.</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2.4; 2.6; 2.9; Supplementary File 3</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S10</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Data collection methods</w:t>
              <w:br/>
              <w:t>One semi-structured interview per participant (January–June 2026), anchored on critical incidents. Probes refined iteratively within the approved scope.</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 Supplementary File 1</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S11</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Data collection instruments and technologies</w:t>
              <w:br/>
              <w:t>Interview guide (English and Arabic), demographic questionnaire, field-note template, audio recording and institutionally licensed video conferencing. Pilot of two interviews.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 Supplementary File 1</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S12</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Units of study</w:t>
              <w:br/>
            </w:r>
            <w:r>
              <w:rPr>
                <w:rFonts w:ascii="Times New Roman" w:hAnsi="Times New Roman"/>
                <w:color w:val="000000"/>
                <w:sz w:val="21"/>
              </w:rPr>
              <w:t>23 unit-level nurse managers across six hospitals and six unit types. Interview language, format and duration are reported. Accounts are classified by whether a qualifying incident was described (2.7); the number in each category, the indicators referred to and whether these addressed the concerns are to be reported in Results from the transcripts. The full participant-characteristics table remains to be checked.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 2.5; 2.7; Results; Supplementary File 3 (S3.2)</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S13</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Data processing</w:t>
              <w:br/>
            </w:r>
            <w:r>
              <w:rPr>
                <w:rFonts w:ascii="Times New Roman" w:hAnsi="Times New Roman"/>
                <w:color w:val="000000"/>
                <w:sz w:val="21"/>
              </w:rPr>
              <w:t>Domestic verbatim transcription, verification against recordings, de-identification, encrypted storage of research files in Saudi Arabia and checking of translated quotations are described. Audio was deleted after verification and de-identification, with dates recorded in the audit trail. Retention arrangements for consent forms, the identification key, contact details and transcriptionist copies: author to confirm (Supplementary File 3, Table S3.6).</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2.6; Supplementary File 3 (S3.3)</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S14</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Data analysis</w:t>
              <w:br/>
              <w:t>Iterative familiarisation, initial coding, comparison within and across accounts, engagement with sensitising concepts, examination of contrasting cases and interpretive synthesis. Two bilingual analysts; NVivo 14.</w:t>
            </w:r>
            <w:r>
              <w:rPr>
                <w:rFonts w:ascii="Times New Roman" w:hAnsi="Times New Roman"/>
                <w:color w:val="000000"/>
                <w:sz w:val="21"/>
              </w:rPr>
              <w:t xml:space="preserve"> Accounts were classified by whether a qualifying incident was described, and accounts without one were analysed separately. The possible influence of evidence-focused Section D questions was considered.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2.7</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S15</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Techniques to enhance trustworthiness</w:t>
              <w:br/>
              <w:t>Rigour addressed through epistemological integrity, representative credibility, analytic logic and interpretive authority; audit trail, peer debriefing, negative and contrasting cases, reflexivity and member reflection are described.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S16</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Synthesis and interpretation</w:t>
              <w:br/>
            </w:r>
            <w:r>
              <w:rPr>
                <w:rFonts w:ascii="Times New Roman" w:hAnsi="Times New Roman"/>
                <w:color w:val="000000"/>
                <w:sz w:val="21"/>
              </w:rPr>
              <w:t>To be completed against the interpretive findings. Any practice framework must be supported by the findings and described as untested (2.7).</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Results</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S17</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Links to empirical data</w:t>
              <w:br/>
              <w:t>To be completed against the empirical quotations supporting the findings.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Results</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S18</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Integration with prior work, implications, transferability and contribution</w:t>
              <w:br/>
              <w:t>To be completed against the Discussion.</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Discussion</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S19</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Limitations</w:t>
              <w:br/>
            </w:r>
            <w:r>
              <w:rPr>
                <w:rFonts w:ascii="Times New Roman" w:hAnsi="Times New Roman"/>
                <w:color w:val="000000"/>
                <w:sz w:val="21"/>
              </w:rPr>
              <w:t>Draft limitations text provided separately: evidence-focused framing of question D2, incident availability, retrospective self-report, single-region public-hospital setting, partial member-reflection response and untested framework. To be finalised in the Discussion.</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Discussion</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S20</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Conflicts of interest</w:t>
              <w:br/>
              <w:t>To be completed against the conflict-of-interest declaration.</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Declarations</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S21</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Funding</w:t>
              <w:br/>
              <w:t>To be completed against the funding declaration.</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Declarations</w:t>
            </w:r>
          </w:p>
        </w:tc>
      </w:tr>
    </w:tbl>
    <w:p>
      <w:pPr>
        <w:pStyle w:val="Heading1"/>
      </w:pPr>
      <w:r>
        <w:t>S2.2 Consolidated Criteria for Reporting Qualitative Research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6696"/>
        <w:gridCol w:w="2016"/>
      </w:tblGrid>
      <w:tr>
        <w:trPr>
          <w:cantSplit/>
          <w:tblHeader/>
        </w:trPr>
        <w:tc>
          <w:tcPr>
            <w:tcW w:type="dxa" w:w="648"/>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Item</w:t>
            </w:r>
          </w:p>
        </w:tc>
        <w:tc>
          <w:tcPr>
            <w:tcW w:type="dxa" w:w="6696"/>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Reporting</w:t>
            </w:r>
          </w:p>
        </w:tc>
        <w:tc>
          <w:tcPr>
            <w:tcW w:type="dxa" w:w="2016"/>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Location</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Interviewer or facilitator</w:t>
              <w:br/>
              <w:t>The first author (R1) conducted all 23 interviews.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Credentials</w:t>
              <w:br/>
              <w:t>R1: RN, PhD; nurse academic with doctoral training in qualitative methods.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3</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Occupation</w:t>
              <w:br/>
              <w:t>Nurse academic at the time of the study.</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4</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Gender</w:t>
              <w:br/>
              <w:t>Not reported; author completion required.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5</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Experience and training</w:t>
              <w:br/>
              <w:t>Doctoral training in qualitative methods. Trained and experienced in qualitative interviewing. Former unit-level nurse manager in a Saudi hospital outside the study region.</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 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6</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Relationship established</w:t>
              <w:br/>
            </w:r>
            <w:r>
              <w:rPr>
                <w:rFonts w:ascii="Times New Roman" w:hAnsi="Times New Roman"/>
                <w:color w:val="000000"/>
                <w:sz w:val="21"/>
              </w:rPr>
              <w:t>No employment, supervisory, academic or evaluative relationship with participants. Prior personal acquaintance: author to confirm (2.8).</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2.2; 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7</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Participant knowledge of the interviewer</w:t>
              <w:br/>
              <w:t>The information sheet identified R1’s name, academic role, nursing-management background and study purpose.</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2.4</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8</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Interviewer characteristics</w:t>
              <w:br/>
              <w:t>Insider position as a former nurse manager, potential assumptions and sympathies, and strategies used to manage them are reported.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9</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Methodological orientation and theory</w:t>
              <w:br/>
              <w:t>Interpretive description; constructivist orientation; sensitising concepts (soft intelligence, problem-sensing versus comfort-seeking, burden of proof).</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2.1</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10</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Sampling</w:t>
              <w:br/>
              <w:t>Purposive maximum-variation sampling, becoming analytically informed.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11</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Method of approach</w:t>
              <w:br/>
              <w:t>One standard invitation was emailed by each Director of Nursing, who acted only as gatekeeper. Volunteers contacted the research team directly, and the team handled all further contact and scheduling.</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2.4</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12</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Sample size</w:t>
              <w:br/>
              <w:t>23 unit-level nurse managers.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13</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Non-participation</w:t>
              <w:br/>
              <w:t>38 eligible managers were invited and 29 volunteered. Nine did not respond, and no reasons were sought. Of the 29 volunteers, 6 were not interviewed: 2 because of leave, 1 who withdrew before interview citing workload, and 3 who volunteered after interpretive sufficiency was reached. No participant withdrew after interview.</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2.4; Supplementary File 3 (S3.2)</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14</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Setting of data collection</w:t>
              <w:br/>
              <w:t>Face-to-face interviews in private non-clinical education or training rooms (n = 18), or institutionally licensed video conferencing (n = 5). Off-site interviews were offered but none were reported.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2.4; 2.5</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15</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Presence of non-participants</w:t>
              <w:br/>
              <w:t>None. Only the participant and interviewer were present.</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16</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Description of sample</w:t>
              <w:br/>
              <w:t>Hospital and unit-type distributions are reported. The full participant-characteristics table remains to be checked.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 Supplementary File 3 (S3.2)</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17</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Interview guide</w:t>
              <w:br/>
              <w:t>Provided in English and Arabic. Developed from the literature and objectives, reviewed by experts and piloted in two interviews (early January 2026). Version history provided.</w:t>
            </w:r>
            <w:r>
              <w:rPr>
                <w:rFonts w:ascii="Times New Roman" w:hAnsi="Times New Roman"/>
                <w:color w:val="000000"/>
                <w:sz w:val="21"/>
              </w:rPr>
              <w:t xml:space="preserve"> Question D2 is reproduced as administered; its evidence-focused framing is acknowledged in 2.5.</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 Supplementary File 1</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18</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Repeat interviews</w:t>
              <w:br/>
              <w:t>None. One interview per participant, as approved.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 2.9</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19</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Audio or visual recording</w:t>
              <w:br/>
            </w:r>
            <w:r>
              <w:rPr>
                <w:rFonts w:ascii="Times New Roman" w:hAnsi="Times New Roman"/>
                <w:color w:val="000000"/>
                <w:sz w:val="21"/>
              </w:rPr>
              <w:t>Audio-recorded on encrypted recorders. Video interviews were recorded as audio only; no Teams recording or transcription function was used.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20</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Field notes</w:t>
              <w:br/>
              <w:t>Made after each interview using a standard template.</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 Supplementary File 1 (S1.8)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21</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Duration</w:t>
              <w:br/>
              <w:t>42–81 minutes (mean 58).</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22</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Data saturation</w:t>
              <w:br/>
              <w:t>Sample adequacy was guided by information power and documented interpretive sufficiency, together with representation of each hospital and unit type.</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Transcripts returned</w:t>
              <w:br/>
              <w:t>Transcripts were not returned. Participants were instead offered optional member reflection on a summary of preliminary interpretations, and 10 of 23 responded.</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24</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Number of data coders</w:t>
              <w:br/>
              <w:t>R1 coded all transcripts. R2 independently coded 12 transcripts and reviewed coding of the remainder. R3 contributed to 14 analytic meetings.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2.7</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25</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Description of the coding tree</w:t>
              <w:br/>
              <w:t>Development and revision of the coding structure are described. The final thematic structure requires checking against the Results.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2.7; Results</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26</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Derivation of themes</w:t>
              <w:br/>
              <w:t>Derived inductively from the data, with deliberate comparison against sensitising concepts after initial coding.</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2.7</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27</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Software</w:t>
              <w:br/>
              <w:t>NVivo 14 (Lumivero).</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2.7</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Participant checking</w:t>
              <w:br/>
              <w:t>Optional member reflection, treated as additional data rather than validation. Responses refined one theme on informal follow-up.</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2.8</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29</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Quotations presented</w:t>
              <w:br/>
              <w:t>To be completed against the Results and supporting quotations.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Results</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30</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Data and findings consistent</w:t>
              <w:br/>
              <w:t>To be completed against the Results and supporting quotations.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Results</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31</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Clarity of major themes</w:t>
              <w:br/>
              <w:t>To be completed against the Results and supporting quotations.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Results</w:t>
            </w:r>
          </w:p>
        </w:tc>
      </w:tr>
      <w:tr>
        <w:trPr>
          <w:cantSplit/>
        </w:trPr>
        <w:tc>
          <w:tcPr>
            <w:tcW w:type="dxa" w:w="648"/>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32</w:t>
            </w:r>
          </w:p>
        </w:tc>
        <w:tc>
          <w:tcPr>
            <w:tcW w:type="dxa" w:w="669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Clarity of minor themes</w:t>
              <w:br/>
              <w:t>To be completed against the Results and supporting quotations.</w:t>
            </w:r>
          </w:p>
        </w:tc>
        <w:tc>
          <w:tcPr>
            <w:tcW w:type="dxa" w:w="2016"/>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Results</w:t>
            </w:r>
          </w:p>
        </w:tc>
      </w:tr>
    </w:tbl>
    <w:p>
      <w:pPr>
        <w:pStyle w:val="Heading1"/>
      </w:pPr>
      <w:r>
        <w:t>References</w:t>
      </w:r>
    </w:p>
    <w:p>
      <w:pPr>
        <w:keepLines/>
        <w:spacing w:line="252" w:lineRule="auto" w:after="120"/>
        <w:ind w:left="432" w:hanging="432"/>
      </w:pPr>
      <w:r>
        <w:rPr>
          <w:sz w:val="22"/>
        </w:rPr>
        <w:t xml:space="preserve">O’Brien, B. C., Harris, I. B., Beckman, T. J., Reed, D. A., &amp; Cook, D. A. (2014). Standards for reporting qualitative research: A synthesis of recommendations. </w:t>
      </w:r>
      <w:r>
        <w:rPr>
          <w:i/>
          <w:sz w:val="22"/>
        </w:rPr>
        <w:t>Academic Medicine, 89</w:t>
      </w:r>
      <w:r>
        <w:rPr>
          <w:sz w:val="22"/>
        </w:rPr>
        <w:t>(9), 1245–1251. https://doi.org/10.1097/ACM.0000000000000388</w:t>
      </w:r>
    </w:p>
    <w:p>
      <w:pPr>
        <w:keepLines/>
        <w:spacing w:line="252" w:lineRule="auto" w:after="120"/>
        <w:ind w:left="432" w:hanging="432"/>
      </w:pPr>
      <w:r>
        <w:rPr>
          <w:sz w:val="22"/>
        </w:rPr>
        <w:t xml:space="preserve">Tong, A., Sainsbury, P., &amp; Craig, J. (2007). Consolidated criteria for reporting qualitative research (COREQ): A 32-item checklist for interviews and focus groups. </w:t>
      </w:r>
      <w:r>
        <w:rPr>
          <w:i/>
          <w:sz w:val="22"/>
        </w:rPr>
        <w:t>International Journal for Quality in Health Care, 19</w:t>
      </w:r>
      <w:r>
        <w:rPr>
          <w:sz w:val="22"/>
        </w:rPr>
        <w:t>(6), 349–357. https://doi.org/10.1093/intqhc/mzm042</w:t>
      </w:r>
    </w:p>
    <w:sectPr w:rsidR="00FC693F" w:rsidRPr="0006063C" w:rsidSect="00034616">
      <w:footerReference w:type="default" r:id="rId9"/>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4"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cstheme="majorBidi"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
  <cp:lastModifiedBy/>
  <cp:revision>1</cp:revision>
  <dcterms:created xsi:type="dcterms:W3CDTF">2013-12-23T23:15:00Z</dcterms:created>
  <dcterms:modified xsi:type="dcterms:W3CDTF">2013-12-23T23:15:00Z</dcterms:modified>
  <cp:category/>
</cp:coreProperties>
</file>