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color w:val="666666"/>
          <w:sz w:val="20"/>
          <w:szCs w:val="20"/>
        </w:rPr>
        <w:t xml:space="preserve">EMAIL 2 – SUBMITTING THE RESPONSE</w:t>
      </w:r>
    </w:p>
    <w:p>
      <w:pPr>
        <w:spacing w:after="240" w:before="0" w:line="360"/>
        <w:jc w:val="left"/>
      </w:pPr>
      <w:r>
        <w:rPr>
          <w:rFonts w:ascii="Times New Roman" w:cs="Times New Roman" w:eastAsia="Times New Roman" w:hAnsi="Times New Roman"/>
          <w:b w:val="false"/>
          <w:bCs w:val="false"/>
          <w:i/>
          <w:iCs/>
          <w:sz w:val="20"/>
          <w:szCs w:val="20"/>
        </w:rPr>
        <w:t xml:space="preserve">Send no later than 25 October 2026, to everyone in copy on the co-editors’ email, with 01_Response_to_Commentary_NICC.docx attached.</w:t>
      </w:r>
    </w:p>
    <w:p>
      <w:pPr>
        <w:spacing w:after="80"/>
      </w:pPr>
      <w:r>
        <w:rPr>
          <w:rFonts w:ascii="Times New Roman" w:cs="Times New Roman" w:eastAsia="Times New Roman" w:hAnsi="Times New Roman"/>
          <w:b/>
          <w:bCs/>
          <w:sz w:val="24"/>
          <w:szCs w:val="24"/>
        </w:rPr>
        <w:t xml:space="preserve">To: </w:t>
      </w:r>
      <w:r>
        <w:rPr>
          <w:rFonts w:ascii="Times New Roman" w:cs="Times New Roman" w:eastAsia="Times New Roman" w:hAnsi="Times New Roman"/>
          <w:b w:val="false"/>
          <w:bCs w:val="false"/>
          <w:sz w:val="24"/>
          <w:szCs w:val="24"/>
        </w:rPr>
        <w:t xml:space="preserve">Josef Trapani; Peter Nydahl</w:t>
      </w:r>
    </w:p>
    <w:p>
      <w:pPr>
        <w:spacing w:after="80"/>
      </w:pPr>
      <w:r>
        <w:rPr>
          <w:rFonts w:ascii="Times New Roman" w:cs="Times New Roman" w:eastAsia="Times New Roman" w:hAnsi="Times New Roman"/>
          <w:b/>
          <w:bCs/>
          <w:sz w:val="24"/>
          <w:szCs w:val="24"/>
        </w:rPr>
        <w:t xml:space="preserve">Cc: </w:t>
      </w:r>
      <w:r>
        <w:rPr>
          <w:rFonts w:ascii="Times New Roman" w:cs="Times New Roman" w:eastAsia="Times New Roman" w:hAnsi="Times New Roman"/>
          <w:b w:val="false"/>
          <w:bCs w:val="false"/>
          <w:sz w:val="24"/>
          <w:szCs w:val="24"/>
          <w:shd w:fill="FFFF00" w:color="auto" w:val="clear"/>
        </w:rPr>
        <w:t xml:space="preserve">[everyone copied on the co-editors’ email]</w:t>
      </w:r>
    </w:p>
    <w:p>
      <w:pPr>
        <w:spacing w:after="80"/>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b w:val="false"/>
          <w:bCs w:val="false"/>
          <w:sz w:val="24"/>
          <w:szCs w:val="24"/>
        </w:rPr>
        <w:t xml:space="preserve">Response to commentary on Samy et al., Nursing in Critical Care 2026;31(5):e70620</w:t>
      </w:r>
    </w:p>
    <w:p>
      <w:pPr>
        <w:spacing w:after="80"/>
      </w:pPr>
      <w:r>
        <w:rPr>
          <w:rFonts w:ascii="Times New Roman" w:cs="Times New Roman" w:eastAsia="Times New Roman" w:hAnsi="Times New Roman"/>
          <w:b/>
          <w:bCs/>
          <w:sz w:val="24"/>
          <w:szCs w:val="24"/>
        </w:rPr>
        <w:t xml:space="preserve">Attachment: </w:t>
      </w:r>
      <w:r>
        <w:rPr>
          <w:rFonts w:ascii="Times New Roman" w:cs="Times New Roman" w:eastAsia="Times New Roman" w:hAnsi="Times New Roman"/>
          <w:b w:val="false"/>
          <w:bCs w:val="false"/>
          <w:sz w:val="24"/>
          <w:szCs w:val="24"/>
        </w:rPr>
        <w:t xml:space="preserve">01_Response_to_Commentary_NICC.docx</w:t>
      </w:r>
    </w:p>
    <w:p>
      <w:pPr>
        <w:pBdr>
          <w:bottom w:val="single" w:color="999999" w:sz="6" w:space="4"/>
        </w:pBdr>
        <w:spacing w:after="240"/>
      </w:pPr>
    </w:p>
    <w:p>
      <w:pPr>
        <w:spacing w:after="200" w:before="0" w:line="360"/>
        <w:jc w:val="left"/>
      </w:pPr>
      <w:r>
        <w:rPr>
          <w:rFonts w:ascii="Times New Roman" w:cs="Times New Roman" w:eastAsia="Times New Roman" w:hAnsi="Times New Roman"/>
          <w:b w:val="false"/>
          <w:bCs w:val="false"/>
          <w:sz w:val="24"/>
          <w:szCs w:val="24"/>
        </w:rPr>
        <w:t xml:space="preserve">Dear Dr Trapani and Dr Nydahl,</w:t>
      </w:r>
    </w:p>
    <w:p>
      <w:pPr>
        <w:spacing w:after="200" w:before="0" w:line="360"/>
        <w:jc w:val="left"/>
      </w:pPr>
      <w:r>
        <w:rPr>
          <w:rFonts w:ascii="Times New Roman" w:cs="Times New Roman" w:eastAsia="Times New Roman" w:hAnsi="Times New Roman"/>
          <w:b w:val="false"/>
          <w:bCs w:val="false"/>
          <w:sz w:val="24"/>
          <w:szCs w:val="24"/>
        </w:rPr>
        <w:t xml:space="preserve">As agreed, please find attached our response to the commentary “Calibrated to what? Feedback asymmetry and the limits of experiential trust in AI-assisted early warning”, which discusses our article “Trusting the Algorithm or Trusting the Nurse? Critical Care Nurses’ Experiences of Automation Bias and Professional Autonomy in AI-Assisted Early Warning” (Nursing in Critical Care, 2026;31(5):e70620; doi:10.1111/nicc.70620).</w:t>
      </w:r>
    </w:p>
    <w:p>
      <w:pPr>
        <w:spacing w:after="200" w:before="0" w:line="360"/>
        <w:jc w:val="left"/>
      </w:pPr>
      <w:r>
        <w:rPr>
          <w:rFonts w:ascii="Times New Roman" w:cs="Times New Roman" w:eastAsia="Times New Roman" w:hAnsi="Times New Roman"/>
          <w:b w:val="false"/>
          <w:bCs w:val="false"/>
          <w:sz w:val="24"/>
          <w:szCs w:val="24"/>
        </w:rPr>
        <w:t xml:space="preserve">Our response is entitled “Reading the patient, measuring the system: Two reference points for nurses’ trust in AI-assisted early warning”. Its main text runs to 1,481 words, including headings and excluding the title (16 words), end statements and references, within the 1,500-word limit. All three authors have read and approved it.</w:t>
      </w:r>
    </w:p>
    <w:p>
      <w:pPr>
        <w:spacing w:after="200" w:before="0" w:line="360"/>
        <w:jc w:val="left"/>
      </w:pPr>
      <w:r>
        <w:rPr>
          <w:rFonts w:ascii="Times New Roman" w:cs="Times New Roman" w:eastAsia="Times New Roman" w:hAnsi="Times New Roman"/>
          <w:b w:val="false"/>
          <w:bCs w:val="false"/>
          <w:sz w:val="24"/>
          <w:szCs w:val="24"/>
        </w:rPr>
        <w:t xml:space="preserve">We are grateful to the commentators for their thoughtful critique. In our response we:</w:t>
      </w:r>
    </w:p>
    <w:p>
      <w:pPr>
        <w:pStyle w:val="ListParagraph"/>
        <w:numPr>
          <w:ilvl w:val="0"/>
          <w:numId w:val="2"/>
        </w:numPr>
        <w:spacing w:after="80" w:before="0" w:line="360"/>
        <w:jc w:val="left"/>
      </w:pPr>
      <w:r>
        <w:rPr>
          <w:rFonts w:ascii="Times New Roman" w:cs="Times New Roman" w:eastAsia="Times New Roman" w:hAnsi="Times New Roman"/>
          <w:b w:val="false"/>
          <w:bCs w:val="false"/>
          <w:sz w:val="24"/>
          <w:szCs w:val="24"/>
        </w:rPr>
        <w:t xml:space="preserve">clarify what our interpretive study claimed about nurses’ trust, stating precisely that participants described adjusting their trust through experience, while the accuracy of those adjustments was not evaluated;</w:t>
      </w:r>
    </w:p>
    <w:p>
      <w:pPr>
        <w:pStyle w:val="ListParagraph"/>
        <w:numPr>
          <w:ilvl w:val="0"/>
          <w:numId w:val="2"/>
        </w:numPr>
        <w:spacing w:after="80" w:before="0" w:line="360"/>
        <w:jc w:val="left"/>
      </w:pPr>
      <w:r>
        <w:rPr>
          <w:rFonts w:ascii="Times New Roman" w:cs="Times New Roman" w:eastAsia="Times New Roman" w:hAnsi="Times New Roman"/>
          <w:b w:val="false"/>
          <w:bCs w:val="false"/>
          <w:sz w:val="24"/>
          <w:szCs w:val="24"/>
        </w:rPr>
        <w:t xml:space="preserve">engage with the feedback asymmetry they describe and show how it connects with our findings on nursing surveillance and silent override; and</w:t>
      </w:r>
    </w:p>
    <w:p>
      <w:pPr>
        <w:pStyle w:val="ListParagraph"/>
        <w:numPr>
          <w:ilvl w:val="0"/>
          <w:numId w:val="2"/>
        </w:numPr>
        <w:spacing w:after="80" w:before="0" w:line="360"/>
        <w:jc w:val="left"/>
      </w:pPr>
      <w:r>
        <w:rPr>
          <w:rFonts w:ascii="Times New Roman" w:cs="Times New Roman" w:eastAsia="Times New Roman" w:hAnsi="Times New Roman"/>
          <w:b w:val="false"/>
          <w:bCs w:val="false"/>
          <w:sz w:val="24"/>
          <w:szCs w:val="24"/>
        </w:rPr>
        <w:t xml:space="preserve">set out where our recommendations converge with theirs, including symmetric, log-based capture of alert outputs, responses and outcomes, nurse-facing performance reports that include missed events, and the evaluation designs needed to test whether nurses’ trust tracks the system’s reliability.</w:t>
      </w:r>
    </w:p>
    <w:p>
      <w:pPr>
        <w:spacing w:after="200" w:before="0" w:line="360"/>
        <w:jc w:val="left"/>
      </w:pPr>
      <w:r>
        <w:rPr>
          <w:rFonts w:ascii="Times New Roman" w:cs="Times New Roman" w:eastAsia="Times New Roman" w:hAnsi="Times New Roman"/>
          <w:b w:val="false"/>
          <w:bCs w:val="false"/>
          <w:sz w:val="24"/>
          <w:szCs w:val="24"/>
        </w:rPr>
        <w:t xml:space="preserve">Because the commentary will be published alongside our response and its bibliographic details are not yet available to us, we refer to it in the text as “the commentators” and have not listed it in the references. Should the journal’s style require a formal citation, we would be grateful if the Editorial Office could add it as reference 1 at its first mention in the Introduction and renumber the remaining references accordingly.</w:t>
      </w:r>
    </w:p>
    <w:p>
      <w:pPr>
        <w:spacing w:after="200" w:before="0" w:line="360"/>
        <w:jc w:val="left"/>
      </w:pPr>
      <w:r>
        <w:rPr>
          <w:rFonts w:ascii="Times New Roman" w:cs="Times New Roman" w:eastAsia="Times New Roman" w:hAnsi="Times New Roman"/>
          <w:b w:val="false"/>
          <w:bCs w:val="false"/>
          <w:sz w:val="24"/>
          <w:szCs w:val="24"/>
        </w:rPr>
        <w:t xml:space="preserve">We would be happy to make any editorial changes you require.</w:t>
      </w:r>
    </w:p>
    <w:p>
      <w:pPr>
        <w:spacing w:after="200" w:before="0" w:line="360"/>
        <w:jc w:val="left"/>
      </w:pPr>
      <w:r>
        <w:rPr>
          <w:rFonts w:ascii="Times New Roman" w:cs="Times New Roman" w:eastAsia="Times New Roman" w:hAnsi="Times New Roman"/>
          <w:b w:val="false"/>
          <w:bCs w:val="false"/>
          <w:sz w:val="24"/>
          <w:szCs w:val="24"/>
        </w:rPr>
        <w:t xml:space="preserve">With best wishes,</w:t>
      </w:r>
    </w:p>
    <w:p>
      <w:pPr>
        <w:spacing w:after="0" w:before="0" w:line="276"/>
        <w:jc w:val="left"/>
      </w:pPr>
      <w:r>
        <w:rPr>
          <w:rFonts w:ascii="Times New Roman" w:cs="Times New Roman" w:eastAsia="Times New Roman" w:hAnsi="Times New Roman"/>
          <w:b/>
          <w:bCs/>
          <w:sz w:val="24"/>
          <w:szCs w:val="24"/>
        </w:rPr>
        <w:t xml:space="preserve">Osama Mohamed Elsayed Ramadan</w:t>
      </w:r>
    </w:p>
    <w:p>
      <w:pPr>
        <w:spacing w:after="0" w:before="0" w:line="276"/>
        <w:jc w:val="left"/>
      </w:pPr>
      <w:r>
        <w:rPr>
          <w:rFonts w:ascii="Times New Roman" w:cs="Times New Roman" w:eastAsia="Times New Roman" w:hAnsi="Times New Roman"/>
          <w:b w:val="false"/>
          <w:bCs w:val="false"/>
          <w:sz w:val="24"/>
          <w:szCs w:val="24"/>
        </w:rPr>
        <w:t xml:space="preserve">Corresponding author, on behalf of Reda Samy and Ghada Elsaid Ali Elsayed</w:t>
      </w:r>
    </w:p>
    <w:p>
      <w:pPr>
        <w:spacing w:after="0" w:before="0" w:line="276"/>
        <w:jc w:val="left"/>
      </w:pPr>
      <w:r>
        <w:rPr>
          <w:rFonts w:ascii="Times New Roman" w:cs="Times New Roman" w:eastAsia="Times New Roman" w:hAnsi="Times New Roman"/>
          <w:b w:val="false"/>
          <w:bCs w:val="false"/>
          <w:sz w:val="24"/>
          <w:szCs w:val="24"/>
        </w:rPr>
        <w:t xml:space="preserve">Department of Maternal and Child Health Nursing, College of Nursing, Jouf University, Sakaka, Saudi Arabia</w:t>
      </w:r>
    </w:p>
    <w:p>
      <w:pPr>
        <w:spacing w:after="0" w:before="0" w:line="276"/>
        <w:jc w:val="left"/>
      </w:pPr>
      <w:r>
        <w:rPr>
          <w:rFonts w:ascii="Times New Roman" w:cs="Times New Roman" w:eastAsia="Times New Roman" w:hAnsi="Times New Roman"/>
          <w:b w:val="false"/>
          <w:bCs w:val="false"/>
          <w:sz w:val="24"/>
          <w:szCs w:val="24"/>
        </w:rPr>
        <w:t xml:space="preserve">omramadan@ju.edu.sa</w:t>
      </w:r>
    </w:p>
    <w:p>
      <w:pPr>
        <w:keepNext/>
        <w:spacing w:after="120" w:before="480" w:line="360"/>
      </w:pPr>
      <w:r>
        <w:rPr>
          <w:rFonts w:ascii="Times New Roman" w:cs="Times New Roman" w:eastAsia="Times New Roman" w:hAnsi="Times New Roman"/>
          <w:b/>
          <w:bCs/>
          <w:sz w:val="20"/>
          <w:szCs w:val="20"/>
        </w:rPr>
        <w:t xml:space="preserve">Notes for the authors (delete before sending)</w:t>
      </w:r>
    </w:p>
    <w:p>
      <w:pPr>
        <w:pStyle w:val="ListParagraph"/>
        <w:numPr>
          <w:ilvl w:val="0"/>
          <w:numId w:val="2"/>
        </w:numPr>
        <w:spacing w:after="60" w:before="0" w:line="360"/>
        <w:jc w:val="left"/>
      </w:pPr>
      <w:r>
        <w:rPr>
          <w:rFonts w:ascii="Times New Roman" w:cs="Times New Roman" w:eastAsia="Times New Roman" w:hAnsi="Times New Roman"/>
          <w:b w:val="false"/>
          <w:bCs w:val="false"/>
          <w:sz w:val="20"/>
          <w:szCs w:val="20"/>
        </w:rPr>
        <w:t xml:space="preserve">Attach the final 01_Response_to_Commentary_NICC.docx and confirm that both co-authors have approved that exact version.</w:t>
      </w:r>
    </w:p>
    <w:p>
      <w:pPr>
        <w:pStyle w:val="ListParagraph"/>
        <w:numPr>
          <w:ilvl w:val="0"/>
          <w:numId w:val="2"/>
        </w:numPr>
        <w:spacing w:after="60" w:before="0" w:line="360"/>
        <w:jc w:val="left"/>
      </w:pPr>
      <w:r>
        <w:rPr>
          <w:rFonts w:ascii="Times New Roman" w:cs="Times New Roman" w:eastAsia="Times New Roman" w:hAnsi="Times New Roman"/>
          <w:b w:val="false"/>
          <w:bCs w:val="false"/>
          <w:sz w:val="20"/>
          <w:szCs w:val="20"/>
        </w:rPr>
        <w:t xml:space="preserve">Confirm the Funding statement (“This response received no specific funding”) with your co-authors before sending.</w:t>
      </w:r>
    </w:p>
    <w:p>
      <w:pPr>
        <w:pStyle w:val="ListParagraph"/>
        <w:numPr>
          <w:ilvl w:val="0"/>
          <w:numId w:val="2"/>
        </w:numPr>
        <w:spacing w:after="60" w:before="0" w:line="360"/>
        <w:jc w:val="left"/>
      </w:pPr>
      <w:r>
        <w:rPr>
          <w:rFonts w:ascii="Times New Roman" w:cs="Times New Roman" w:eastAsia="Times New Roman" w:hAnsi="Times New Roman"/>
          <w:b w:val="false"/>
          <w:bCs w:val="false"/>
          <w:sz w:val="20"/>
          <w:szCs w:val="20"/>
        </w:rPr>
        <w:t xml:space="preserve">Word counts in this email are generated from the response file and match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commentary on Samy et al., Nursing in Critical Care 2026;31(5):e70620</dc:title>
  <dc:creator>Osama Mohamed Elsayed Ramadan</dc:creator>
  <cp:lastModifiedBy>Un-named</cp:lastModifiedBy>
  <cp:revision>1</cp:revision>
  <dcterms:created xsi:type="dcterms:W3CDTF">2026-10-09T00:16:30.038Z</dcterms:created>
  <dcterms:modified xsi:type="dcterms:W3CDTF">2026-10-09T00:16:30.038Z</dcterms:modified>
</cp:coreProperties>
</file>

<file path=docProps/custom.xml><?xml version="1.0" encoding="utf-8"?>
<Properties xmlns="http://schemas.openxmlformats.org/officeDocument/2006/custom-properties" xmlns:vt="http://schemas.openxmlformats.org/officeDocument/2006/docPropsVTypes"/>
</file>