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C00000"/>
          <w:sz w:val="20"/>
          <w:szCs w:val="20"/>
        </w:rPr>
        <w:t xml:space="preserve">CONFIDENTIAL – FOR THE THREE AUTHORS ONLY. DO NOT SEND TO THE EDITORS.</w:t>
      </w: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Author briefing: our response to the commentary on our NICC article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What this is, and why we respond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commentary (“Calibrated to what? Feedback asymmetry and the limits of experiential trust in AI-assisted early warning”) is an ordinary scholarly critique, not a complaint, a correction request or a misconduct concern. The co-editors are offering us the right of reply (maximum 1,500 words, due 25 October 2026).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commentary is complimentary in places: it says the study offers “rare access” to how nurses use AI-EWS, that silent override “deserves the governance attention the authors call for”, and that our override field is “valuable”.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Its concern, in its own words, is “one inferential step: from nurses’ accounts of trust to the claim that this trust is calibrated”. It also offers a “complementary reading” of the experience trajectory and disputes our claim to “complicate prevailing accounts”.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Replying is optional, but a calm, rigorous reply strengthens the paper; silence can read as agreement.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Strategy of the final response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Concede precisely, defend firmly.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Where our published wording went further than interview data allow (“actively calibrated”, “correctly dismissing”, “complicate prevailing accounts”), the response says so plainly and states the precise claim: participants described adjusting their trust through experience; the accuracy of those adjustments was not evaluated. Everything else is defended with the commentators’ own sources (Lee &amp; See; Parasuraman &amp; Manzey; Kahneman &amp; Klein; Dietvorst; Jabbour) and with verbatim evidence from our article.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“Reading the patient, measuring the system: Two reference points for nurses’ trust in AI-assisted early warning” states the response’s central argument without naming the commentary: the patient is the reference point for each bedside decision, and local performance data are the reference point for whether learned trust tracks the system.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Firm points the commentators cannot easily answer: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their alternative reading is a plausible hypothesis, not a demonstrated mechanism, and interprets the same accounts as ours; feedback about correctness is incomplete in both directions; algorithm aversion was shown where people could freely choose, whereas our participants’ discretion was constrained; an audit log would record P17’s escalation as acceptance, but the account shows compliance without trust; nurse and model share the same documented observations, so they are not fully independent; and the response proposes a concrete study that would decide between the two readings.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commentary is not listed in the references,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at your request. The response refers to “the commentators” in its text, which is usual when a response is published alongside the commentary. The covering email invites the Editorial Office to add a formal citation if house style requires it.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What we took from the alternative draft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alternative draft you supplied was calm and precise but conceded almost every point and used little evidence from our data. The final response keeps our firm, evidence-based defence and adds the alternative’s best elements: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Element adopted from the alternative draft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Where it appears in the final response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Balanced thesis: reported adjustment of trust does not establish accurate calibration, but understanding how nurses interpret alerts is a distinct contribution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1, Introduction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Precise reformulation: participants described adjusting their trust; accuracy was not evaluated. “Correctly dismissing” read as dismissing an alert the nurse judged unhelpful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2,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Their reading is a plausible hypothesis rather than a demonstrated mechanism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Feedback is incomplete in both directions (averted deterioration; recognised deterioration reveals a missing warning)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nurse and a model can agree and both be wrong; an anchored assessment cannot be an independent standard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4,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Evaluation specifics: outcomes, prediction horizons, thresholds, effects of intervention, periods without alerts, independently ascertained deterioration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Sections 4 and 5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Override field was a governance recommendation, not a tested intervention; accountability should follow clinical reasoning, not conformity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Jabbour et al.: explanations did not mitigate biased predictions; relevance to nursing surveillance untested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Distinguish confidence, reported trust and observed reliance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P14’s “when it would miss” is perceived, not verified, knowledge: nurses can learn only the misses they catch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Judge decisions on the information available at the time, not on outcomes (hindsight)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first paragraph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How the response was checked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Three rounds of independent review: reference verifiers, fidelity checkers (every statement about our article and the commentary), and adversarial reviewers writing as the commentators and as the co-editors, plus a comparison with the alternative draft.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All 34 quotations were checked by script, character for character: 24 against our published article, 6 against the commentary, and 4 against external sources (Blumer, Kahneman &amp; Klein, Tanner).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 new data, participant quotations or claims beyond the published article were introduced. Participant codes are used only for things those participants said.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Word count: 1,477 words of main text including headings (1,493 including the 16-word title), within the 1,500-word limit however it is counted.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Point-by-point map: commentary → our response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526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Commentary point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Our response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Grounding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Interviews cannot observe automation-bias errors (a behavioural construct).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Agreed: no interview can capture an unrecognised error, and we claimed to detect none. Automation bias was a sensitising concept (Blumer). Participants described the pull towards the aid; such reliance becomes bias only when the aid errs.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Article 4.2; 5.1.1.1; 5.1.4.1; Parasuraman &amp; Manzey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From accounts of trust to “calibrated” trust.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Agreed that calibration needs a reference. “Actively calibrated” suggests more than the design supports: participants described adjusting trust; accuracy was not evaluated. Limitations already drew this line.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Abstract; 6.1; 6.2; 6.3; Kahneman &amp; Klein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Specificity and differentiated trust.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Differentiation is not calibration. Self-report reaches trust as an attitude; appropriateness needs behavioural and reference data.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Lee &amp; See; Kohn et al.; P14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Nisbett &amp; Wilson.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for explanations of why participants trusted. Our other claims rest on episodes and reported practices and meanings no audit log records.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P19, P06, P05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Theory is already dynamic.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Accepted; “complicate” overstated. Our contribution is nursing content for Lee &amp; See’s organisational and cultural context.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6.1; Themes 3–4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Feedback asymmetry; “complementary reading”.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as complementary; gap admitted. Their reading is a plausible hypothesis. Feedback is incomplete both ways; our data include misses nurses caught; surveillance must be protected but is not enough; nurse-facing performance reports needed.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5.1.1.2; 5.1.1.3; 6.1; 7–26 months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Algorithm aversion (Dietvorst).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Shown where people could freely choose; our participants’ discretion was constrained. P17: compliance without trust. Silent override adds an organisational layer (P16).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5.1.1.2; 5.1.2.3; Dietvorst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Calibration requires a reference; anchoring; concordant error.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Accepted, with a structural reason (shared documented observations) and evidence (Schwartz et al.). Two reference points: the patient and local performance data.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4.3; P03; Tanner; Schwartz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 local performance estimates; Wong et al.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Conceded. As they note, Wong concerned another model; its lesson transfers. Local evaluation specifics given.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4.3; Wong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Symmetric capture; override-only field.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Override field was a governance recommendation. Symmetric, log-based capture welcomed, including periods without alerts; single-click acknowledgement for every alert.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Behavioural designs; Jabbour et al.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as going further than our proposal; feasible via simulation and vignettes; caution about explanations; a decisive test proposed.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6.4; P05; Jabbour et al.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Reference verification (13 references)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Direct access to Crossref, doi.org, PubMed, JSTOR and Wiley was blocked in our working environment, so every reference was verified in independent rounds using web-search records of the publisher and PubMed pages and the Consensus academic index, which reports DOIs and abstracts. Reviewers also checked that each source supports the exact sentence citing 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900"/>
        <w:gridCol w:w="1150"/>
        <w:gridCol w:w="4526"/>
      </w:tblGrid>
      <w:tr>
        <w:trPr>
          <w:tblHeader/>
        </w:trP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Reference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Verification notes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Samy R, Ramadan OME, Elsayed GEA. Nurs Crit Care 2026;31(5):e70620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PubMed PMID 42598921 and PMC13474463: 2026 Sep;31(5):e70620; doi:10.1111/nicc.70620.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Thorne S. Interpretive Description. 2nd ed. Routledge; 2016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WorldCat OCLC 928613451: second edition, Routledge, New York, 2016.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Blumer H. Am Sociol Rev 1954;19(1):3-10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Both quoted phrases on p. 7. DOI omitted: the JSTOR DOI could not be confirmed, which is acceptable for a 1954 article.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Parasuraman R, Manzey DH. Hum Factors 2010;52(3):381-410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Abstract: “Automation bias results in making both omission and commission errors when decision aids are imperfect”.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Lee JD, See KA. Hum Factors 2004;46(1):50-80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Calibration as correspondence between trust and capabilities; trust defined as an attitude (p. 54); dynamics and context in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Kahneman D, Klein G. Am Psychol 2009;64(6):515-526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19739881. Quotation is the final sentence of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Kohn SC, et al. Front Psychol 2021;12:604977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Classifies trust measures as self-report, behavioural and physiological, including trust attitudes.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Nisbett RE, Wilson TD. Psychol Rev 1977;84(3):231-259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 limits the critique to access to “higher order cognitive processes”.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Dietvorst BJ, Simmons JP, Massey C. J Exp Psychol Gen 2015;144(1):114-126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25401381. Participants chose whether to tie incentives to algorithm or human forecasts.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Tanner CA. J Nurs Educ 2006;45(6):204-211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16780008. Quotation is conclusion 2 of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Schwartz JM, et al. JMIR Hum Factors 2022;9(2):e33960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35550304. 17 clinicians: concordance between their impressions and system predictions influenced perceived accuracy.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Wong A, et al. JAMA Intern Med 2021;181(8):1065-1070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Epic Sepsis Model; AUC 0.63; missed 67% of sepsis cases.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Jabbour S, Fouhey D, Shepard S, et al. JAMA 2023;330(23):2275-2284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doi:10.1001/jama.2023.22295. Vignette study of hospitalist physicians, nurse practitioners and physician assistants: “commonly used image-based AI model explanations did not mitigate this harmful effect”.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Items to confirm before sending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Both co-authors approve the final response, and agree to Email 1 being sent now.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Funding statement: “This response received no specific funding.” Confirm this is correct (the original study was funded by Najran University, grant NU/CPL/MRC/14/4617-1).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If the editors ask for the commentary to be cited formally, add it as reference 1 once its authors and DOI are known; the text needs no other change.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closing sentence names the commentators’ question (‘Calibrated to what?’) as the right question. This attributes their words without citing the commentary; keep it unless you prefer no reference to their wording at all.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Before proofs, re-check our quotations of the commentary against its final published version, in case the commentators revise it.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Private risk note: citation issues in our published article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commentators did not raise any of these, and the response does not mention them. A close reader comparing the two papers could notice them, so all authors should know. Whether to ask Wiley for a correction is the authors’ decision. The response itself cites Thorne, Tanner, Lee &amp; See and Parasuraman &amp; Manzey correctly, which quietly strengthens our theoretical footing.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200"/>
        <w:gridCol w:w="2626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Location in article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Claim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Reference cited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Problem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Background, p. 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Clinical judgement “following Tanner”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[22–24] Zocco &amp; Ferro; Li et al.; O’Connor et al.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None is Tanner; Tanner (2006) is absent from the reference list.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Methods 4.2, p. 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Automation bias theory (omission and commission tendencies)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[36] Allen et al., Lancet Primary Care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Not an originating automation-bias source; Parasuraman &amp; Manzey, Skitka et al. and Lee &amp; See are cited nowhere.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Background, p. 2; Discussion, p. 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Nurses’ involvement in ML decision support; probabilistic outputs of decision support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[20] Mrayyan et al. (concept analysis of autonomy)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Does not match either claim.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Introduction, p. 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AI deterioration models improve outcomes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[3] Mousavi Shabestari et al. (uncertainty in decision-making)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Does not match the claim.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Discussion, p. 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“human factors literature … asymmetric accountability”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[55, 56] two nursing-autonomy studies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Neither is human-factors literature.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Methods 4.1, p. 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 “as articulated by Thorne”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[30] Wilson 2025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Thorne’s own text not cited (minor).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Discussion, p. 11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“In critical care, where surveillance is central … profoundly professional in its effects.”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Sentence appears twice in consecutive paragraphs.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Timeline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Now: send Email 1 (02_Email_1_Confirm_Intention.docx) using “Reply all”.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Within the week: co-authors review 01_Response_to_Commentary_NICC.docx and confirm approval and the Funding statement.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By 25 October 2026: send Email 2 (03_Email_2_Submission_Cover.docx) to all in copy, with the response attached. Do not attach this briefing.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briefing: our response to the commentary on our NICC article</dc:title>
  <dc:creator>Osama Mohamed Elsayed Ramadan</dc:creator>
  <cp:lastModifiedBy>Un-named</cp:lastModifiedBy>
  <cp:revision>1</cp:revision>
  <dcterms:created xsi:type="dcterms:W3CDTF">2026-10-09T00:16:02.339Z</dcterms:created>
  <dcterms:modified xsi:type="dcterms:W3CDTF">2026-10-09T00:16:02.339Z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