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review</w:t>
      </w:r>
      <w:r>
        <w:t xml:space="preserve"> </w:t>
      </w:r>
      <w:r>
        <w:t xml:space="preserve">and</w:t>
      </w:r>
      <w:r>
        <w:t xml:space="preserve"> </w:t>
      </w:r>
      <w:r>
        <w:t xml:space="preserve">provenance</w:t>
      </w:r>
      <w:r>
        <w:t xml:space="preserve"> </w:t>
      </w:r>
      <w:r>
        <w:t xml:space="preserve">audit:</w:t>
      </w:r>
      <w:r>
        <w:t xml:space="preserve"> </w:t>
      </w:r>
      <w:r>
        <w:t xml:space="preserve">AI-</w:t>
      </w:r>
      <w:r>
        <w:t xml:space="preserve"> </w:t>
      </w:r>
      <w:r>
        <w:t xml:space="preserve">versus</w:t>
      </w:r>
      <w:r>
        <w:t xml:space="preserve"> </w:t>
      </w:r>
      <w:r>
        <w:t xml:space="preserve">student-generated</w:t>
      </w:r>
      <w:r>
        <w:t xml:space="preserve"> </w:t>
      </w:r>
      <w:r>
        <w:t xml:space="preserve">mind</w:t>
      </w:r>
      <w:r>
        <w:t xml:space="preserve"> </w:t>
      </w:r>
      <w:r>
        <w:t xml:space="preserve">maps</w:t>
      </w:r>
      <w:r>
        <w:t xml:space="preserve"> </w:t>
      </w:r>
      <w:r>
        <w:t xml:space="preserve">in</w:t>
      </w:r>
      <w:r>
        <w:t xml:space="preserve"> </w:t>
      </w:r>
      <w:r>
        <w:t xml:space="preserve">pediatric</w:t>
      </w:r>
      <w:r>
        <w:t xml:space="preserve"> </w:t>
      </w:r>
      <w:r>
        <w:t xml:space="preserve">neurotrauma</w:t>
      </w:r>
      <w:r>
        <w:t xml:space="preserve"> </w:t>
      </w:r>
      <w:r>
        <w:t xml:space="preserve">nursing</w:t>
      </w:r>
      <w:r>
        <w:t xml:space="preserve"> </w:t>
      </w:r>
      <w:r>
        <w:t xml:space="preserve">education</w:t>
      </w:r>
    </w:p>
    <w:p>
      <w:pPr>
        <w:pStyle w:val="Date"/>
      </w:pPr>
      <w:r>
        <w:t xml:space="preserve">2026-10-10</w:t>
      </w:r>
    </w:p>
    <w:bookmarkStart w:id="20" w:name="bottom-line"/>
    <w:p>
      <w:pPr>
        <w:pStyle w:val="Heading1"/>
      </w:pPr>
      <w:r>
        <w:t xml:space="preserve">1. Bottom line</w:t>
      </w:r>
    </w:p>
    <w:p>
      <w:pPr>
        <w:pStyle w:val="FirstParagraph"/>
      </w:pPr>
      <w:r>
        <w:t xml:space="preserve">No data review can make the submitted Results publishable as observed findings, because the uploaded package states that the numbers were generated, not collected. No raw student-level data were uploaded. The manuscript’s disclosures about provenance therefore cannot be removed. What can be checked is listed below: the arithmetic reconciles, the planning calculations reproduce, and several internal inconsistencies and an instrument flaw need fixing whatever the data’s origin.</w:t>
      </w:r>
    </w:p>
    <w:bookmarkEnd w:id="20"/>
    <w:bookmarkStart w:id="21" w:name="Xa610a27c65945c0dec67f8201426005d808f27a"/>
    <w:p>
      <w:pPr>
        <w:pStyle w:val="Heading1"/>
      </w:pPr>
      <w:r>
        <w:t xml:space="preserve">2. What the uploaded files say about the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Statement in the file</w:t>
            </w:r>
          </w:p>
        </w:tc>
      </w:tr>
      <w:tr>
        <w:tc>
          <w:tcPr/>
          <w:p>
            <w:pPr>
              <w:pStyle w:val="Compact"/>
              <w:jc w:val="left"/>
            </w:pPr>
            <w:r>
              <w:t xml:space="preserve">S1 (Appendix A)</w:t>
            </w:r>
          </w:p>
        </w:tc>
        <w:tc>
          <w:tcPr/>
          <w:p>
            <w:pPr>
              <w:pStyle w:val="Compact"/>
              <w:jc w:val="left"/>
            </w:pPr>
            <w:r>
              <w:t xml:space="preserve">“</w:t>
            </w:r>
            <w:r>
              <w:t xml:space="preserve">All entries in this appendix are fixed scenario values.</w:t>
            </w:r>
            <w:r>
              <w:t xml:space="preserve">”</w:t>
            </w:r>
            <w:r>
              <w:t xml:space="preserve"> </w:t>
            </w:r>
            <w:r>
              <w:t xml:space="preserve">Figure S1 is titled</w:t>
            </w:r>
            <w:r>
              <w:t xml:space="preserve"> </w:t>
            </w:r>
            <w:r>
              <w:t xml:space="preserve">“</w:t>
            </w:r>
            <w:r>
              <w:t xml:space="preserve">Simulated participant flow.</w:t>
            </w:r>
            <w:r>
              <w:t xml:space="preserve">”</w:t>
            </w:r>
          </w:p>
        </w:tc>
      </w:tr>
      <w:tr>
        <w:tc>
          <w:tcPr/>
          <w:p>
            <w:pPr>
              <w:pStyle w:val="Compact"/>
              <w:jc w:val="left"/>
            </w:pPr>
            <w:r>
              <w:t xml:space="preserve">S2 (Appendix B)</w:t>
            </w:r>
          </w:p>
        </w:tc>
        <w:tc>
          <w:tcPr/>
          <w:p>
            <w:pPr>
              <w:pStyle w:val="Compact"/>
              <w:jc w:val="left"/>
            </w:pPr>
            <w:r>
              <w:t xml:space="preserve">Instruments</w:t>
            </w:r>
            <w:r>
              <w:t xml:space="preserve"> </w:t>
            </w:r>
            <w:r>
              <w:t xml:space="preserve">“</w:t>
            </w:r>
            <w:r>
              <w:t xml:space="preserve">have not been clinically or psychometrically validated.</w:t>
            </w:r>
            <w:r>
              <w:t xml:space="preserve">”</w:t>
            </w:r>
          </w:p>
        </w:tc>
      </w:tr>
      <w:tr>
        <w:tc>
          <w:tcPr/>
          <w:p>
            <w:pPr>
              <w:pStyle w:val="Compact"/>
              <w:jc w:val="left"/>
            </w:pPr>
            <w:r>
              <w:t xml:space="preserve">S3 (Appendix C)</w:t>
            </w:r>
          </w:p>
        </w:tc>
        <w:tc>
          <w:tcPr/>
          <w:p>
            <w:pPr>
              <w:pStyle w:val="Compact"/>
              <w:jc w:val="left"/>
            </w:pPr>
            <w:r>
              <w:t xml:space="preserve">“</w:t>
            </w:r>
            <w:r>
              <w:t xml:space="preserve">Educational draft instrument; no real psychometric validation has been performed.</w:t>
            </w:r>
            <w:r>
              <w:t xml:space="preserve">”</w:t>
            </w:r>
          </w:p>
        </w:tc>
      </w:tr>
      <w:tr>
        <w:tc>
          <w:tcPr/>
          <w:p>
            <w:pPr>
              <w:pStyle w:val="Compact"/>
              <w:jc w:val="left"/>
            </w:pPr>
            <w:r>
              <w:t xml:space="preserve">S4 (Appendix D)</w:t>
            </w:r>
          </w:p>
        </w:tc>
        <w:tc>
          <w:tcPr/>
          <w:p>
            <w:pPr>
              <w:pStyle w:val="Compact"/>
              <w:jc w:val="left"/>
            </w:pPr>
            <w:r>
              <w:t xml:space="preserve">“</w:t>
            </w:r>
            <w:r>
              <w:t xml:space="preserve">Original fictional educational case bank. All patients, monitor values, timings and responses are simulated.</w:t>
            </w:r>
            <w:r>
              <w:t xml:space="preserve">”</w:t>
            </w:r>
          </w:p>
        </w:tc>
      </w:tr>
      <w:tr>
        <w:tc>
          <w:tcPr/>
          <w:p>
            <w:pPr>
              <w:pStyle w:val="Compact"/>
              <w:jc w:val="left"/>
            </w:pPr>
            <w:r>
              <w:t xml:space="preserve">S5 (Appendix E)</w:t>
            </w:r>
          </w:p>
        </w:tc>
        <w:tc>
          <w:tcPr/>
          <w:p>
            <w:pPr>
              <w:pStyle w:val="Compact"/>
              <w:jc w:val="left"/>
            </w:pPr>
            <w:r>
              <w:t xml:space="preserve">Fidelity and contamination instruments only; no fidelity results are recorded in the file.</w:t>
            </w:r>
          </w:p>
        </w:tc>
      </w:tr>
      <w:tr>
        <w:tc>
          <w:tcPr/>
          <w:p>
            <w:pPr>
              <w:pStyle w:val="Compact"/>
              <w:jc w:val="left"/>
            </w:pPr>
            <w:r>
              <w:t xml:space="preserve">S6 (Appendix F)</w:t>
            </w:r>
          </w:p>
        </w:tc>
        <w:tc>
          <w:tcPr/>
          <w:p>
            <w:pPr>
              <w:pStyle w:val="Compact"/>
              <w:jc w:val="left"/>
            </w:pPr>
            <w:r>
              <w:t xml:space="preserve">“</w:t>
            </w:r>
            <w:r>
              <w:t xml:space="preserve">No model run or expert approval is claimed.</w:t>
            </w:r>
            <w:r>
              <w:t xml:space="preserve">”</w:t>
            </w:r>
            <w:r>
              <w:t xml:space="preserve"> </w:t>
            </w:r>
            <w:r>
              <w:t xml:space="preserve">“</w:t>
            </w:r>
            <w:r>
              <w:t xml:space="preserve">No model execution, clinician approval or resulting map file is represented as having occurred.</w:t>
            </w:r>
            <w:r>
              <w:t xml:space="preserve">”</w:t>
            </w:r>
          </w:p>
        </w:tc>
      </w:tr>
      <w:tr>
        <w:tc>
          <w:tcPr/>
          <w:p>
            <w:pPr>
              <w:pStyle w:val="Compact"/>
              <w:jc w:val="left"/>
            </w:pPr>
            <w:r>
              <w:t xml:space="preserve">S7 (Appendix G)</w:t>
            </w:r>
          </w:p>
        </w:tc>
        <w:tc>
          <w:tcPr/>
          <w:p>
            <w:pPr>
              <w:pStyle w:val="Compact"/>
              <w:jc w:val="left"/>
            </w:pPr>
            <w:r>
              <w:t xml:space="preserve">“</w:t>
            </w:r>
            <w:r>
              <w:t xml:space="preserve">Every value below is synthetic … not observations from real students.</w:t>
            </w:r>
            <w:r>
              <w:t xml:space="preserve">”</w:t>
            </w:r>
            <w:r>
              <w:t xml:space="preserve"> </w:t>
            </w:r>
            <w:r>
              <w:t xml:space="preserve">Generator: NumPy default_rng, seed 20261010, with stated distributions.</w:t>
            </w:r>
            <w:r>
              <w:t xml:space="preserve"> </w:t>
            </w:r>
            <w:r>
              <w:t xml:space="preserve">“</w:t>
            </w:r>
            <w:r>
              <w:t xml:space="preserve">The 450-person study flow is a constructed accounting example.</w:t>
            </w:r>
            <w:r>
              <w:t xml:space="preserve">”</w:t>
            </w:r>
          </w:p>
        </w:tc>
      </w:tr>
      <w:tr>
        <w:tc>
          <w:tcPr/>
          <w:p>
            <w:pPr>
              <w:pStyle w:val="Compact"/>
              <w:jc w:val="left"/>
            </w:pPr>
            <w:r>
              <w:t xml:space="preserve">Manuscript, Methods</w:t>
            </w:r>
          </w:p>
        </w:tc>
        <w:tc>
          <w:tcPr/>
          <w:p>
            <w:pPr>
              <w:pStyle w:val="Compact"/>
              <w:jc w:val="left"/>
            </w:pPr>
            <w:r>
              <w:t xml:space="preserve">“</w:t>
            </w:r>
            <w:r>
              <w:t xml:space="preserve">The hypothetical setting …</w:t>
            </w:r>
            <w:r>
              <w:t xml:space="preserve">”</w:t>
            </w:r>
            <w:r>
              <w:t xml:space="preserve">,</w:t>
            </w:r>
            <w:r>
              <w:t xml:space="preserve"> </w:t>
            </w:r>
            <w:r>
              <w:t xml:space="preserve">“</w:t>
            </w:r>
            <w:r>
              <w:t xml:space="preserve">The numerical example assumes 450 screened …</w:t>
            </w:r>
            <w:r>
              <w:t xml:space="preserve">”</w:t>
            </w:r>
            <w:r>
              <w:t xml:space="preserve">,</w:t>
            </w:r>
            <w:r>
              <w:t xml:space="preserve"> </w:t>
            </w:r>
            <w:r>
              <w:t xml:space="preserve">“</w:t>
            </w:r>
            <w:r>
              <w:t xml:space="preserve">This document therefore does not fabricate a completed generation or review log.</w:t>
            </w:r>
            <w:r>
              <w:t xml:space="preserve">”</w:t>
            </w:r>
          </w:p>
        </w:tc>
      </w:tr>
      <w:tr>
        <w:tc>
          <w:tcPr/>
          <w:p>
            <w:pPr>
              <w:pStyle w:val="Compact"/>
              <w:jc w:val="left"/>
            </w:pPr>
            <w:r>
              <w:t xml:space="preserve">Manuscript, Results (Sections 3.1–3.6)</w:t>
            </w:r>
          </w:p>
        </w:tc>
        <w:tc>
          <w:tcPr/>
          <w:p>
            <w:pPr>
              <w:pStyle w:val="Compact"/>
              <w:jc w:val="left"/>
            </w:pPr>
            <w:r>
              <w:t xml:space="preserve">Written as observed: enrolment and attendance counts, 207 AI nodes with 151 retained, six unsafe statements removed, reviewer clarifications, ICCs from a monitoring sample, and an ethics approval (EC-2025-089, 15 December 2025).</w:t>
            </w:r>
          </w:p>
        </w:tc>
      </w:tr>
    </w:tbl>
    <w:p>
      <w:pPr>
        <w:pStyle w:val="BodyText"/>
      </w:pPr>
      <w:r>
        <w:t xml:space="preserve">The Results section reports as completed several events that S6 and the Methods say did not occur (the generation run, the clinician review, and the answer-guide review). The Results also rely on the same generated numbers that S7 describes as synthetic.</w:t>
      </w:r>
    </w:p>
    <w:bookmarkEnd w:id="21"/>
    <w:bookmarkStart w:id="22" w:name="why-the-disclaimers-cannot-be-removed"/>
    <w:p>
      <w:pPr>
        <w:pStyle w:val="Heading1"/>
      </w:pPr>
      <w:r>
        <w:t xml:space="preserve">3. Why the disclaimers cannot be removed</w:t>
      </w:r>
    </w:p>
    <w:p>
      <w:pPr>
        <w:pStyle w:val="FirstParagraph"/>
      </w:pPr>
      <w:r>
        <w:t xml:space="preserve">Removing the provenance statements would make the manuscript claim collected data where the supplied files say the values were generated by code. That would misrepresent the data’s origin to the editor and to readers. The user’s statement that the data are theirs and were collected is not something these files support, and no raw records were supplied to show it. If the study was run, the correct step is to replace the simulated text with a description of the real study, built from the real records. That requires the records, which are listed in Section 9.</w:t>
      </w:r>
    </w:p>
    <w:bookmarkEnd w:id="22"/>
    <w:bookmarkStart w:id="23" w:name="checks-that-reconcile"/>
    <w:p>
      <w:pPr>
        <w:pStyle w:val="Heading1"/>
      </w:pPr>
      <w:r>
        <w:t xml:space="preserve">4. Checks that reconcile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Table 1 (baseline) row sums and percentages, e.g. mind-mapping</w:t>
            </w:r>
            <w:r>
              <w:t xml:space="preserve"> </w:t>
            </w:r>
            <w:r>
              <w:t xml:space="preserve">“</w:t>
            </w:r>
            <w:r>
              <w:t xml:space="preserve">never</w:t>
            </w:r>
            <w:r>
              <w:t xml:space="preserve">”</w:t>
            </w:r>
            <w:r>
              <w:t xml:space="preserve"> </w:t>
            </w:r>
            <w:r>
              <w:t xml:space="preserve">51, 67, 58 of 150</w:t>
            </w:r>
          </w:p>
        </w:tc>
        <w:tc>
          <w:tcPr/>
          <w:p>
            <w:pPr>
              <w:pStyle w:val="Compact"/>
              <w:jc w:val="left"/>
            </w:pPr>
            <w:r>
              <w:t xml:space="preserve">Reconcile</w:t>
            </w:r>
          </w:p>
        </w:tc>
      </w:tr>
      <w:tr>
        <w:tc>
          <w:tcPr/>
          <w:p>
            <w:pPr>
              <w:pStyle w:val="Compact"/>
              <w:jc w:val="left"/>
            </w:pPr>
            <w:r>
              <w:t xml:space="preserve">Pooled within-arm baseline SDs used for standardised differences: 3.01 (PN-CRER), 3.42 (PNNKT), 3.52 (PNPSC)</w:t>
            </w:r>
          </w:p>
        </w:tc>
        <w:tc>
          <w:tcPr/>
          <w:p>
            <w:pPr>
              <w:pStyle w:val="Compact"/>
              <w:jc w:val="left"/>
            </w:pPr>
            <w:r>
              <w:t xml:space="preserve">Reproduce from the arm SDs in Table 1</w:t>
            </w:r>
          </w:p>
        </w:tc>
      </w:tr>
      <w:tr>
        <w:tc>
          <w:tcPr/>
          <w:p>
            <w:pPr>
              <w:pStyle w:val="Compact"/>
              <w:jc w:val="left"/>
            </w:pPr>
            <w:r>
              <w:t xml:space="preserve">Observed change scores (Table 2 Panel A)</w:t>
            </w:r>
          </w:p>
        </w:tc>
        <w:tc>
          <w:tcPr/>
          <w:p>
            <w:pPr>
              <w:pStyle w:val="Compact"/>
              <w:jc w:val="left"/>
            </w:pPr>
            <w:r>
              <w:t xml:space="preserve">Reproduce: AI 7.54, student 5.21, worksheet 3.90; procedural changes 7.28–8.06</w:t>
            </w:r>
          </w:p>
        </w:tc>
      </w:tr>
      <w:tr>
        <w:tc>
          <w:tcPr/>
          <w:p>
            <w:pPr>
              <w:pStyle w:val="Compact"/>
              <w:jc w:val="left"/>
            </w:pPr>
            <w:r>
              <w:t xml:space="preserve">Adjusted contrasts, Table 2 Panel B</w:t>
            </w:r>
          </w:p>
        </w:tc>
        <w:tc>
          <w:tcPr/>
          <w:p>
            <w:pPr>
              <w:pStyle w:val="Compact"/>
              <w:jc w:val="left"/>
            </w:pPr>
            <w:r>
              <w:t xml:space="preserve">Reproduce from the adjusted means, with rounding</w:t>
            </w:r>
          </w:p>
        </w:tc>
      </w:tr>
      <w:tr>
        <w:tc>
          <w:tcPr/>
          <w:p>
            <w:pPr>
              <w:pStyle w:val="Compact"/>
              <w:jc w:val="left"/>
            </w:pPr>
            <w:r>
              <w:t xml:space="preserve">Baseline-standardised differences (÷3.01, ÷3.42, ÷3.52)</w:t>
            </w:r>
          </w:p>
        </w:tc>
        <w:tc>
          <w:tcPr/>
          <w:p>
            <w:pPr>
              <w:pStyle w:val="Compact"/>
              <w:jc w:val="left"/>
            </w:pPr>
            <w:r>
              <w:t xml:space="preserve">Reproduce within rounding</w:t>
            </w:r>
          </w:p>
        </w:tc>
      </w:tr>
      <w:tr>
        <w:tc>
          <w:tcPr/>
          <w:p>
            <w:pPr>
              <w:pStyle w:val="Compact"/>
              <w:jc w:val="left"/>
            </w:pPr>
            <w:r>
              <w:t xml:space="preserve">Primary contrast: 2.33 (0.88 to 3.77), df 7.98</w:t>
            </w:r>
          </w:p>
        </w:tc>
        <w:tc>
          <w:tcPr/>
          <w:p>
            <w:pPr>
              <w:pStyle w:val="Compact"/>
              <w:jc w:val="left"/>
            </w:pPr>
            <w:r>
              <w:t xml:space="preserve">Consistent with t ≈ 3.7 and P ≈ 0.006</w:t>
            </w:r>
          </w:p>
        </w:tc>
      </w:tr>
      <w:tr>
        <w:tc>
          <w:tcPr/>
          <w:p>
            <w:pPr>
              <w:pStyle w:val="Compact"/>
              <w:jc w:val="left"/>
            </w:pPr>
            <w:r>
              <w:t xml:space="preserve">Attendance and follow-up reconciliation (Table 3 Panel A; S1 Table A2)</w:t>
            </w:r>
          </w:p>
        </w:tc>
        <w:tc>
          <w:tcPr/>
          <w:p>
            <w:pPr>
              <w:pStyle w:val="Compact"/>
              <w:jc w:val="left"/>
            </w:pPr>
            <w:r>
              <w:t xml:space="preserve">Reconcile: 565/600, 558/600 and 561/600; 141/139/140 attended ≥3; 139/135/137 with follow-up; 9/4/3 missing among attendance-complete students; 18 and 12 among attendance &lt;3</w:t>
            </w:r>
          </w:p>
        </w:tc>
      </w:tr>
      <w:tr>
        <w:tc>
          <w:tcPr/>
          <w:p>
            <w:pPr>
              <w:pStyle w:val="Compact"/>
              <w:jc w:val="left"/>
            </w:pPr>
            <w:r>
              <w:t xml:space="preserve">Planning calculation (Section 2.4): design effect, SE, noncentrality, power, MDES, half-width</w:t>
            </w:r>
          </w:p>
        </w:tc>
        <w:tc>
          <w:tcPr/>
          <w:p>
            <w:pPr>
              <w:pStyle w:val="Compact"/>
              <w:jc w:val="left"/>
            </w:pPr>
            <w:r>
              <w:t xml:space="preserve">Reproduce: DE 1.955; SE 0.1474; ncp 3.39; power 0.806 (df 6); planned half-width 1.80</w:t>
            </w:r>
          </w:p>
        </w:tc>
      </w:tr>
      <w:tr>
        <w:tc>
          <w:tcPr/>
          <w:p>
            <w:pPr>
              <w:pStyle w:val="Compact"/>
              <w:jc w:val="left"/>
            </w:pPr>
            <w:r>
              <w:t xml:space="preserve">Allocation schedule (S1 Table A1) vs Section 2.3 sequences</w:t>
            </w:r>
          </w:p>
        </w:tc>
        <w:tc>
          <w:tcPr/>
          <w:p>
            <w:pPr>
              <w:pStyle w:val="Compact"/>
              <w:jc w:val="left"/>
            </w:pPr>
            <w:r>
              <w:t xml:space="preserve">Consistent for all five facilitators; each arm appears 5 times</w:t>
            </w:r>
          </w:p>
        </w:tc>
      </w:tr>
      <w:tr>
        <w:tc>
          <w:tcPr/>
          <w:p>
            <w:pPr>
              <w:pStyle w:val="Compact"/>
              <w:jc w:val="left"/>
            </w:pPr>
            <w:r>
              <w:t xml:space="preserve">Knowledge keys (S3 Tables C1, C2)</w:t>
            </w:r>
          </w:p>
        </w:tc>
        <w:tc>
          <w:tcPr/>
          <w:p>
            <w:pPr>
              <w:pStyle w:val="Compact"/>
              <w:jc w:val="left"/>
            </w:pPr>
            <w:r>
              <w:t xml:space="preserve">Six of each letter per form, as stated</w:t>
            </w:r>
          </w:p>
        </w:tc>
      </w:tr>
      <w:tr>
        <w:tc>
          <w:tcPr/>
          <w:p>
            <w:pPr>
              <w:pStyle w:val="Compact"/>
              <w:jc w:val="left"/>
            </w:pPr>
            <w:r>
              <w:t xml:space="preserve">Critical-error and procedural-error percentages (Table 3 Panel D)</w:t>
            </w:r>
          </w:p>
        </w:tc>
        <w:tc>
          <w:tcPr/>
          <w:p>
            <w:pPr>
              <w:pStyle w:val="Compact"/>
              <w:jc w:val="left"/>
            </w:pPr>
            <w:r>
              <w:t xml:space="preserve">Reconcile to the stated denominators</w:t>
            </w:r>
          </w:p>
        </w:tc>
      </w:tr>
    </w:tbl>
    <w:p>
      <w:pPr>
        <w:pStyle w:val="BodyText"/>
      </w:pPr>
      <w:r>
        <w:t xml:space="preserve">These checks confirm arithmetic consistency. They do not establish that the data were collected from students.</w:t>
      </w:r>
    </w:p>
    <w:bookmarkEnd w:id="23"/>
    <w:bookmarkStart w:id="24" w:name="Xe038368809f7e382611022b8f71291b2c8ddcde"/>
    <w:p>
      <w:pPr>
        <w:pStyle w:val="Heading1"/>
      </w:pPr>
      <w:r>
        <w:t xml:space="preserve">5. Inconsistencies to fix whatever the data’s origin</w:t>
      </w:r>
    </w:p>
    <w:p>
      <w:pPr>
        <w:numPr>
          <w:ilvl w:val="0"/>
          <w:numId w:val="1001"/>
        </w:numPr>
        <w:pStyle w:val="Compact"/>
      </w:pPr>
      <w:r>
        <w:rPr>
          <w:bCs/>
          <w:b/>
        </w:rPr>
        <w:t xml:space="preserve">Missing-data sensitivity reference.</w:t>
      </w:r>
      <w:r>
        <w:t xml:space="preserve"> </w:t>
      </w:r>
      <w:r>
        <w:t xml:space="preserve">The zero-shift reference is given as 2.30 for the AI-arm shifts, 2.33 for the student-arm shifts and 2.32 for the multiple-imputation estimate. There should be one reference value.</w:t>
      </w:r>
    </w:p>
    <w:p>
      <w:pPr>
        <w:numPr>
          <w:ilvl w:val="0"/>
          <w:numId w:val="1001"/>
        </w:numPr>
        <w:pStyle w:val="Compact"/>
      </w:pPr>
      <w:r>
        <w:rPr>
          <w:bCs/>
          <w:b/>
        </w:rPr>
        <w:t xml:space="preserve">Benchmark count.</w:t>
      </w:r>
      <w:r>
        <w:t xml:space="preserve"> </w:t>
      </w:r>
      <w:r>
        <w:t xml:space="preserve">The manuscript says benchmarks occur after every 40 recordings. Each rater scores 180 recordings (120 case and 60 procedural), which implies about four benchmarks per rater, not 21. The reported 63 checks and 78 recordings do not fit the stated rule.</w:t>
      </w:r>
    </w:p>
    <w:p>
      <w:pPr>
        <w:numPr>
          <w:ilvl w:val="0"/>
          <w:numId w:val="1001"/>
        </w:numPr>
        <w:pStyle w:val="Compact"/>
      </w:pPr>
      <w:r>
        <w:rPr>
          <w:bCs/>
          <w:b/>
        </w:rPr>
        <w:t xml:space="preserve">Follow-up interval.</w:t>
      </w:r>
      <w:r>
        <w:t xml:space="preserve"> </w:t>
      </w:r>
      <w:r>
        <w:t xml:space="preserve">The text says performance assessment falls 12–25 days after the last teaching session. The schedule (29 March–9 April) gives 12–23 days from 17 March. The figure depends on the section, and the text should state this.</w:t>
      </w:r>
    </w:p>
    <w:p>
      <w:pPr>
        <w:numPr>
          <w:ilvl w:val="0"/>
          <w:numId w:val="1001"/>
        </w:numPr>
        <w:pStyle w:val="Compact"/>
      </w:pPr>
      <w:r>
        <w:rPr>
          <w:bCs/>
          <w:b/>
        </w:rPr>
        <w:t xml:space="preserve">Table numbering.</w:t>
      </w:r>
      <w:r>
        <w:t xml:space="preserve"> </w:t>
      </w:r>
      <w:r>
        <w:t xml:space="preserve">“</w:t>
      </w:r>
      <w:r>
        <w:t xml:space="preserve">Table 1</w:t>
      </w:r>
      <w:r>
        <w:t xml:space="preserve">”</w:t>
      </w:r>
      <w:r>
        <w:t xml:space="preserve"> </w:t>
      </w:r>
      <w:r>
        <w:t xml:space="preserve">is used for both the instructional activities and the baseline characteristics.</w:t>
      </w:r>
      <w:r>
        <w:t xml:space="preserve"> </w:t>
      </w:r>
      <w:r>
        <w:t xml:space="preserve">“</w:t>
      </w:r>
      <w:r>
        <w:t xml:space="preserve">Table 2</w:t>
      </w:r>
      <w:r>
        <w:t xml:space="preserve">”</w:t>
      </w:r>
      <w:r>
        <w:t xml:space="preserve"> </w:t>
      </w:r>
      <w:r>
        <w:t xml:space="preserve">and</w:t>
      </w:r>
      <w:r>
        <w:t xml:space="preserve"> </w:t>
      </w:r>
      <w:r>
        <w:t xml:space="preserve">“</w:t>
      </w:r>
      <w:r>
        <w:t xml:space="preserve">Table 3</w:t>
      </w:r>
      <w:r>
        <w:t xml:space="preserve">”</w:t>
      </w:r>
      <w:r>
        <w:t xml:space="preserve"> </w:t>
      </w:r>
      <w:r>
        <w:t xml:space="preserve">are each used twice. Figure 1 is a text table, not a figure.</w:t>
      </w:r>
    </w:p>
    <w:p>
      <w:pPr>
        <w:numPr>
          <w:ilvl w:val="0"/>
          <w:numId w:val="1001"/>
        </w:numPr>
        <w:pStyle w:val="Compact"/>
      </w:pPr>
      <w:r>
        <w:rPr>
          <w:bCs/>
          <w:b/>
        </w:rPr>
        <w:t xml:space="preserve">Missing supplementary files.</w:t>
      </w:r>
      <w:r>
        <w:t xml:space="preserve"> </w:t>
      </w:r>
      <w:r>
        <w:t xml:space="preserve">The text cites S7, S8 and S9. S8 (attrition by arm) and S9 (18 MNAR outputs) were not supplied. S7 is synthetic.</w:t>
      </w:r>
    </w:p>
    <w:p>
      <w:pPr>
        <w:numPr>
          <w:ilvl w:val="0"/>
          <w:numId w:val="1001"/>
        </w:numPr>
        <w:pStyle w:val="Compact"/>
      </w:pPr>
      <w:r>
        <w:rPr>
          <w:bCs/>
          <w:b/>
        </w:rPr>
        <w:t xml:space="preserve">Calendar.</w:t>
      </w:r>
      <w:r>
        <w:t xml:space="preserve"> </w:t>
      </w:r>
      <w:r>
        <w:t xml:space="preserve">The schedule runs from January to April 2026. Today is 10 October 2026. A prospectively registered protocol with these dates would be in the past, and the text calls the schedule</w:t>
      </w:r>
      <w:r>
        <w:t xml:space="preserve"> </w:t>
      </w:r>
      <w:r>
        <w:t xml:space="preserve">“</w:t>
      </w:r>
      <w:r>
        <w:t xml:space="preserve">illustrative.</w:t>
      </w:r>
      <w:r>
        <w:t xml:space="preserve">”</w:t>
      </w:r>
      <w:r>
        <w:t xml:space="preserve"> </w:t>
      </w:r>
      <w:r>
        <w:t xml:space="preserve">If the study was run, the dates must be the real ones.</w:t>
      </w:r>
    </w:p>
    <w:p>
      <w:pPr>
        <w:numPr>
          <w:ilvl w:val="0"/>
          <w:numId w:val="1001"/>
        </w:numPr>
        <w:pStyle w:val="Compact"/>
      </w:pPr>
      <w:r>
        <w:rPr>
          <w:bCs/>
          <w:b/>
        </w:rPr>
        <w:t xml:space="preserve">Ethics approval.</w:t>
      </w:r>
      <w:r>
        <w:t xml:space="preserve"> </w:t>
      </w:r>
      <w:r>
        <w:t xml:space="preserve">EC-2025-089 cannot be checked from these files. The approval letter is needed.</w:t>
      </w:r>
    </w:p>
    <w:p>
      <w:pPr>
        <w:numPr>
          <w:ilvl w:val="0"/>
          <w:numId w:val="1001"/>
        </w:numPr>
        <w:pStyle w:val="Compact"/>
      </w:pPr>
      <w:r>
        <w:rPr>
          <w:bCs/>
          <w:b/>
        </w:rPr>
        <w:t xml:space="preserve">Sample-size prior.</w:t>
      </w:r>
      <w:r>
        <w:t xml:space="preserve"> </w:t>
      </w:r>
      <w:r>
        <w:t xml:space="preserve">The planning standard deviation of 5 is not supported by the observed pooled SD of about 3.0. The power statement should use the observed SD or be presented only as a planning assumption.</w:t>
      </w:r>
    </w:p>
    <w:p>
      <w:pPr>
        <w:numPr>
          <w:ilvl w:val="0"/>
          <w:numId w:val="1001"/>
        </w:numPr>
        <w:pStyle w:val="Compact"/>
      </w:pPr>
      <w:r>
        <w:rPr>
          <w:bCs/>
          <w:b/>
        </w:rPr>
        <w:t xml:space="preserve">Title.</w:t>
      </w:r>
      <w:r>
        <w:t xml:space="preserve"> </w:t>
      </w:r>
      <w:r>
        <w:t xml:space="preserve">The title says</w:t>
      </w:r>
      <w:r>
        <w:t xml:space="preserve"> </w:t>
      </w:r>
      <w:r>
        <w:t xml:space="preserve">“</w:t>
      </w:r>
      <w:r>
        <w:t xml:space="preserve">AI-generated versus student-generated,</w:t>
      </w:r>
      <w:r>
        <w:t xml:space="preserve">”</w:t>
      </w:r>
      <w:r>
        <w:t xml:space="preserve"> </w:t>
      </w:r>
      <w:r>
        <w:t xml:space="preserve">but the arms also differ in learner activity (examining and revising versus constructing). The title and abstract should describe instructional strategies.</w:t>
      </w:r>
    </w:p>
    <w:bookmarkEnd w:id="24"/>
    <w:bookmarkStart w:id="25" w:name="instrument-review-knowledge-keys"/>
    <w:p>
      <w:pPr>
        <w:pStyle w:val="Heading1"/>
      </w:pPr>
      <w:r>
        <w:t xml:space="preserve">6. Instrument review: knowledge keys</w:t>
      </w:r>
    </w:p>
    <w:p>
      <w:pPr>
        <w:numPr>
          <w:ilvl w:val="0"/>
          <w:numId w:val="1002"/>
        </w:numPr>
        <w:pStyle w:val="Compact"/>
      </w:pPr>
      <w:r>
        <w:rPr>
          <w:bCs/>
          <w:b/>
        </w:rPr>
        <w:t xml:space="preserve">Option-length cue.</w:t>
      </w:r>
      <w:r>
        <w:t xml:space="preserve"> </w:t>
      </w:r>
      <w:r>
        <w:t xml:space="preserve">In S3, the keyed answer is the longest option in 39 of 48 items (81%). Chance is 25%. Test-wise students can score above chance by choosing the longest option, so the knowledge score is partly a test-wiseness measure. Option lengths should be balanced before any use, and the items should be reviewed by clinicians and a measurement specialist.</w:t>
      </w:r>
    </w:p>
    <w:p>
      <w:pPr>
        <w:numPr>
          <w:ilvl w:val="0"/>
          <w:numId w:val="1002"/>
        </w:numPr>
        <w:pStyle w:val="Compact"/>
      </w:pPr>
      <w:r>
        <w:rPr>
          <w:bCs/>
          <w:b/>
        </w:rPr>
        <w:t xml:space="preserve">Key balance.</w:t>
      </w:r>
      <w:r>
        <w:t xml:space="preserve"> </w:t>
      </w:r>
      <w:r>
        <w:t xml:space="preserve">Each form has six keys of each letter, as stated.</w:t>
      </w:r>
    </w:p>
    <w:p>
      <w:pPr>
        <w:numPr>
          <w:ilvl w:val="0"/>
          <w:numId w:val="1002"/>
        </w:numPr>
        <w:pStyle w:val="Compact"/>
      </w:pPr>
      <w:r>
        <w:rPr>
          <w:bCs/>
          <w:b/>
        </w:rPr>
        <w:t xml:space="preserve">Psychometrics.</w:t>
      </w:r>
      <w:r>
        <w:t xml:space="preserve"> </w:t>
      </w:r>
      <w:r>
        <w:t xml:space="preserve">S3 states that no psychometric validation has been done. KR-20 values and difficulty ranges in S7 come from generated responses, so they are not evidence for the items.</w:t>
      </w:r>
    </w:p>
    <w:bookmarkEnd w:id="25"/>
    <w:bookmarkStart w:id="26" w:name="reference-verification"/>
    <w:p>
      <w:pPr>
        <w:pStyle w:val="Heading1"/>
      </w:pPr>
      <w:r>
        <w:t xml:space="preserve">7. Reference verification</w:t>
      </w:r>
    </w:p>
    <w:p>
      <w:pPr>
        <w:pStyle w:val="FirstParagraph"/>
      </w:pPr>
      <w:r>
        <w:t xml:space="preserve">Checked in this session (Consensus search, matched on title, authors, year and claim):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Reference in manuscript</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Chiannilkulchai &amp; Thongpo, 2026</w:t>
            </w:r>
          </w:p>
        </w:tc>
        <w:tc>
          <w:tcPr/>
          <w:p>
            <w:pPr>
              <w:pStyle w:val="Compact"/>
              <w:jc w:val="left"/>
            </w:pPr>
            <w:r>
              <w:t xml:space="preserve">Verified</w:t>
            </w:r>
          </w:p>
        </w:tc>
        <w:tc>
          <w:tcPr/>
          <w:p>
            <w:pPr>
              <w:pStyle w:val="Compact"/>
              <w:jc w:val="left"/>
            </w:pPr>
            <w:r>
              <w:t xml:space="preserve">BMC Medical Education, DOI 10.1186/s12909-026-10226-6. Historical control; claim matches.</w:t>
            </w:r>
          </w:p>
        </w:tc>
      </w:tr>
      <w:tr>
        <w:tc>
          <w:tcPr/>
          <w:p>
            <w:pPr>
              <w:pStyle w:val="Compact"/>
              <w:jc w:val="left"/>
            </w:pPr>
            <w:r>
              <w:t xml:space="preserve">Shin et al., 2024</w:t>
            </w:r>
          </w:p>
        </w:tc>
        <w:tc>
          <w:tcPr/>
          <w:p>
            <w:pPr>
              <w:pStyle w:val="Compact"/>
              <w:jc w:val="left"/>
            </w:pPr>
            <w:r>
              <w:t xml:space="preserve">Verified</w:t>
            </w:r>
          </w:p>
        </w:tc>
        <w:tc>
          <w:tcPr/>
          <w:p>
            <w:pPr>
              <w:pStyle w:val="Compact"/>
              <w:jc w:val="left"/>
            </w:pPr>
            <w:r>
              <w:t xml:space="preserve">Computers, Informatics, Nursing, DOI 10.1097/cin.0000000000001177. Textbook group did better on clinical reasoning.</w:t>
            </w:r>
          </w:p>
        </w:tc>
      </w:tr>
      <w:tr>
        <w:tc>
          <w:tcPr/>
          <w:p>
            <w:pPr>
              <w:pStyle w:val="Compact"/>
              <w:jc w:val="left"/>
            </w:pPr>
            <w:r>
              <w:t xml:space="preserve">Arkan et al., 2025</w:t>
            </w:r>
          </w:p>
        </w:tc>
        <w:tc>
          <w:tcPr/>
          <w:p>
            <w:pPr>
              <w:pStyle w:val="Compact"/>
              <w:jc w:val="left"/>
            </w:pPr>
            <w:r>
              <w:t xml:space="preserve">Verified</w:t>
            </w:r>
          </w:p>
        </w:tc>
        <w:tc>
          <w:tcPr/>
          <w:p>
            <w:pPr>
              <w:pStyle w:val="Compact"/>
              <w:jc w:val="left"/>
            </w:pPr>
            <w:r>
              <w:t xml:space="preserve">Nurse Education Today, DOI 10.1016/j.nedt.2025.106765.</w:t>
            </w:r>
          </w:p>
        </w:tc>
      </w:tr>
      <w:tr>
        <w:tc>
          <w:tcPr/>
          <w:p>
            <w:pPr>
              <w:pStyle w:val="Compact"/>
              <w:jc w:val="left"/>
            </w:pPr>
            <w:r>
              <w:t xml:space="preserve">Akutay et al., 2024</w:t>
            </w:r>
          </w:p>
        </w:tc>
        <w:tc>
          <w:tcPr/>
          <w:p>
            <w:pPr>
              <w:pStyle w:val="Compact"/>
              <w:jc w:val="left"/>
            </w:pPr>
            <w:r>
              <w:t xml:space="preserve">Verified</w:t>
            </w:r>
          </w:p>
        </w:tc>
        <w:tc>
          <w:tcPr/>
          <w:p>
            <w:pPr>
              <w:pStyle w:val="Compact"/>
              <w:jc w:val="left"/>
            </w:pPr>
            <w:r>
              <w:t xml:space="preserve">Nurse Education in Practice, DOI 10.1016/j.nepr.2024.104142.</w:t>
            </w:r>
          </w:p>
        </w:tc>
      </w:tr>
      <w:tr>
        <w:tc>
          <w:tcPr/>
          <w:p>
            <w:pPr>
              <w:pStyle w:val="Compact"/>
              <w:jc w:val="left"/>
            </w:pPr>
            <w:r>
              <w:t xml:space="preserve">Dwiarini et al., 2026</w:t>
            </w:r>
          </w:p>
        </w:tc>
        <w:tc>
          <w:tcPr/>
          <w:p>
            <w:pPr>
              <w:pStyle w:val="Compact"/>
              <w:jc w:val="left"/>
            </w:pPr>
            <w:r>
              <w:t xml:space="preserve">Verified</w:t>
            </w:r>
          </w:p>
        </w:tc>
        <w:tc>
          <w:tcPr/>
          <w:p>
            <w:pPr>
              <w:pStyle w:val="Compact"/>
              <w:jc w:val="left"/>
            </w:pPr>
            <w:r>
              <w:t xml:space="preserve">BMC Nursing, DOI 10.1186/s12912-026-04840-4. Self-reported clinical reasoning.</w:t>
            </w:r>
          </w:p>
        </w:tc>
      </w:tr>
      <w:tr>
        <w:tc>
          <w:tcPr/>
          <w:p>
            <w:pPr>
              <w:pStyle w:val="Compact"/>
              <w:jc w:val="left"/>
            </w:pPr>
            <w:r>
              <w:t xml:space="preserve">Fung et al., 2025</w:t>
            </w:r>
          </w:p>
        </w:tc>
        <w:tc>
          <w:tcPr/>
          <w:p>
            <w:pPr>
              <w:pStyle w:val="Compact"/>
              <w:jc w:val="left"/>
            </w:pPr>
            <w:r>
              <w:t xml:space="preserve">Verified</w:t>
            </w:r>
          </w:p>
        </w:tc>
        <w:tc>
          <w:tcPr/>
          <w:p>
            <w:pPr>
              <w:pStyle w:val="Compact"/>
              <w:jc w:val="left"/>
            </w:pPr>
            <w:r>
              <w:t xml:space="preserve">BMC Nursing, DOI 10.1186/s12912-025-03492-0. Perceived competence.</w:t>
            </w:r>
          </w:p>
        </w:tc>
      </w:tr>
      <w:tr>
        <w:tc>
          <w:tcPr/>
          <w:p>
            <w:pPr>
              <w:pStyle w:val="Compact"/>
              <w:jc w:val="left"/>
            </w:pPr>
            <w:r>
              <w:t xml:space="preserve">Yang et al., 2022</w:t>
            </w:r>
          </w:p>
        </w:tc>
        <w:tc>
          <w:tcPr/>
          <w:p>
            <w:pPr>
              <w:pStyle w:val="Compact"/>
              <w:jc w:val="left"/>
            </w:pPr>
            <w:r>
              <w:t xml:space="preserve">Verified</w:t>
            </w:r>
          </w:p>
        </w:tc>
        <w:tc>
          <w:tcPr/>
          <w:p>
            <w:pPr>
              <w:pStyle w:val="Compact"/>
              <w:jc w:val="left"/>
            </w:pPr>
            <w:r>
              <w:t xml:space="preserve">Nurse Education Today, DOI 10.1016/j.nedt.2022.105566. Mind mapping; fundamentals course, not pediatric.</w:t>
            </w:r>
          </w:p>
        </w:tc>
      </w:tr>
      <w:tr>
        <w:tc>
          <w:tcPr/>
          <w:p>
            <w:pPr>
              <w:pStyle w:val="Compact"/>
              <w:jc w:val="left"/>
            </w:pPr>
            <w:r>
              <w:t xml:space="preserve">Lenski et al., 2022</w:t>
            </w:r>
          </w:p>
        </w:tc>
        <w:tc>
          <w:tcPr/>
          <w:p>
            <w:pPr>
              <w:pStyle w:val="Compact"/>
              <w:jc w:val="left"/>
            </w:pPr>
            <w:r>
              <w:t xml:space="preserve">Partly verified</w:t>
            </w:r>
          </w:p>
        </w:tc>
        <w:tc>
          <w:tcPr/>
          <w:p>
            <w:pPr>
              <w:pStyle w:val="Compact"/>
              <w:jc w:val="left"/>
            </w:pPr>
            <w:r>
              <w:t xml:space="preserve">Frontiers in Education, DOI 10.3389/feduc.2022.892312. The abstract reports construction-training effects carrying over to study-based learning. The claimed</w:t>
            </w:r>
            <w:r>
              <w:t xml:space="preserve"> </w:t>
            </w:r>
            <w:r>
              <w:t xml:space="preserve">“</w:t>
            </w:r>
            <w:r>
              <w:t xml:space="preserve">no main effect</w:t>
            </w:r>
            <w:r>
              <w:t xml:space="preserve">”</w:t>
            </w:r>
            <w:r>
              <w:t xml:space="preserve"> </w:t>
            </w:r>
            <w:r>
              <w:t xml:space="preserve">needs full-text checking.</w:t>
            </w:r>
          </w:p>
        </w:tc>
      </w:tr>
      <w:tr>
        <w:tc>
          <w:tcPr/>
          <w:p>
            <w:pPr>
              <w:pStyle w:val="Compact"/>
              <w:jc w:val="left"/>
            </w:pPr>
            <w:r>
              <w:t xml:space="preserve">Liaw et al., 2018</w:t>
            </w:r>
          </w:p>
        </w:tc>
        <w:tc>
          <w:tcPr/>
          <w:p>
            <w:pPr>
              <w:pStyle w:val="Compact"/>
              <w:jc w:val="left"/>
            </w:pPr>
            <w:r>
              <w:t xml:space="preserve">Verified (existence)</w:t>
            </w:r>
          </w:p>
        </w:tc>
        <w:tc>
          <w:tcPr/>
          <w:p>
            <w:pPr>
              <w:pStyle w:val="Compact"/>
              <w:jc w:val="left"/>
            </w:pPr>
            <w:r>
              <w:t xml:space="preserve">CREST, Nurse Education Today, DOI 10.1016/j.nedt.2017.12.009.</w:t>
            </w:r>
          </w:p>
        </w:tc>
      </w:tr>
      <w:tr>
        <w:tc>
          <w:tcPr/>
          <w:p>
            <w:pPr>
              <w:pStyle w:val="Compact"/>
              <w:jc w:val="left"/>
            </w:pPr>
            <w:r>
              <w:t xml:space="preserve">“</w:t>
            </w:r>
            <w:r>
              <w:t xml:space="preserve">Bayzat and Dinc, 2025</w:t>
            </w:r>
            <w:r>
              <w:t xml:space="preserve">”</w:t>
            </w:r>
          </w:p>
        </w:tc>
        <w:tc>
          <w:tcPr/>
          <w:p>
            <w:pPr>
              <w:pStyle w:val="Compact"/>
              <w:jc w:val="left"/>
            </w:pPr>
            <w:r>
              <w:t xml:space="preserve">Verify author list</w:t>
            </w:r>
          </w:p>
        </w:tc>
        <w:tc>
          <w:tcPr/>
          <w:p>
            <w:pPr>
              <w:pStyle w:val="Compact"/>
              <w:jc w:val="left"/>
            </w:pPr>
            <w:r>
              <w:t xml:space="preserve">Indexed as Bayzat et al., BMC Nursing, DOI 10.1186/s12912-025-03503-0.</w:t>
            </w:r>
          </w:p>
        </w:tc>
      </w:tr>
      <w:tr>
        <w:tc>
          <w:tcPr/>
          <w:p>
            <w:pPr>
              <w:pStyle w:val="Compact"/>
              <w:jc w:val="left"/>
            </w:pPr>
            <w:r>
              <w:t xml:space="preserve">“</w:t>
            </w:r>
            <w:r>
              <w:t xml:space="preserve">Chen and Hung, 2025</w:t>
            </w:r>
            <w:r>
              <w:t xml:space="preserve">”</w:t>
            </w:r>
          </w:p>
        </w:tc>
        <w:tc>
          <w:tcPr/>
          <w:p>
            <w:pPr>
              <w:pStyle w:val="Compact"/>
              <w:jc w:val="left"/>
            </w:pPr>
            <w:r>
              <w:t xml:space="preserve">Verify author list</w:t>
            </w:r>
          </w:p>
        </w:tc>
        <w:tc>
          <w:tcPr/>
          <w:p>
            <w:pPr>
              <w:pStyle w:val="Compact"/>
              <w:jc w:val="left"/>
            </w:pPr>
            <w:r>
              <w:t xml:space="preserve">Indexed as Ting-Yu Chen et al., Nurse Education in Practice, DOI 10.1016/j.nepr.2025.104445. The claim matches; the author names do not.</w:t>
            </w:r>
          </w:p>
        </w:tc>
      </w:tr>
      <w:tr>
        <w:tc>
          <w:tcPr/>
          <w:p>
            <w:pPr>
              <w:pStyle w:val="Compact"/>
              <w:jc w:val="left"/>
            </w:pPr>
            <w:r>
              <w:t xml:space="preserve">“</w:t>
            </w:r>
            <w:r>
              <w:t xml:space="preserve">Fan et al., 2025</w:t>
            </w:r>
            <w:r>
              <w:t xml:space="preserve">”</w:t>
            </w:r>
          </w:p>
        </w:tc>
        <w:tc>
          <w:tcPr/>
          <w:p>
            <w:pPr>
              <w:pStyle w:val="Compact"/>
              <w:jc w:val="left"/>
            </w:pPr>
            <w:r>
              <w:t xml:space="preserve">Verify year</w:t>
            </w:r>
          </w:p>
        </w:tc>
        <w:tc>
          <w:tcPr/>
          <w:p>
            <w:pPr>
              <w:pStyle w:val="Compact"/>
              <w:jc w:val="left"/>
            </w:pPr>
            <w:r>
              <w:t xml:space="preserve">Indexed as Fan et al., 2024, Br J Educ Technol, DOI 10.1111/bjet.13544. The claim matches.</w:t>
            </w:r>
          </w:p>
        </w:tc>
      </w:tr>
      <w:tr>
        <w:tc>
          <w:tcPr/>
          <w:p>
            <w:pPr>
              <w:pStyle w:val="Compact"/>
              <w:jc w:val="left"/>
            </w:pPr>
            <w:r>
              <w:t xml:space="preserve">“</w:t>
            </w:r>
            <w:r>
              <w:t xml:space="preserve">Mesk et al., 2026</w:t>
            </w:r>
            <w:r>
              <w:t xml:space="preserve">”</w:t>
            </w:r>
          </w:p>
        </w:tc>
        <w:tc>
          <w:tcPr/>
          <w:p>
            <w:pPr>
              <w:pStyle w:val="Compact"/>
              <w:jc w:val="left"/>
            </w:pPr>
            <w:r>
              <w:t xml:space="preserve">Not found</w:t>
            </w:r>
          </w:p>
        </w:tc>
        <w:tc>
          <w:tcPr/>
          <w:p>
            <w:pPr>
              <w:pStyle w:val="Compact"/>
              <w:jc w:val="left"/>
            </w:pPr>
            <w:r>
              <w:t xml:space="preserve">The closest 2026 paper (Meşe et al., NEP, DOI 10.1016/j.nepr.2026.104949) is about ChatGPT and nursing diagnosis, not mind maps. Remove or replace.</w:t>
            </w:r>
          </w:p>
        </w:tc>
      </w:tr>
      <w:tr>
        <w:tc>
          <w:tcPr/>
          <w:p>
            <w:pPr>
              <w:pStyle w:val="Compact"/>
              <w:jc w:val="left"/>
            </w:pPr>
            <w:r>
              <w:t xml:space="preserve">“</w:t>
            </w:r>
            <w:r>
              <w:t xml:space="preserve">Ibrahim and Hendy, 2026</w:t>
            </w:r>
            <w:r>
              <w:t xml:space="preserve">”</w:t>
            </w:r>
          </w:p>
        </w:tc>
        <w:tc>
          <w:tcPr/>
          <w:p>
            <w:pPr>
              <w:pStyle w:val="Compact"/>
              <w:jc w:val="left"/>
            </w:pPr>
            <w:r>
              <w:t xml:space="preserve">Not found</w:t>
            </w:r>
          </w:p>
        </w:tc>
        <w:tc>
          <w:tcPr/>
          <w:p>
            <w:pPr>
              <w:pStyle w:val="Compact"/>
              <w:jc w:val="left"/>
            </w:pPr>
            <w:r>
              <w:t xml:space="preserve">Unverified.</w:t>
            </w:r>
          </w:p>
        </w:tc>
      </w:tr>
      <w:tr>
        <w:tc>
          <w:tcPr/>
          <w:p>
            <w:pPr>
              <w:pStyle w:val="Compact"/>
              <w:jc w:val="left"/>
            </w:pPr>
            <w:r>
              <w:t xml:space="preserve">“</w:t>
            </w:r>
            <w:r>
              <w:t xml:space="preserve">Chang and Su, 2025</w:t>
            </w:r>
            <w:r>
              <w:t xml:space="preserve">”</w:t>
            </w:r>
          </w:p>
        </w:tc>
        <w:tc>
          <w:tcPr/>
          <w:p>
            <w:pPr>
              <w:pStyle w:val="Compact"/>
              <w:jc w:val="left"/>
            </w:pPr>
            <w:r>
              <w:t xml:space="preserve">Not found</w:t>
            </w:r>
          </w:p>
        </w:tc>
        <w:tc>
          <w:tcPr/>
          <w:p>
            <w:pPr>
              <w:pStyle w:val="Compact"/>
              <w:jc w:val="left"/>
            </w:pPr>
            <w:r>
              <w:t xml:space="preserve">The closest paper (Ching-Yi Chang et al., J Nurs Educ, 2025) concerns AI patient personas in maternal care, not mind maps. Unverified.</w:t>
            </w:r>
          </w:p>
        </w:tc>
      </w:tr>
    </w:tbl>
    <w:p>
      <w:pPr>
        <w:pStyle w:val="BodyText"/>
      </w:pPr>
      <w:r>
        <w:t xml:space="preserve">Not checked in this session: Khanna 2025; Chan 2025; Lavoie 2023; Song 2025; Wang 2023; Bayzat/Dinç 2025 (beyond the entry above); Fiorella &amp; Mayer 2016; Kenward &amp; Roger 1997; Leyrat 2018; Cook 2015; Kane 2013; Polit 2007; Koo &amp; Li 2016; Des Jarlais 2004; Hoffmann 2014; Cheng 2016; Eppich &amp; Cheng 2015; Levett-Jones 2010; Kochanek 2019; NICE NG232; Royal Children’s Hospital guideline; Qwen2.5-7B-Instruct licence. Each needs a bibliographic check before submission.</w:t>
      </w:r>
    </w:p>
    <w:bookmarkEnd w:id="26"/>
    <w:bookmarkStart w:id="27" w:name="literature-the-manuscript-should-engage"/>
    <w:p>
      <w:pPr>
        <w:pStyle w:val="Heading1"/>
      </w:pPr>
      <w:r>
        <w:t xml:space="preserve">8. Literature the manuscript should engage</w:t>
      </w:r>
    </w:p>
    <w:p>
      <w:pPr>
        <w:pStyle w:val="FirstParagraph"/>
      </w:pPr>
      <w:r>
        <w:t xml:space="preserve">Found in the search and absent from the manuscript:</w:t>
      </w:r>
    </w:p>
    <w:p>
      <w:pPr>
        <w:numPr>
          <w:ilvl w:val="0"/>
          <w:numId w:val="1003"/>
        </w:numPr>
        <w:pStyle w:val="Compact"/>
      </w:pPr>
      <w:r>
        <w:t xml:space="preserve">Schroeder et al., 2018, meta-analysis of concept maps: creating maps had a larger effect (g = 0.72) than studying them (g = 0.43). This favours the student-constructed arm and must be discussed.</w:t>
      </w:r>
    </w:p>
    <w:p>
      <w:pPr>
        <w:numPr>
          <w:ilvl w:val="0"/>
          <w:numId w:val="1003"/>
        </w:numPr>
        <w:pStyle w:val="Compact"/>
      </w:pPr>
      <w:r>
        <w:t xml:space="preserve">Szydlak et al., 2025, Medical Teacher: ChatGPT-generated concept maps matched expert maps on clinical accuracy but lacked prioritisation and abstraction. Directly relevant to the AI-map arm.</w:t>
      </w:r>
    </w:p>
    <w:p>
      <w:pPr>
        <w:numPr>
          <w:ilvl w:val="0"/>
          <w:numId w:val="1003"/>
        </w:numPr>
        <w:pStyle w:val="Compact"/>
      </w:pPr>
      <w:r>
        <w:t xml:space="preserve">Sutthiviriwan et al., 2026: AI-assisted concept mapping in orthopaedic nursing education (quasi-experimental).</w:t>
      </w:r>
    </w:p>
    <w:p>
      <w:pPr>
        <w:numPr>
          <w:ilvl w:val="0"/>
          <w:numId w:val="1003"/>
        </w:numPr>
        <w:pStyle w:val="Compact"/>
      </w:pPr>
      <w:r>
        <w:t xml:space="preserve">Sawalha et al., 2026, BMC Medical Education: systematic review of mapping-based teaching in pediatric nursing education.</w:t>
      </w:r>
    </w:p>
    <w:p>
      <w:pPr>
        <w:numPr>
          <w:ilvl w:val="0"/>
          <w:numId w:val="1003"/>
        </w:numPr>
        <w:pStyle w:val="Compact"/>
      </w:pPr>
      <w:r>
        <w:t xml:space="preserve">Blunt &amp; Karpicke, 2014, and Lenski et al., 2024: retrieval-based versus study-based concept mapping. This bears on whether the student-map arm’s construction conditions were retrieval or elaboration.</w:t>
      </w:r>
    </w:p>
    <w:p>
      <w:pPr>
        <w:numPr>
          <w:ilvl w:val="0"/>
          <w:numId w:val="1003"/>
        </w:numPr>
        <w:pStyle w:val="Compact"/>
      </w:pPr>
      <w:r>
        <w:t xml:space="preserve">Xu et al., 2024: concept maps combined with case-based learning and flipped classroom.</w:t>
      </w:r>
    </w:p>
    <w:p>
      <w:pPr>
        <w:numPr>
          <w:ilvl w:val="0"/>
          <w:numId w:val="1003"/>
        </w:numPr>
        <w:pStyle w:val="Compact"/>
      </w:pPr>
      <w:r>
        <w:t xml:space="preserve">Niu et al., 2026: mind mapping combined with case-based learning using simulated cases.</w:t>
      </w:r>
    </w:p>
    <w:p>
      <w:pPr>
        <w:numPr>
          <w:ilvl w:val="0"/>
          <w:numId w:val="1003"/>
        </w:numPr>
        <w:pStyle w:val="Compact"/>
      </w:pPr>
      <w:r>
        <w:t xml:space="preserve">Meşe et al., 2026: ChatGPT conditions showed no advantage in nursing diagnostic skills. Balances the AI-positive literature.</w:t>
      </w:r>
    </w:p>
    <w:bookmarkEnd w:id="27"/>
    <w:bookmarkStart w:id="28" w:name="what-is-needed-to-go-further"/>
    <w:p>
      <w:pPr>
        <w:pStyle w:val="Heading1"/>
      </w:pPr>
      <w:r>
        <w:t xml:space="preserve">9. What is needed to go further</w:t>
      </w:r>
    </w:p>
    <w:p>
      <w:pPr>
        <w:pStyle w:val="FirstParagraph"/>
      </w:pPr>
      <w:r>
        <w:t xml:space="preserve">To move from this audit to a real data review and analysis, provide:</w:t>
      </w:r>
    </w:p>
    <w:p>
      <w:pPr>
        <w:numPr>
          <w:ilvl w:val="0"/>
          <w:numId w:val="1004"/>
        </w:numPr>
        <w:pStyle w:val="Compact"/>
      </w:pPr>
      <w:r>
        <w:t xml:space="preserve">The de-identified student-level dataset, one row per student, with section, facilitator, strategy, day, start time and learning group.</w:t>
      </w:r>
    </w:p>
    <w:p>
      <w:pPr>
        <w:numPr>
          <w:ilvl w:val="0"/>
          <w:numId w:val="1004"/>
        </w:numPr>
        <w:pStyle w:val="Compact"/>
      </w:pPr>
      <w:r>
        <w:t xml:space="preserve">Baseline and follow-up case domain scores (8 domains × 2 cases × 2 occasions), with rater ID and critical-error flags.</w:t>
      </w:r>
    </w:p>
    <w:p>
      <w:pPr>
        <w:numPr>
          <w:ilvl w:val="0"/>
          <w:numId w:val="1004"/>
        </w:numPr>
        <w:pStyle w:val="Compact"/>
      </w:pPr>
      <w:r>
        <w:t xml:space="preserve">Procedural task scores (15 tasks × 2 occasions), with rater ID.</w:t>
      </w:r>
    </w:p>
    <w:p>
      <w:pPr>
        <w:numPr>
          <w:ilvl w:val="0"/>
          <w:numId w:val="1004"/>
        </w:numPr>
        <w:pStyle w:val="Compact"/>
      </w:pPr>
      <w:r>
        <w:t xml:space="preserve">Knowledge responses (48 items, with form and sequence).</w:t>
      </w:r>
    </w:p>
    <w:p>
      <w:pPr>
        <w:numPr>
          <w:ilvl w:val="0"/>
          <w:numId w:val="1004"/>
        </w:numPr>
        <w:pStyle w:val="Compact"/>
      </w:pPr>
      <w:r>
        <w:t xml:space="preserve">Attendance, preparation and product logs per session; fidelity records; exposure questionnaire responses.</w:t>
      </w:r>
    </w:p>
    <w:p>
      <w:pPr>
        <w:numPr>
          <w:ilvl w:val="0"/>
          <w:numId w:val="1004"/>
        </w:numPr>
        <w:pStyle w:val="Compact"/>
      </w:pPr>
      <w:r>
        <w:t xml:space="preserve">Rater benchmark and recalibration logs.</w:t>
      </w:r>
    </w:p>
    <w:p>
      <w:pPr>
        <w:numPr>
          <w:ilvl w:val="0"/>
          <w:numId w:val="1004"/>
        </w:numPr>
        <w:pStyle w:val="Compact"/>
      </w:pPr>
      <w:r>
        <w:t xml:space="preserve">The ethics approval letter (EC-2025-089), the consent form and the allocation log, dated before recruitment.</w:t>
      </w:r>
    </w:p>
    <w:p>
      <w:pPr>
        <w:numPr>
          <w:ilvl w:val="0"/>
          <w:numId w:val="1004"/>
        </w:numPr>
        <w:pStyle w:val="Compact"/>
      </w:pPr>
      <w:r>
        <w:t xml:space="preserve">The map-generation logs, if the AI maps were produced: model revision, prompts, raw outputs, the two educators’ scores, and the clinician review log.</w:t>
      </w:r>
    </w:p>
    <w:p>
      <w:pPr>
        <w:pStyle w:val="FirstParagraph"/>
      </w:pPr>
      <w:r>
        <w:t xml:space="preserve">With the dataset, I will run the pre-specified mixed ANCOVA (Kenward–Roger) and sensitivity analyses in R, check the output against the reported values, and rebuild the manuscript’s Results, tables and provenance statements from the actual output. Without the dataset, the honest form of the manuscript is a study protocol with no Results.</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review and provenance audit: AI- versus student-generated mind maps in pediatric neurotrauma nursing education</dc:title>
  <dc:creator/>
  <cp:keywords/>
  <dcterms:created xsi:type="dcterms:W3CDTF">2026-10-10T02:08:40Z</dcterms:created>
  <dcterms:modified xsi:type="dcterms:W3CDTF">2026-10-10T02:08:40Z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ies>
</file>