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 w:before="0" w:line="276"/>
        <w:jc w:val="center"/>
      </w:pPr>
      <w:r>
        <w:rPr>
          <w:rFonts w:ascii="Calibri" w:cs="Arial" w:hAnsi="Calibri"/>
          <w:b/>
          <w:bCs/>
          <w:sz w:val="32"/>
          <w:szCs w:val="32"/>
          <w:rtl w:val="false"/>
        </w:rPr>
        <w:t xml:space="preserve">Supplementary File 2</w:t>
      </w:r>
    </w:p>
    <w:p>
      <w:pPr>
        <w:bidi w:val="false"/>
        <w:spacing w:after="160" w:before="0" w:line="276"/>
        <w:jc w:val="center"/>
      </w:pPr>
      <w:r>
        <w:rPr>
          <w:rFonts w:ascii="Calibri" w:cs="Arial" w:hAnsi="Calibri"/>
          <w:b/>
          <w:bCs/>
          <w:sz w:val="26"/>
          <w:szCs w:val="26"/>
          <w:rtl w:val="false"/>
        </w:rPr>
        <w:t xml:space="preserve">Completed COREQ and SRQR Checklists</w:t>
      </w:r>
    </w:p>
    <w:p>
      <w:pPr>
        <w:bidi w:val="false"/>
        <w:spacing w:after="200" w:before="0" w:line="276"/>
        <w:jc w:val="center"/>
      </w:pPr>
      <w:r>
        <w:rPr>
          <w:rFonts w:ascii="Calibri" w:cs="Arial" w:hAnsi="Calibri"/>
          <w:i/>
          <w:iCs/>
          <w:sz w:val="22"/>
          <w:szCs w:val="22"/>
          <w:rtl w:val="false"/>
        </w:rPr>
        <w:t xml:space="preserve">When Is Intervention Warranted? Nurse Managers' Judgements About Informal Generative Artificial Intelligence Use in Clinical Nursing in Saudi Arabia — An Interpretive Description</w:t>
      </w:r>
    </w:p>
    <w:p>
      <w:pPr>
        <w:bidi w:val="false"/>
        <w:spacing w:after="120" w:before="0" w:line="276"/>
        <w:jc w:val="left"/>
      </w:pPr>
      <w:r>
        <w:rPr>
          <w:rFonts w:ascii="Calibri" w:cs="Arial" w:hAnsi="Calibri"/>
          <w:i/>
          <w:iCs/>
          <w:sz w:val="20"/>
          <w:szCs w:val="20"/>
          <w:rtl w:val="false"/>
        </w:rPr>
        <w:t xml:space="preserve">Locations refer to manuscript sections. "Findings" and "Declarations" refer to the corresponding sections of the full manuscript. COREQ items are reproduced from Tong, Sainsbury and Craig (2007); SRQR items from O'Brien and colleagues (2014).</w:t>
      </w:r>
    </w:p>
    <w:p>
      <w:pPr>
        <w:pStyle w:val="Heading1"/>
        <w:bidi w:val="false"/>
        <w:spacing w:after="120" w:before="240"/>
        <w:jc w:val="left"/>
      </w:pPr>
      <w:r>
        <w:rPr>
          <w:rFonts w:ascii="Calibri" w:cs="Arial" w:hAnsi="Calibri"/>
          <w:b/>
          <w:bCs/>
          <w:color w:val="1F3864"/>
          <w:sz w:val="30"/>
          <w:szCs w:val="30"/>
          <w:rtl w:val="false"/>
        </w:rPr>
        <w:t xml:space="preserve">Part A. Consolidated Criteria for Reporting Qualitative Research (COREQ): 32-Item Checklist</w:t>
      </w:r>
    </w:p>
    <w:tbl>
      <w:tblPr>
        <w:bidiVisual w:val="false"/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700"/>
        <w:gridCol w:w="5058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No.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Guide question / description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How addressed in this study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Location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1: Research team and reflexivity — Personal characteristics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Interviewer/facilitator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Which author/s conducted the interview or focus group?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Two members of the research team (one female, one male) conducted all interviews.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Credentials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were the researcher's credentials?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All four team members held doctoral degrees (PhD).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4.5; 4.9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Occupation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was their occupation at the time of the study?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Nurse researchers (academic staff) at Jouf University.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Gender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Was the researcher male or female?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One female and one male interviewer; participants could choose the interviewer's gender.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Experience and training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experience or training did the researcher have?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Doctoral-level training and experience in qualitative research; two members had nurse management experience; expertise in informatics and in ethics and governance.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4.5; 4.9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1 — Relationship with participants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Relationship established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Was a relationship established prior to study commencement?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No. Interviewers had no prior relationship with any participant; no team member worked at a participating hospital or had an employment or supervisory relationship with any participant.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4.3; 4.5; 4.9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Participant knowledge of the interviewer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did the participants know about the researcher?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The information sheet introduced the interviewers as nurse researchers at Jouf University and explained their reasons for conducting the study.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4.4; 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Interviewer characteristics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characteristics were reported about the interviewer/facilitator?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Professional backgrounds, prior management roles, GenAI use, views on GenAI and potential influences on interpretation were reported, with steps taken to manage them.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4.9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2: Study design — Theoretical framework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9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Methodological orientation and theory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methodological orientation was stated to underpin the study?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Interpretive description within a constructivist, naturalistic position; organisational sensemaking and sensegiving used as sensitising concepts.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3; 4.1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2 — Participant selection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10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Sampling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How were participants selected?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Purposive, maximum-variation sampling using a predefined sampling matrix, becoming partly theoretical as analysis progressed.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Method of approach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How were participants approached?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Invitation by institutional email from a research coordinator outside the research team, with a bilingual information sheet; eligibility confirmed in a short screening conversation.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Sample size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How many participants were in the study?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25 nurse managers; planned range 20–28, justified by information power and empirical evidence, with predefined stopping conditions.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Non-participation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How many people refused to participate or dropped out? Reasons?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31 invited; 4 declined (workload); 2 did not respond after one reminder; no withdrawals after interview.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4.4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2 — Setting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Setting of data collection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Where was the data collected?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Private rooms at the participating hospitals, away from clinical units and outside handover times (n = 20); secure videoconference with the participant in a private space (n = 5).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4.2; 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Presence of non-participants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Was anyone else present besides the participants and researchers?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No. Only the participant and interviewer were present.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Description of sample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are the important characteristics of the sample?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Sampling characteristics specified in the sampling matrix; participant characteristics (questionnaire data) and data-collection dates reported.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4.2; 4.3; Findings (participant characteristics table)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2 — Data collection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Interview guide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questions, prompts, guides provided by the authors? Was it pilot tested?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Yes. Full guide in English and Arabic provided; piloted with two nurse managers outside the study sites; changes documented.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4.5; Supplementary File 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18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Repeat interviews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repeat interviews carried out? If yes, how many?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No repeat interviews were conducted.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19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Audio/visual recording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Did the research use audio or visual recording to collect the data?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Audio recording on encrypted digital recorders, with consent.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4.5; 4.6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20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Field notes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field notes made during and/or after the interview?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Yes, immediately after each interview (non-verbal features, atmosphere, initial analytic impressions, reflexive observations).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Duration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was the duration of the interviews?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46–84 minutes (median 62 minutes).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Data saturation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Was data saturation discussed?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Yes. Sample adequacy was addressed through information power, empirical saturation evidence and three predefined stopping conditions based on analytic sufficiency.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Transcripts returned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transcripts returned to participants for comment and/or correction?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No. Member reflections on a summary of preliminary interpretations were used in place of transcript return (rationale given).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4.8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3: Analysis and findings — Data analysis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Number of data coders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How many data coders coded the data?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Two researchers independently coded the first five transcripts; coding framework then applied and refined with full-team discussion.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Description of the coding tree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Did authors provide a description of the coding tree?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Analytic phases, coding framework development and episode matrix fields described; final structure of the interpretive account presented in the Findings.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4.7 (Table 2); 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Derivation of themes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themes identified in advance or derived from the data?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Derived from the data through inductive coding; sensitising concepts introduced only during comparison and not used as fixed categories.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3; 4.7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Software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What software, if applicable, was used to manage the data?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NVivo 14 (Lumivero).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28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Participant checking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Did participants provide feedback on the findings?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Yes. 14 of 21 participants who agreed to review the summary of preliminary interpretations provided comments, treated as further data.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4.8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Domain 3 — Reporting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29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Quotations presented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participant quotations presented? Was each quotation identified?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Yes. Excerpts reported with pseudonymised participant codes (e.g. B-NM07); Arabic excerpts translated and checked by two bilingual researchers.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4.6; 4.8; 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30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Data and findings consistent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Was there consistency between the data presented and the findings?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Each interpretive claim linked to excerpts from several participants; audit trail reviewed by a non-interviewing team member.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4.8; 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Clarity of major themes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Were major themes clearly presented in the findings?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Major interpretive patterns presented with the conditions under which they appeared.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Clarity of minor themes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Is there a description of diverse cases or discussion of minor themes?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Divergent and negative cases actively sought, analysed and reported.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4.7; Findings</w:t>
            </w:r>
          </w:p>
        </w:tc>
      </w:tr>
    </w:tbl>
    <w:p>
      <w:pPr>
        <w:pStyle w:val="Heading1"/>
        <w:pageBreakBefore/>
        <w:bidi w:val="false"/>
        <w:spacing w:after="120" w:before="240"/>
        <w:jc w:val="left"/>
      </w:pPr>
      <w:r>
        <w:rPr>
          <w:rFonts w:ascii="Calibri" w:cs="Arial" w:hAnsi="Calibri"/>
          <w:b/>
          <w:bCs/>
          <w:color w:val="1F3864"/>
          <w:sz w:val="30"/>
          <w:szCs w:val="30"/>
          <w:rtl w:val="false"/>
        </w:rPr>
        <w:t xml:space="preserve">Part B. Standards for Reporting Qualitative Research (SRQR): 21-Item Checklist</w:t>
      </w:r>
    </w:p>
    <w:tbl>
      <w:tblPr>
        <w:bidiVisual w:val="false"/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700"/>
        <w:gridCol w:w="5058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No.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Topic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Item description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How addressed in this study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Location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Title and abstract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Title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Concise description of the nature and topic of the study; identifying the study as qualitative or indicating the approach or data collection methods is recommended.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Title states the topic, population, setting and approach ("An Interpretive Description").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Title page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Abstract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Summary of key elements of the study using the abstract format of the intended publication.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Structured abstract summarising background, aim, design, methods, findings and conclusions.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Abstract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Introduction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Problem formulation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Description and significance of the problem/phenomenon studied; review of relevant theory and empirical work; problem statement.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Informal GenAI use defined; managerial challenges, prior studies, Saudi governance context and the unresolved problem described.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Purpose or research question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Purpose of the study and specific objectives or questions.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Aim, three research questions and four objectives stated.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Methods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Qualitative approach and research paradigm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Qualitative approach and guiding theory if appropriate; research paradigm; rationale.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Interpretive description; constructivist, naturalistic paradigm; sensitising theory; reasons for choice and alternatives considered.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3; 4.1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Researcher characteristics and reflexivity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Researchers' characteristics that may influence the research; potential or actual interaction between researchers' characteristics and the research.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Team composition, backgrounds, GenAI use, power relations, and reflexive practices reported.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Context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Setting/site and salient contextual factors; rationale.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Four public hospitals in the Jouf region; size, level of care, accreditation, shared directorate, policy environment; study period.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S8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Sampling strategy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How and why research participants were selected; criteria for deciding when no further sampling was necessary.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Eligibility criteria; maximum-variation and partly theoretical sampling; information power; predefined stopping conditions.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S9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Ethical issues pertaining to human subjects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Documentation of approval by an appropriate ethics review board and participant consent, or explanation for lack thereof; other confidentiality and data security issues.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Jouf University IRB (Protocol No. 7603) and hospital ethics committees; written consent; occupational risk, third parties, disclosure protocol, well-being; data protection.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4.4; 4.6; 4.10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S10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Data collection methods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Types of data collected; details of data collection procedures; iterative processes; triangulation of sources/methods.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Episode-focused semi-structured interviews; field notes; contextual policy review; concurrent collection and analysis; guide refinements.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4.2; 4.5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Data collection instruments and technologies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Description of instruments and devices used for data collection; if/how the instruments changed over the course of the study.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Interview guide (bilingual), questionnaire, encrypted recorders, institution-licensed videoconference; dated version history.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4.5; Supplementary File 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Units of study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Number and relevant characteristics of participants, documents, or events included in the study; level of participation.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25 nurse managers (unit of sampling); episodes (unit of comparison); recruitment numbers; participant characteristics.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4.1; 4.3; 4.4; 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Data processing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Methods for processing data prior to and during analysis, including transcription, data entry, data management and security, verification of data integrity, data coding, and anonymisation/de-identification of excerpts.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Verbatim transcription and accuracy checks; pseudonymisation; translation procedures; secure storage; NVivo; exclusion of GenAI from data handling; retention.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Data analysis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Process by which inferences, themes, etc., were identified and developed, including the researchers involved in data analysis; usually references a specific paradigm or approach; rationale.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Five-phase interpretive description analysis with episode matrix, constant comparison and divergent-case analysis; two coders and full-team discussion.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Techniques to enhance trustworthiness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Techniques to enhance trustworthiness and credibility of data analysis; rationale.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Lincoln and Guba criteria and Thorne's criteria; triangulation; peer debriefing; member reflections; audit trail; reflexivity; thick description.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4.8; 4.9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Results/findings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Synthesis and interpretation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Main findings; might include development of a theory or model, or integration with prior research or theory.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Interpretive account of how nurse managers judged whether, when and how to intervene.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Links to empirical data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Evidence (e.g., quotes, field notes, text excerpts, photographs) to substantiate analytic findings.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Identified excerpts from several participants for each interpretive claim.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Findings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Discussion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S18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Integration with prior work, implications, transferability, and contribution(s) to the field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Short summary of main findings; explanation of how findings and conclusions connect to, support, elaborate on, or challenge conclusions of earlier scholarship; discussion of scope of application/generalisability; identification of unique contribution(s).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Findings discussed against prior studies and sensemaking literature; implications for management, communication and governance; transferability conditions.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Discussion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S19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Limitations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Trustworthiness and limitations of findings.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Limitations and their implications for interpretation discussed.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Discussion</w:t>
            </w:r>
          </w:p>
        </w:tc>
      </w:tr>
      <w:tr>
        <w:trPr>
          <w:cantSplit/>
          <w:tblHeader w:val="false"/>
        </w:trPr>
        <w:tc>
          <w:tcPr>
            <w:tcW w:type="dxa" w:w="13958"/>
            <w:gridSpan w:val="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b/>
                <w:bCs/>
                <w:sz w:val="18"/>
                <w:szCs w:val="18"/>
                <w:rtl w:val="false"/>
              </w:rPr>
              <w:t xml:space="preserve">Other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S20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Conflicts of interest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Potential sources of influence or perceived influence on study conduct and conclusions; how these were managed.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Declared in the conflicts of interest statement.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Declarations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S21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Funding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Sources of funding and other support; role of funders in data collection, interpretation, and reporting.</w:t>
            </w:r>
          </w:p>
        </w:tc>
        <w:tc>
          <w:tcPr>
            <w:tcW w:type="dxa" w:w="505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Declared in the funding statement.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40" w:before="0" w:line="276"/>
              <w:jc w:val="left"/>
            </w:pPr>
            <w:r>
              <w:rPr>
                <w:rFonts w:ascii="Calibri" w:cs="Arial" w:hAnsi="Calibri"/>
                <w:sz w:val="18"/>
                <w:szCs w:val="18"/>
                <w:rtl w:val="false"/>
              </w:rPr>
              <w:t xml:space="preserve">Declarations</w:t>
            </w:r>
          </w:p>
        </w:tc>
      </w:tr>
    </w:tbl>
    <w:sectPr>
      <w:footerReference w:type="default" r:id="rId7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Arial" w:hAnsi="Calibri"/>
        <w:sz w:val="18"/>
        <w:szCs w:val="18"/>
      </w:rPr>
      <w:t xml:space="preserve">Supplementary File 2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  <w:lvl w:ilvl="1" w15:tentative="1">
      <w:start w:val="1"/>
      <w:numFmt w:val="bullet"/>
      <w:lvlText w:val="–"/>
      <w:lvlJc w:val="right"/>
      <w:pPr>
        <w:ind w:righ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2026-10-27T11:36:34.637Z</dcterms:created>
  <dcterms:modified xsi:type="dcterms:W3CDTF">2026-10-27T11:36:34.637Z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