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120" w:after="0"/>
        <w:jc w:val="center"/>
        <w:rPr/>
      </w:pPr>
      <w:r>
        <w:rPr>
          <w:rFonts w:cs="Times New Roman" w:ascii="Times New Roman" w:hAnsi="Times New Roman"/>
          <w:b/>
          <w:bCs/>
          <w:iCs/>
          <w:sz w:val="36"/>
          <w:szCs w:val="36"/>
        </w:rPr>
        <w:t>(Form 1)</w:t>
      </w:r>
    </w:p>
    <w:p>
      <w:pPr>
        <w:pStyle w:val="Normal"/>
        <w:bidi w:val="0"/>
        <w:spacing w:lineRule="auto" w:line="240" w:before="120" w:after="0"/>
        <w:jc w:val="center"/>
        <w:rPr>
          <w:rFonts w:ascii="Times New Roman" w:hAnsi="Times New Roman" w:cs="Times New Roman"/>
          <w:sz w:val="36"/>
          <w:szCs w:val="36"/>
        </w:rPr>
      </w:pPr>
      <w:r>
        <w:rPr>
          <w:rFonts w:cs="Times New Roman" w:ascii="Times New Roman" w:hAnsi="Times New Roman"/>
          <w:b/>
          <w:bCs/>
          <w:iCs/>
          <w:sz w:val="36"/>
          <w:szCs w:val="36"/>
        </w:rPr>
        <w:t xml:space="preserve">Research Proposal </w:t>
      </w:r>
    </w:p>
    <w:p>
      <w:pPr>
        <w:pStyle w:val="Normal"/>
        <w:bidi w:val="0"/>
        <w:spacing w:lineRule="auto" w:line="240" w:before="0" w:after="120"/>
        <w:jc w:val="both"/>
        <w:rPr/>
      </w:pPr>
      <w:r>
        <w:rPr>
          <w:rFonts w:cs="Times New Roman" w:ascii="Times New Roman" w:hAnsi="Times New Roman"/>
          <w:b/>
          <w:bCs/>
          <w:iCs/>
          <w:sz w:val="20"/>
          <w:szCs w:val="20"/>
        </w:rPr>
        <w:t>Note:</w:t>
      </w:r>
      <w:r>
        <w:rPr>
          <w:rFonts w:cs="Times New Roman" w:ascii="Times New Roman" w:hAnsi="Times New Roman"/>
          <w:iCs/>
          <w:sz w:val="20"/>
          <w:szCs w:val="20"/>
        </w:rPr>
        <w:t xml:space="preserve"> The similarity index (Plagiarism Index) of all texts should not exceed the University's acceptable range of 25%;</w:t>
      </w:r>
      <w:r>
        <w:rPr/>
        <w:t xml:space="preserve"> provided that the similarity index per source is less than 10%.</w:t>
      </w:r>
    </w:p>
    <w:tbl>
      <w:tblPr>
        <w:tblW w:w="5000" w:type="pct"/>
        <w:jc w:val="left"/>
        <w:tblInd w:w="0" w:type="dxa"/>
        <w:tblLayout w:type="fixed"/>
        <w:tblCellMar>
          <w:top w:w="0" w:type="dxa"/>
          <w:left w:w="108" w:type="dxa"/>
          <w:bottom w:w="0" w:type="dxa"/>
          <w:right w:w="108" w:type="dxa"/>
        </w:tblCellMar>
      </w:tblPr>
      <w:tblGrid>
        <w:gridCol w:w="3134"/>
        <w:gridCol w:w="1290"/>
        <w:gridCol w:w="1845"/>
        <w:gridCol w:w="3135"/>
      </w:tblGrid>
      <w:tr>
        <w:trPr/>
        <w:tc>
          <w:tcPr>
            <w:tcW w:w="9404" w:type="dxa"/>
            <w:gridSpan w:val="4"/>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pPr>
            <w:r>
              <w:rPr>
                <w:rFonts w:cs="Times New Roman" w:ascii="Times New Roman" w:hAnsi="Times New Roman"/>
                <w:b/>
                <w:bCs/>
                <w:sz w:val="24"/>
                <w:szCs w:val="24"/>
                <w:lang w:bidi="ar-EG"/>
              </w:rPr>
              <w:t>Institution</w:t>
            </w:r>
            <w:r>
              <w:rPr>
                <w:rFonts w:cs="Times New Roman" w:ascii="Times New Roman" w:hAnsi="Times New Roman"/>
                <w:sz w:val="24"/>
                <w:szCs w:val="24"/>
                <w:lang w:bidi="ar-EG"/>
              </w:rPr>
              <w:t xml:space="preserve">: </w:t>
            </w:r>
            <w:r>
              <w:rPr>
                <w:rFonts w:ascii="Times New Roman" w:hAnsi="Times New Roman" w:cs="Times New Roman" w:eastAsia="Times New Roman"/>
                <w:sz w:val="22"/>
                <w:szCs w:val="22"/>
              </w:rPr>
              <w:t xml:space="preserve"> Jouf University</w:t>
            </w:r>
          </w:p>
        </w:tc>
      </w:tr>
      <w:tr>
        <w:trPr>
          <w:trHeight w:val="359" w:hRule="atLeast"/>
        </w:trPr>
        <w:tc>
          <w:tcPr>
            <w:tcW w:w="9404" w:type="dxa"/>
            <w:gridSpan w:val="4"/>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b/>
                <w:sz w:val="22"/>
                <w:szCs w:val="22"/>
              </w:rPr>
              <w:t xml:space="preserve">College:</w:t>
            </w:r>
            <w:r>
              <w:rPr>
                <w:rFonts w:ascii="Times New Roman" w:hAnsi="Times New Roman" w:cs="Times New Roman" w:eastAsia="Times New Roman"/>
                <w:sz w:val="22"/>
                <w:szCs w:val="22"/>
              </w:rPr>
              <w:t xml:space="preserve"> College of Nursing          </w:t>
            </w:r>
            <w:r>
              <w:rPr>
                <w:rFonts w:ascii="Times New Roman" w:hAnsi="Times New Roman" w:cs="Times New Roman" w:eastAsia="Times New Roman"/>
                <w:b/>
                <w:sz w:val="22"/>
                <w:szCs w:val="22"/>
              </w:rPr>
              <w:t xml:space="preserve">Department:</w:t>
            </w:r>
            <w:r>
              <w:rPr>
                <w:rFonts w:ascii="Times New Roman" w:hAnsi="Times New Roman" w:cs="Times New Roman" w:eastAsia="Times New Roman"/>
                <w:sz w:val="22"/>
                <w:szCs w:val="22"/>
              </w:rPr>
              <w:t xml:space="preserve"> Maternal and Child Health Nursing</w:t>
            </w:r>
          </w:p>
        </w:tc>
      </w:tr>
      <w:tr>
        <w:trPr>
          <w:trHeight w:val="347" w:hRule="atLeast"/>
        </w:trPr>
        <w:tc>
          <w:tcPr>
            <w:tcW w:w="9404" w:type="dxa"/>
            <w:gridSpan w:val="4"/>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cs="Times New Roman"/>
                <w:sz w:val="24"/>
                <w:szCs w:val="24"/>
              </w:rPr>
            </w:pPr>
            <w:r>
              <w:rPr>
                <w:rFonts w:cs="Times New Roman" w:ascii="Times New Roman" w:hAnsi="Times New Roman"/>
                <w:b/>
                <w:bCs/>
                <w:sz w:val="24"/>
                <w:szCs w:val="24"/>
                <w:lang w:bidi="ar-EG"/>
              </w:rPr>
              <w:t>Project title</w:t>
            </w:r>
            <w:r>
              <w:rPr>
                <w:rFonts w:cs="Times New Roman" w:ascii="Times New Roman" w:hAnsi="Times New Roman"/>
                <w:sz w:val="24"/>
                <w:szCs w:val="24"/>
                <w:lang w:bidi="ar-EG"/>
              </w:rPr>
              <w:t>:</w:t>
            </w:r>
            <w:r>
              <w:rPr>
                <w:rFonts w:cs="Times New Roman" w:ascii="Times New Roman" w:hAnsi="Times New Roman"/>
                <w:sz w:val="24"/>
                <w:szCs w:val="24"/>
              </w:rPr>
              <w:t xml:space="preserve"> </w:t>
            </w:r>
            <w:r>
              <w:rPr>
                <w:rFonts w:ascii="Times New Roman" w:hAnsi="Times New Roman" w:cs="Times New Roman" w:eastAsia="Times New Roman"/>
                <w:sz w:val="22"/>
                <w:szCs w:val="22"/>
              </w:rPr>
              <w:t xml:space="preserve"> Consent in Motion: Consent, Bodily Privacy and Responsiveness During Assisted Early Mobilisation After Caesarean Birth – An Interpretive Description Study in Saudi Arabia</w:t>
            </w:r>
          </w:p>
        </w:tc>
      </w:tr>
      <w:tr>
        <w:trPr>
          <w:trHeight w:val="183" w:hRule="atLeast"/>
        </w:trPr>
        <w:tc>
          <w:tcPr>
            <w:tcW w:w="4424" w:type="dxa"/>
            <w:gridSpan w:val="2"/>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pPr>
            <w:r>
              <w:rPr>
                <w:rFonts w:cs="Times New Roman" w:ascii="Times New Roman" w:hAnsi="Times New Roman"/>
                <w:b/>
                <w:bCs/>
                <w:sz w:val="24"/>
                <w:szCs w:val="24"/>
                <w:lang w:bidi="ar-EG"/>
              </w:rPr>
              <w:t>Name of the Principal Investigator (PI)</w:t>
            </w:r>
            <w:r>
              <w:rPr>
                <w:rFonts w:cs="Times New Roman" w:ascii="Times New Roman" w:hAnsi="Times New Roman"/>
                <w:sz w:val="24"/>
                <w:szCs w:val="24"/>
                <w:lang w:bidi="ar-EG"/>
              </w:rPr>
              <w:t>:</w:t>
            </w:r>
          </w:p>
          <w:p>
            <w:pPr>
              <w:pStyle w:val="Normal"/>
              <w:bidi w:val="0"/>
              <w:spacing w:lineRule="auto" w:line="240" w:before="120" w:after="0"/>
              <w:jc w:val="left"/>
              <w:rPr>
                <w:rFonts w:ascii="Times New Roman" w:hAnsi="Times New Roman" w:cs="Times New Roman"/>
                <w:sz w:val="24"/>
                <w:szCs w:val="24"/>
                <w:lang w:bidi="ar-EG"/>
              </w:rPr>
            </w:pPr>
            <w:r>
              <w:rPr>
                <w:rFonts w:cs="Times New Roman" w:ascii="Times New Roman" w:hAnsi="Times New Roman"/>
                <w:sz w:val="24"/>
                <w:szCs w:val="24"/>
                <w:lang w:bidi="ar-EG"/>
              </w:rPr>
            </w:r>
          </w:p>
          <w:p>
            <w:pPr>
              <w:pStyle w:val="Normal"/>
              <w:bidi w:val="0"/>
              <w:spacing w:lineRule="auto" w:line="240" w:before="120" w:after="0"/>
              <w:jc w:val="left"/>
              <w:rPr>
                <w:rFonts w:ascii="Times New Roman" w:hAnsi="Times New Roman" w:cs="Times New Roman"/>
                <w:sz w:val="24"/>
                <w:szCs w:val="24"/>
                <w:lang w:bidi="ar-EG"/>
              </w:rPr>
            </w:pPr>
            <w:r>
              <w:rPr>
                <w:rFonts w:cs="Times New Roman" w:ascii="Times New Roman" w:hAnsi="Times New Roman"/>
                <w:sz w:val="24"/>
                <w:szCs w:val="24"/>
                <w:lang w:bidi="ar-EG"/>
              </w:rPr>
            </w:r>
            <w:r>
              <w:rPr>
                <w:rFonts w:ascii="Times New Roman" w:hAnsi="Times New Roman" w:cs="Times New Roman" w:eastAsia="Times New Roman"/>
                <w:sz w:val="22"/>
                <w:szCs w:val="22"/>
              </w:rPr>
              <w:t xml:space="preserve"> Mutairah Alamlah Alshammari</w:t>
            </w:r>
          </w:p>
        </w:tc>
        <w:tc>
          <w:tcPr>
            <w:tcW w:w="4980" w:type="dxa"/>
            <w:gridSpan w:val="2"/>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b/>
                <w:sz w:val="22"/>
                <w:szCs w:val="22"/>
              </w:rPr>
              <w:t xml:space="preserve">Title: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[Academic title]</w:t>
            </w:r>
          </w:p>
          <w:p>
            <w:pPr>
              <w:bidi w:val="0"/>
              <w:spacing w:before="0" w:after="40" w:line="252" w:lineRule="auto"/>
              <w:jc w:val="left"/>
            </w:pPr>
            <w:r>
              <w:rPr>
                <w:rFonts w:ascii="Times New Roman" w:hAnsi="Times New Roman" w:cs="Times New Roman" w:eastAsia="Times New Roman"/>
                <w:b/>
                <w:sz w:val="22"/>
                <w:szCs w:val="22"/>
              </w:rPr>
              <w:t xml:space="preserve">Position: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[Position]</w:t>
            </w:r>
          </w:p>
          <w:p>
            <w:pPr>
              <w:bidi w:val="0"/>
              <w:spacing w:before="0" w:after="40" w:line="252" w:lineRule="auto"/>
              <w:jc w:val="left"/>
            </w:pPr>
            <w:r>
              <w:rPr>
                <w:rFonts w:ascii="Times New Roman" w:hAnsi="Times New Roman" w:cs="Times New Roman" w:eastAsia="Times New Roman"/>
                <w:b/>
                <w:sz w:val="22"/>
                <w:szCs w:val="22"/>
              </w:rPr>
              <w:t xml:space="preserve">Degree:</w:t>
            </w:r>
            <w:r>
              <w:rPr>
                <w:rFonts w:ascii="Times New Roman" w:hAnsi="Times New Roman" w:cs="Times New Roman" w:eastAsia="Times New Roman"/>
                <w:sz w:val="22"/>
                <w:szCs w:val="22"/>
              </w:rPr>
              <w:t xml:space="preserve"> MSc Nursing; doctoral training in progress</w:t>
            </w:r>
          </w:p>
          <w:p>
            <w:pPr>
              <w:bidi w:val="0"/>
              <w:spacing w:before="0" w:after="40" w:line="252" w:lineRule="auto"/>
              <w:jc w:val="left"/>
            </w:pPr>
            <w:r>
              <w:rPr>
                <w:rFonts w:ascii="Times New Roman" w:hAnsi="Times New Roman" w:cs="Times New Roman" w:eastAsia="Times New Roman"/>
                <w:b/>
                <w:sz w:val="22"/>
                <w:szCs w:val="22"/>
              </w:rPr>
              <w:t xml:space="preserve">Email: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[institutional email]</w:t>
            </w:r>
          </w:p>
          <w:p>
            <w:pPr>
              <w:bidi w:val="0"/>
              <w:spacing w:before="0" w:after="40" w:line="252" w:lineRule="auto"/>
              <w:jc w:val="left"/>
            </w:pPr>
            <w:r>
              <w:rPr>
                <w:rFonts w:ascii="Times New Roman" w:hAnsi="Times New Roman" w:cs="Times New Roman" w:eastAsia="Times New Roman"/>
                <w:b/>
                <w:sz w:val="22"/>
                <w:szCs w:val="22"/>
              </w:rPr>
              <w:t xml:space="preserve">Mobile: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[mobile number]</w:t>
            </w:r>
          </w:p>
        </w:tc>
      </w:tr>
      <w:tr>
        <w:trPr>
          <w:trHeight w:val="235" w:hRule="atLeast"/>
        </w:trPr>
        <w:tc>
          <w:tcPr>
            <w:tcW w:w="3134" w:type="dxa"/>
            <w:vMerge w:val="restart"/>
            <w:tcBorders>
              <w:top w:val="single" w:sz="4" w:space="0" w:color="000000"/>
              <w:left w:val="single" w:sz="4" w:space="0" w:color="000000"/>
              <w:bottom w:val="single" w:sz="4" w:space="0" w:color="000000"/>
              <w:right w:val="single" w:sz="4" w:space="0" w:color="000000"/>
            </w:tcBorders>
          </w:tcPr>
          <w:p>
            <w:pPr>
              <w:pStyle w:val="Normal"/>
              <w:bidi w:val="0"/>
              <w:snapToGrid w:val="false"/>
              <w:spacing w:lineRule="auto" w:line="240" w:before="120" w:after="0"/>
              <w:jc w:val="left"/>
              <w:rPr>
                <w:rFonts w:ascii="Times New Roman" w:hAnsi="Times New Roman" w:cs="Times New Roman"/>
                <w:b/>
                <w:bCs/>
                <w:sz w:val="24"/>
                <w:szCs w:val="24"/>
                <w:vertAlign w:val="superscript"/>
                <w:lang w:bidi="ar-EG"/>
              </w:rPr>
            </w:pPr>
            <w:r>
              <w:rPr>
                <w:rFonts w:cs="Times New Roman" w:ascii="Times New Roman" w:hAnsi="Times New Roman"/>
                <w:b/>
                <w:bCs/>
                <w:sz w:val="24"/>
                <w:szCs w:val="24"/>
                <w:vertAlign w:val="superscript"/>
                <w:lang w:bidi="ar-EG"/>
              </w:rPr>
            </w:r>
          </w:p>
          <w:p>
            <w:pPr>
              <w:pStyle w:val="Normal"/>
              <w:tabs>
                <w:tab w:val="clear" w:pos="720"/>
                <w:tab w:val="left" w:pos="432" w:leader="none"/>
              </w:tabs>
              <w:bidi w:val="0"/>
              <w:spacing w:before="0" w:after="200"/>
              <w:jc w:val="left"/>
              <w:rPr>
                <w:rFonts w:ascii="Times New Roman" w:hAnsi="Times New Roman" w:cs="Times New Roman"/>
                <w:b/>
                <w:bCs/>
                <w:sz w:val="24"/>
                <w:szCs w:val="24"/>
              </w:rPr>
            </w:pPr>
            <w:r>
              <w:rPr>
                <w:rFonts w:cs="Times New Roman" w:ascii="Times New Roman" w:hAnsi="Times New Roman"/>
                <w:b/>
                <w:bCs/>
                <w:sz w:val="24"/>
                <w:szCs w:val="24"/>
              </w:rPr>
              <w:t>Aim of the research</w:t>
            </w:r>
          </w:p>
        </w:tc>
        <w:tc>
          <w:tcPr>
            <w:tcW w:w="3135" w:type="dxa"/>
            <w:gridSpan w:val="2"/>
            <w:tcBorders>
              <w:top w:val="single" w:sz="4" w:space="0" w:color="000000"/>
              <w:left w:val="single" w:sz="4" w:space="0" w:color="000000"/>
              <w:bottom w:val="single" w:sz="4" w:space="0" w:color="000000"/>
              <w:right w:val="single" w:sz="4" w:space="0" w:color="000000"/>
            </w:tcBorders>
            <w:vAlign w:val="center"/>
          </w:tcPr>
          <w:p>
            <w:pPr>
              <w:pStyle w:val="Normal"/>
              <w:bidi w:val="0"/>
              <w:spacing w:lineRule="auto" w:line="240" w:before="120" w:after="0"/>
              <w:jc w:val="left"/>
              <w:rPr>
                <w:rFonts w:ascii="Times New Roman" w:hAnsi="Times New Roman" w:cs="Times New Roman"/>
                <w:b/>
                <w:bCs/>
                <w:sz w:val="24"/>
                <w:szCs w:val="24"/>
                <w:vertAlign w:val="superscript"/>
              </w:rPr>
            </w:pPr>
            <w:r>
              <w:rPr>
                <w:rFonts w:eastAsia="Times New Roman" w:cs="Times New Roman" w:ascii="Times New Roman" w:hAnsi="Times New Roman"/>
                <w:b/>
                <w:bCs/>
                <w:sz w:val="24"/>
                <w:szCs w:val="24"/>
              </w:rPr>
              <w:t xml:space="preserve"> </w:t>
            </w:r>
            <w:r>
              <w:rPr>
                <w:rFonts w:cs="Times New Roman" w:ascii="Times New Roman" w:hAnsi="Times New Roman"/>
                <w:b/>
                <w:bCs/>
                <w:sz w:val="24"/>
                <w:szCs w:val="24"/>
              </w:rPr>
              <w:t>☒</w:t>
            </w:r>
            <w:r>
              <w:rPr>
                <w:rFonts w:eastAsia="Times New Roman" w:cs="Times New Roman" w:ascii="Times New Roman" w:hAnsi="Times New Roman"/>
                <w:b/>
                <w:bCs/>
                <w:sz w:val="24"/>
                <w:szCs w:val="24"/>
              </w:rPr>
              <w:t xml:space="preserve"> </w:t>
            </w:r>
            <w:r>
              <w:rPr>
                <w:rFonts w:cs="Times New Roman" w:ascii="Times New Roman" w:hAnsi="Times New Roman"/>
                <w:b/>
                <w:bCs/>
                <w:sz w:val="24"/>
                <w:szCs w:val="24"/>
              </w:rPr>
              <w:t>Scientific research</w:t>
            </w:r>
          </w:p>
        </w:tc>
        <w:tc>
          <w:tcPr>
            <w:tcW w:w="3135"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jc w:val="right"/>
              <w:rPr>
                <w:rFonts w:ascii="Times New Roman" w:hAnsi="Times New Roman" w:cs="Times New Roman"/>
                <w:b/>
                <w:bCs/>
                <w:color w:val="FF0000"/>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cs="Times New Roman" w:ascii="Times New Roman" w:hAnsi="Times New Roman"/>
                <w:b/>
                <w:bCs/>
                <w:sz w:val="24"/>
                <w:szCs w:val="24"/>
              </w:rPr>
              <w:t>Other, Clarify</w:t>
            </w:r>
            <w:r>
              <w:rPr>
                <w:rFonts w:cs="Times New Roman" w:ascii="Times New Roman" w:hAnsi="Times New Roman"/>
                <w:b/>
                <w:bCs/>
                <w:sz w:val="24"/>
                <w:szCs w:val="24"/>
                <w:rtl w:val="true"/>
              </w:rPr>
              <w:t xml:space="preserve">  </w:t>
            </w:r>
          </w:p>
          <w:p>
            <w:pPr>
              <w:pStyle w:val="Normal"/>
              <w:bidi w:val="0"/>
              <w:spacing w:lineRule="auto" w:line="240" w:before="120" w:after="0"/>
              <w:jc w:val="left"/>
              <w:rPr>
                <w:rFonts w:ascii="Times New Roman" w:hAnsi="Times New Roman" w:cs="Times New Roman"/>
                <w:b/>
                <w:bCs/>
                <w:color w:val="FF0000"/>
                <w:sz w:val="24"/>
                <w:szCs w:val="24"/>
                <w:vertAlign w:val="superscript"/>
              </w:rPr>
            </w:pPr>
            <w:r>
              <w:rPr>
                <w:rFonts w:cs="Times New Roman" w:ascii="Times New Roman" w:hAnsi="Times New Roman"/>
                <w:b/>
                <w:bCs/>
                <w:color w:val="FF0000"/>
                <w:sz w:val="24"/>
                <w:szCs w:val="24"/>
                <w:vertAlign w:val="superscript"/>
              </w:rPr>
            </w:r>
          </w:p>
        </w:tc>
      </w:tr>
      <w:tr>
        <w:trPr>
          <w:trHeight w:val="234" w:hRule="atLeast"/>
        </w:trPr>
        <w:tc>
          <w:tcPr>
            <w:tcW w:w="3134" w:type="dxa"/>
            <w:vMerge w:val="continue"/>
            <w:tcBorders>
              <w:top w:val="single" w:sz="4" w:space="0" w:color="000000"/>
              <w:left w:val="single" w:sz="4" w:space="0" w:color="000000"/>
              <w:bottom w:val="single" w:sz="4" w:space="0" w:color="000000"/>
              <w:right w:val="single" w:sz="4" w:space="0" w:color="000000"/>
            </w:tcBorders>
          </w:tcPr>
          <w:p>
            <w:pPr>
              <w:pStyle w:val="Normal"/>
              <w:bidi w:val="0"/>
              <w:snapToGrid w:val="false"/>
              <w:spacing w:lineRule="auto" w:line="240" w:before="120" w:after="0"/>
              <w:jc w:val="left"/>
              <w:rPr>
                <w:rFonts w:ascii="Times New Roman" w:hAnsi="Times New Roman" w:cs="Times New Roman"/>
                <w:b/>
                <w:bCs/>
                <w:sz w:val="24"/>
                <w:szCs w:val="24"/>
                <w:vertAlign w:val="superscript"/>
              </w:rPr>
            </w:pPr>
            <w:r>
              <w:rPr>
                <w:rFonts w:cs="Times New Roman" w:ascii="Times New Roman" w:hAnsi="Times New Roman"/>
                <w:b/>
                <w:bCs/>
                <w:sz w:val="24"/>
                <w:szCs w:val="24"/>
                <w:vertAlign w:val="superscript"/>
              </w:rPr>
            </w:r>
          </w:p>
        </w:tc>
        <w:tc>
          <w:tcPr>
            <w:tcW w:w="3135" w:type="dxa"/>
            <w:gridSpan w:val="2"/>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cs="Times New Roman"/>
                <w:b/>
                <w:bCs/>
                <w:sz w:val="24"/>
                <w:szCs w:val="24"/>
                <w:vertAlign w:val="superscript"/>
              </w:rPr>
            </w:pPr>
            <w:r>
              <w:rPr>
                <w:rFonts w:cs="Times New Roman" w:ascii="Times New Roman" w:hAnsi="Times New Roman"/>
                <w:b/>
                <w:bCs/>
                <w:sz w:val="24"/>
                <w:szCs w:val="24"/>
              </w:rPr>
              <w:t>□</w:t>
            </w:r>
            <w:r>
              <w:rPr>
                <w:rFonts w:eastAsia="Times New Roman" w:cs="Times New Roman" w:ascii="Times New Roman" w:hAnsi="Times New Roman"/>
                <w:b/>
                <w:bCs/>
                <w:sz w:val="24"/>
                <w:szCs w:val="24"/>
              </w:rPr>
              <w:t xml:space="preserve"> </w:t>
            </w:r>
            <w:r>
              <w:rPr>
                <w:rFonts w:cs="Times New Roman" w:ascii="Times New Roman" w:hAnsi="Times New Roman"/>
                <w:b/>
                <w:bCs/>
                <w:sz w:val="24"/>
                <w:szCs w:val="24"/>
              </w:rPr>
              <w:t>Master thesis</w:t>
            </w:r>
            <w:r>
              <w:rPr>
                <w:rFonts w:cs="Times New Roman" w:ascii="Times New Roman" w:hAnsi="Times New Roman"/>
                <w:b/>
                <w:bCs/>
                <w:sz w:val="24"/>
                <w:szCs w:val="24"/>
              </w:rPr>
              <w:t xml:space="preserve"> </w:t>
            </w:r>
          </w:p>
        </w:tc>
        <w:tc>
          <w:tcPr>
            <w:tcW w:w="3135" w:type="dxa"/>
            <w:vMerge w:val="continue"/>
            <w:tcBorders>
              <w:top w:val="single" w:sz="4" w:space="0" w:color="000000"/>
              <w:left w:val="single" w:sz="4" w:space="0" w:color="000000"/>
              <w:bottom w:val="single" w:sz="4" w:space="0" w:color="000000"/>
              <w:right w:val="single" w:sz="4" w:space="0" w:color="000000"/>
            </w:tcBorders>
          </w:tcPr>
          <w:p>
            <w:pPr>
              <w:pStyle w:val="Normal"/>
              <w:bidi w:val="0"/>
              <w:snapToGrid w:val="false"/>
              <w:spacing w:lineRule="auto" w:line="240" w:before="120" w:after="0"/>
              <w:jc w:val="left"/>
              <w:rPr>
                <w:rFonts w:ascii="Times New Roman" w:hAnsi="Times New Roman" w:cs="Times New Roman"/>
                <w:b/>
                <w:bCs/>
                <w:sz w:val="24"/>
                <w:szCs w:val="24"/>
                <w:vertAlign w:val="superscript"/>
              </w:rPr>
            </w:pPr>
            <w:r>
              <w:rPr>
                <w:rFonts w:cs="Times New Roman" w:ascii="Times New Roman" w:hAnsi="Times New Roman"/>
                <w:b/>
                <w:bCs/>
                <w:sz w:val="24"/>
                <w:szCs w:val="24"/>
                <w:vertAlign w:val="superscript"/>
              </w:rPr>
            </w:r>
          </w:p>
        </w:tc>
      </w:tr>
      <w:tr>
        <w:trPr>
          <w:trHeight w:val="234" w:hRule="atLeast"/>
        </w:trPr>
        <w:tc>
          <w:tcPr>
            <w:tcW w:w="3134" w:type="dxa"/>
            <w:vMerge w:val="continue"/>
            <w:tcBorders>
              <w:top w:val="single" w:sz="4" w:space="0" w:color="000000"/>
              <w:left w:val="single" w:sz="4" w:space="0" w:color="000000"/>
              <w:bottom w:val="single" w:sz="4" w:space="0" w:color="000000"/>
              <w:right w:val="single" w:sz="4" w:space="0" w:color="000000"/>
            </w:tcBorders>
          </w:tcPr>
          <w:p>
            <w:pPr>
              <w:pStyle w:val="Normal"/>
              <w:bidi w:val="0"/>
              <w:snapToGrid w:val="false"/>
              <w:spacing w:lineRule="auto" w:line="240" w:before="120" w:after="0"/>
              <w:jc w:val="left"/>
              <w:rPr>
                <w:rFonts w:ascii="Times New Roman" w:hAnsi="Times New Roman" w:cs="Times New Roman"/>
                <w:b/>
                <w:bCs/>
                <w:sz w:val="24"/>
                <w:szCs w:val="24"/>
                <w:vertAlign w:val="superscript"/>
              </w:rPr>
            </w:pPr>
            <w:r>
              <w:rPr>
                <w:rFonts w:cs="Times New Roman" w:ascii="Times New Roman" w:hAnsi="Times New Roman"/>
                <w:b/>
                <w:bCs/>
                <w:sz w:val="24"/>
                <w:szCs w:val="24"/>
                <w:vertAlign w:val="superscript"/>
              </w:rPr>
            </w:r>
          </w:p>
        </w:tc>
        <w:tc>
          <w:tcPr>
            <w:tcW w:w="3135" w:type="dxa"/>
            <w:gridSpan w:val="2"/>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cs="Times New Roman"/>
                <w:b/>
                <w:bCs/>
                <w:sz w:val="24"/>
                <w:szCs w:val="24"/>
                <w:vertAlign w:val="superscript"/>
              </w:rPr>
            </w:pPr>
            <w:r>
              <w:rPr>
                <w:rFonts w:cs="Times New Roman" w:ascii="Times New Roman" w:hAnsi="Times New Roman"/>
                <w:b/>
                <w:bCs/>
                <w:sz w:val="24"/>
                <w:szCs w:val="24"/>
              </w:rPr>
              <w:t>□</w:t>
            </w:r>
            <w:r>
              <w:rPr>
                <w:rFonts w:eastAsia="Times New Roman" w:cs="Times New Roman" w:ascii="Times New Roman" w:hAnsi="Times New Roman"/>
                <w:b/>
                <w:bCs/>
                <w:sz w:val="24"/>
                <w:szCs w:val="24"/>
              </w:rPr>
              <w:t xml:space="preserve"> </w:t>
            </w:r>
            <w:r>
              <w:rPr>
                <w:rFonts w:cs="Times New Roman" w:ascii="Times New Roman" w:hAnsi="Times New Roman"/>
                <w:b/>
                <w:bCs/>
                <w:sz w:val="24"/>
                <w:szCs w:val="24"/>
              </w:rPr>
              <w:t>PhD thesis</w:t>
            </w:r>
            <w:r>
              <w:rPr>
                <w:rFonts w:cs="Times New Roman" w:ascii="Times New Roman" w:hAnsi="Times New Roman"/>
                <w:b/>
                <w:bCs/>
                <w:sz w:val="24"/>
                <w:szCs w:val="24"/>
              </w:rPr>
              <w:t xml:space="preserve"> </w:t>
            </w:r>
            <w:r>
              <w:rPr>
                <w:rFonts w:cs="Times New Roman" w:ascii="Times New Roman" w:hAnsi="Times New Roman"/>
                <w:b/>
                <w:bCs/>
                <w:sz w:val="24"/>
                <w:szCs w:val="24"/>
              </w:rPr>
              <w:t xml:space="preserve">             </w:t>
            </w:r>
          </w:p>
        </w:tc>
        <w:tc>
          <w:tcPr>
            <w:tcW w:w="3135" w:type="dxa"/>
            <w:vMerge w:val="continue"/>
            <w:tcBorders>
              <w:top w:val="single" w:sz="4" w:space="0" w:color="000000"/>
              <w:left w:val="single" w:sz="4" w:space="0" w:color="000000"/>
              <w:bottom w:val="single" w:sz="4" w:space="0" w:color="000000"/>
              <w:right w:val="single" w:sz="4" w:space="0" w:color="000000"/>
            </w:tcBorders>
          </w:tcPr>
          <w:p>
            <w:pPr>
              <w:pStyle w:val="Normal"/>
              <w:bidi w:val="0"/>
              <w:snapToGrid w:val="false"/>
              <w:spacing w:lineRule="auto" w:line="240" w:before="120" w:after="0"/>
              <w:jc w:val="left"/>
              <w:rPr>
                <w:rFonts w:ascii="Times New Roman" w:hAnsi="Times New Roman" w:cs="Times New Roman"/>
                <w:b/>
                <w:bCs/>
                <w:sz w:val="24"/>
                <w:szCs w:val="24"/>
                <w:vertAlign w:val="superscript"/>
              </w:rPr>
            </w:pPr>
            <w:r>
              <w:rPr>
                <w:rFonts w:cs="Times New Roman" w:ascii="Times New Roman" w:hAnsi="Times New Roman"/>
                <w:b/>
                <w:bCs/>
                <w:sz w:val="24"/>
                <w:szCs w:val="24"/>
                <w:vertAlign w:val="superscript"/>
              </w:rPr>
            </w:r>
          </w:p>
        </w:tc>
      </w:tr>
      <w:tr>
        <w:trPr/>
        <w:tc>
          <w:tcPr>
            <w:tcW w:w="6269" w:type="dxa"/>
            <w:gridSpan w:val="3"/>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cs="Times New Roman"/>
                <w:b/>
                <w:bCs/>
                <w:sz w:val="24"/>
                <w:szCs w:val="24"/>
                <w:lang w:val="en-US" w:eastAsia="en-US"/>
              </w:rPr>
            </w:pPr>
            <w:r>
              <w:rPr>
                <w:rFonts w:eastAsia="Times New Roman" w:cs="Times New Roman" w:ascii="Times New Roman" w:hAnsi="Times New Roman"/>
                <w:b/>
                <w:bCs/>
                <w:sz w:val="24"/>
                <w:szCs w:val="24"/>
              </w:rPr>
              <w:t>Are there any collaborating researchers and</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team members?</w:t>
            </w:r>
          </w:p>
        </w:tc>
        <w:tc>
          <w:tcPr>
            <w:tcW w:w="3135" w:type="dxa"/>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center"/>
              <w:rPr/>
            </w:pPr>
            <w:r>
              <w:rPr>
                <w:rFonts w:cs="Times New Roman" w:ascii="Times New Roman" w:hAnsi="Times New Roman"/>
                <w:b/>
                <w:bCs/>
                <w:sz w:val="24"/>
                <w:szCs w:val="24"/>
              </w:rPr>
              <w:t>☒</w:t>
            </w:r>
            <w:r>
              <w:rPr>
                <w:rFonts w:eastAsia="Times New Roman" w:cs="Times New Roman" w:ascii="Times New Roman" w:hAnsi="Times New Roman"/>
                <w:b/>
                <w:bCs/>
                <w:sz w:val="24"/>
                <w:szCs w:val="24"/>
              </w:rPr>
              <w:t xml:space="preserve"> </w:t>
            </w:r>
            <w:r>
              <w:rPr>
                <w:rFonts w:cs="Times New Roman" w:ascii="Times New Roman" w:hAnsi="Times New Roman"/>
                <w:b/>
                <w:bCs/>
                <w:sz w:val="24"/>
                <w:szCs w:val="24"/>
              </w:rPr>
              <w:t>Yes</w:t>
            </w:r>
          </w:p>
          <w:p>
            <w:pPr>
              <w:pStyle w:val="Normal"/>
              <w:bidi w:val="0"/>
              <w:spacing w:lineRule="auto" w:line="240" w:before="120" w:after="0"/>
              <w:jc w:val="center"/>
              <w:rPr>
                <w:rFonts w:ascii="Times New Roman" w:hAnsi="Times New Roman" w:cs="Times New Roman"/>
                <w:b/>
                <w:bCs/>
                <w:sz w:val="24"/>
                <w:szCs w:val="24"/>
                <w:lang w:val="en-US" w:eastAsia="en-US"/>
              </w:rPr>
            </w:pPr>
            <w:r>
              <w:rPr>
                <w:rFonts w:cs="Times New Roman" w:ascii="Times New Roman" w:hAnsi="Times New Roman"/>
                <w:b/>
                <w:bCs/>
                <w:sz w:val="24"/>
                <w:szCs w:val="24"/>
              </w:rPr>
              <w:t>□</w:t>
            </w:r>
            <w:r>
              <w:rPr>
                <w:rFonts w:eastAsia="Times New Roman" w:cs="Times New Roman" w:ascii="Times New Roman" w:hAnsi="Times New Roman"/>
                <w:b/>
                <w:bCs/>
                <w:sz w:val="24"/>
                <w:szCs w:val="24"/>
              </w:rPr>
              <w:t xml:space="preserve"> </w:t>
            </w:r>
            <w:r>
              <w:rPr>
                <w:rFonts w:cs="Times New Roman" w:ascii="Times New Roman" w:hAnsi="Times New Roman"/>
                <w:b/>
                <w:bCs/>
                <w:sz w:val="24"/>
                <w:szCs w:val="24"/>
              </w:rPr>
              <w:t>NO</w:t>
            </w:r>
          </w:p>
        </w:tc>
      </w:tr>
      <w:tr>
        <w:trPr/>
        <w:tc>
          <w:tcPr>
            <w:tcW w:w="3134" w:type="dxa"/>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Name:</w:t>
            </w:r>
            <w:r>
              <w:rPr>
                <w:rFonts w:ascii="Times New Roman" w:hAnsi="Times New Roman" w:cs="Times New Roman" w:eastAsia="Times New Roman"/>
                <w:sz w:val="22"/>
                <w:szCs w:val="22"/>
              </w:rPr>
              <w:t xml:space="preserve"> Samaher Alamlah Alshammari</w:t>
            </w:r>
          </w:p>
        </w:tc>
        <w:tc>
          <w:tcPr>
            <w:tcW w:w="3135" w:type="dxa"/>
            <w:gridSpan w:val="2"/>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Email: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[email]</w:t>
            </w:r>
          </w:p>
        </w:tc>
        <w:tc>
          <w:tcPr>
            <w:tcW w:w="3135"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lineRule="auto" w:line="240" w:before="120" w:after="0"/>
              <w:jc w:val="left"/>
              <w:rPr>
                <w:rFonts w:ascii="Times New Roman" w:hAnsi="Times New Roman" w:cs="Times New Roman"/>
                <w:b/>
                <w:bCs/>
                <w:sz w:val="24"/>
                <w:szCs w:val="24"/>
              </w:rPr>
            </w:pPr>
            <w:r>
              <w:rPr>
                <w:rFonts w:cs="Times New Roman" w:ascii="Times New Roman" w:hAnsi="Times New Roman"/>
                <w:b/>
                <w:bCs/>
                <w:sz w:val="24"/>
                <w:szCs w:val="24"/>
              </w:rPr>
              <w:t>Department:</w:t>
            </w:r>
            <w:r>
              <w:rPr>
                <w:rFonts w:ascii="Times New Roman" w:hAnsi="Times New Roman" w:cs="Times New Roman" w:eastAsia="Times New Roman"/>
                <w:sz w:val="22"/>
                <w:szCs w:val="22"/>
              </w:rPr>
              <w:t xml:space="preserve"> Physiotherapy, College of Applied Medical Sciences</w:t>
            </w:r>
          </w:p>
        </w:tc>
      </w:tr>
      <w:tr>
        <w:trPr/>
        <w:tc>
          <w:tcPr>
            <w:tcW w:w="3134" w:type="dxa"/>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Name: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[Name – second bilingual nurse researcher]</w:t>
            </w:r>
          </w:p>
        </w:tc>
        <w:tc>
          <w:tcPr>
            <w:tcW w:w="3135" w:type="dxa"/>
            <w:gridSpan w:val="2"/>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Email: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[email]</w:t>
            </w:r>
          </w:p>
        </w:tc>
        <w:tc>
          <w:tcPr>
            <w:tcW w:w="3135"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lineRule="auto" w:line="240" w:before="120" w:after="0"/>
              <w:jc w:val="left"/>
              <w:rPr>
                <w:rFonts w:ascii="Times New Roman" w:hAnsi="Times New Roman" w:cs="Times New Roman"/>
                <w:b/>
                <w:bCs/>
                <w:sz w:val="24"/>
                <w:szCs w:val="24"/>
              </w:rPr>
            </w:pPr>
            <w:r>
              <w:rPr>
                <w:rFonts w:cs="Times New Roman" w:ascii="Times New Roman" w:hAnsi="Times New Roman"/>
                <w:b/>
                <w:bCs/>
                <w:sz w:val="24"/>
                <w:szCs w:val="24"/>
              </w:rPr>
              <w:t>Department:</w:t>
            </w:r>
            <w:r>
              <w:rPr>
                <w:rFonts w:ascii="Times New Roman" w:hAnsi="Times New Roman" w:cs="Times New Roman" w:eastAsia="Times New Roman"/>
                <w:sz w:val="22"/>
                <w:szCs w:val="22"/>
              </w:rPr>
              <w:t xml:space="preserve"> College of Nursing</w:t>
            </w:r>
          </w:p>
        </w:tc>
      </w:tr>
      <w:tr>
        <w:trPr/>
        <w:tc>
          <w:tcPr>
            <w:tcW w:w="3134" w:type="dxa"/>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Name: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[Name – methodological adviser (PhD)]</w:t>
            </w:r>
          </w:p>
        </w:tc>
        <w:tc>
          <w:tcPr>
            <w:tcW w:w="3135" w:type="dxa"/>
            <w:gridSpan w:val="2"/>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Email: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[email]</w:t>
            </w:r>
          </w:p>
        </w:tc>
        <w:tc>
          <w:tcPr>
            <w:tcW w:w="3135"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lineRule="auto" w:line="240" w:before="120" w:after="0"/>
              <w:jc w:val="left"/>
              <w:rPr>
                <w:rFonts w:ascii="Times New Roman" w:hAnsi="Times New Roman" w:cs="Times New Roman"/>
                <w:b/>
                <w:bCs/>
                <w:sz w:val="24"/>
                <w:szCs w:val="24"/>
              </w:rPr>
            </w:pPr>
            <w:r>
              <w:rPr>
                <w:rFonts w:cs="Times New Roman" w:ascii="Times New Roman" w:hAnsi="Times New Roman"/>
                <w:b/>
                <w:bCs/>
                <w:sz w:val="24"/>
                <w:szCs w:val="24"/>
              </w:rPr>
              <w:t>Department: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highlight w:val="yellow"/>
              </w:rPr>
              <w:t xml:space="preserve">[Department]</w:t>
            </w:r>
          </w:p>
        </w:tc>
      </w:tr>
      <w:tr>
        <w:trPr/>
        <w:tc>
          <w:tcPr>
            <w:tcW w:w="9404" w:type="dxa"/>
            <w:gridSpan w:val="4"/>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b/>
                <w:sz w:val="22"/>
                <w:szCs w:val="22"/>
              </w:rPr>
              <w:t xml:space="preserve">Project expected duration:</w:t>
            </w:r>
          </w:p>
          <w:p>
            <w:pPr>
              <w:bidi w:val="0"/>
              <w:spacing w:before="0" w:after="40" w:line="252" w:lineRule="auto"/>
              <w:jc w:val="left"/>
            </w:pPr>
            <w:r>
              <w:rPr>
                <w:rFonts w:ascii="Times New Roman" w:hAnsi="Times New Roman" w:cs="Times New Roman" w:eastAsia="Times New Roman"/>
                <w:sz w:val="22"/>
                <w:szCs w:val="22"/>
              </w:rPr>
              <w:t xml:space="preserve">☐ 6 months          ☒ 12 months          ☐ 18 months          ☐ 24 months</w:t>
            </w:r>
          </w:p>
        </w:tc>
      </w:tr>
      <w:tr>
        <w:trPr/>
        <w:tc>
          <w:tcPr>
            <w:tcW w:w="9404" w:type="dxa"/>
            <w:gridSpan w:val="4"/>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120" w:after="0"/>
              <w:jc w:val="left"/>
              <w:rPr/>
            </w:pPr>
            <w:r>
              <w:rPr>
                <w:rFonts w:cs="Times New Roman" w:ascii="Times New Roman" w:hAnsi="Times New Roman"/>
                <w:b/>
                <w:bCs/>
                <w:sz w:val="24"/>
                <w:szCs w:val="24"/>
                <w:lang w:bidi="ar-EG"/>
              </w:rPr>
              <w:t>Intended start date (data collection / experiment)</w:t>
            </w:r>
            <w:r>
              <w:rPr>
                <w:rFonts w:cs="Times New Roman" w:ascii="Times New Roman" w:hAnsi="Times New Roman"/>
                <w:sz w:val="24"/>
                <w:szCs w:val="24"/>
                <w:lang w:bidi="ar-EG"/>
              </w:rPr>
              <w:t>:</w:t>
            </w:r>
          </w:p>
          <w:p>
            <w:pPr>
              <w:pStyle w:val="Normal"/>
              <w:bidi w:val="0"/>
              <w:spacing w:lineRule="auto" w:line="240" w:before="120" w:after="0"/>
              <w:jc w:val="left"/>
              <w:rPr>
                <w:rFonts w:ascii="Times New Roman" w:hAnsi="Times New Roman" w:cs="Times New Roman"/>
                <w:sz w:val="24"/>
                <w:szCs w:val="24"/>
                <w:lang w:bidi="ar-EG"/>
              </w:rPr>
            </w:pPr>
            <w:r>
              <w:rPr>
                <w:rFonts w:cs="Times New Roman" w:ascii="Times New Roman" w:hAnsi="Times New Roman"/>
                <w:sz w:val="24"/>
                <w:szCs w:val="24"/>
                <w:lang w:bidi="ar-EG"/>
              </w:rPr>
            </w:r>
            <w:r>
              <w:rPr>
                <w:rFonts w:ascii="Times New Roman" w:hAnsi="Times New Roman" w:cs="Times New Roman" w:eastAsia="Times New Roman"/>
                <w:sz w:val="22"/>
                <w:szCs w:val="22"/>
              </w:rPr>
              <w:t xml:space="preserve"> Upon written ethical approval: </w:t>
            </w:r>
            <w:r>
              <w:rPr>
                <w:rFonts w:ascii="Times New Roman" w:hAnsi="Times New Roman" w:cs="Times New Roman" w:eastAsia="Times New Roman"/>
                <w:sz w:val="22"/>
                <w:szCs w:val="22"/>
                <w:highlight w:val="yellow"/>
              </w:rPr>
              <w:t xml:space="preserve">[dd/mm/yyyy]</w:t>
            </w:r>
          </w:p>
        </w:tc>
      </w:tr>
    </w:tbl>
    <w:p>
      <w:pPr>
        <w:pStyle w:val="Style13"/>
        <w:numPr>
          <w:ilvl w:val="0"/>
          <w:numId w:val="2"/>
        </w:numPr>
        <w:bidi w:val="0"/>
        <w:spacing w:lineRule="auto" w:line="240" w:before="120" w:after="0"/>
        <w:ind w:hanging="0" w:left="0" w:right="0"/>
        <w:contextualSpacing/>
        <w:jc w:val="both"/>
        <w:rPr>
          <w:rFonts w:ascii="Times New Roman" w:hAnsi="Times New Roman" w:cs="Times New Roman"/>
          <w:i/>
          <w:i/>
          <w:sz w:val="24"/>
          <w:szCs w:val="24"/>
        </w:rPr>
      </w:pPr>
      <w:r>
        <w:rPr>
          <w:rFonts w:cs="Times New Roman" w:ascii="Times New Roman" w:hAnsi="Times New Roman"/>
          <w:b/>
          <w:bCs/>
          <w:i/>
          <w:sz w:val="24"/>
          <w:szCs w:val="24"/>
        </w:rPr>
        <w:t>Have you submitted the current proposal to any other Institutional Review Boards (IRB) or Bioethical Committees?</w:t>
      </w:r>
      <w:r>
        <w:rPr>
          <w:rFonts w:cs="Times New Roman" w:ascii="Times New Roman" w:hAnsi="Times New Roman"/>
          <w:iCs/>
          <w:sz w:val="24"/>
          <w:szCs w:val="24"/>
        </w:rPr>
        <w:t xml:space="preserve">☒ No</w:t>
      </w:r>
      <w:r>
        <w:rPr>
          <w:rFonts w:cs="Times New Roman" w:ascii="Times New Roman" w:hAnsi="Times New Roman"/>
          <w:i/>
          <w:sz w:val="24"/>
          <w:szCs w:val="24"/>
        </w:rPr>
        <w:t xml:space="preserve"> </w:t>
      </w:r>
      <w:r>
        <w:rPr>
          <w:rFonts w:cs="Times New Roman" w:ascii="Times New Roman" w:hAnsi="Times New Roman"/>
          <w:iCs/>
          <w:sz w:val="24"/>
          <w:szCs w:val="24"/>
        </w:rPr>
        <w:t xml:space="preserve">☐ Yes</w:t>
      </w:r>
      <w:r>
        <w:rPr>
          <w:rFonts w:cs="Times New Roman" w:ascii="Times New Roman" w:hAnsi="Times New Roman"/>
          <w:i/>
          <w:sz w:val="24"/>
          <w:szCs w:val="24"/>
        </w:rPr>
        <w:t xml:space="preserve"> </w:t>
      </w:r>
      <w:r>
        <w:rPr>
          <w:rFonts w:cs="Times New Roman" w:ascii="Times New Roman" w:hAnsi="Times New Roman"/>
          <w:i/>
          <w:sz w:val="20"/>
          <w:szCs w:val="20"/>
        </w:rPr>
        <w:t>(please provide more details</w:t>
      </w:r>
      <w:r>
        <w:rPr>
          <w:rFonts w:cs="Times New Roman" w:ascii="Times New Roman" w:hAnsi="Times New Roman"/>
          <w:i/>
          <w:sz w:val="24"/>
          <w:szCs w:val="24"/>
        </w:rPr>
        <w:t>)</w:t>
      </w:r>
    </w:p>
    <w:p>
      <w:pPr>
        <w:pStyle w:val="Style13"/>
        <w:bidi w:val="0"/>
        <w:spacing w:lineRule="auto" w:line="240" w:before="0" w:after="0"/>
        <w:ind w:left="0" w:right="0"/>
        <w:contextualSpacing/>
        <w:jc w:val="left"/>
        <w:rPr>
          <w:rFonts w:ascii="Times New Roman" w:hAnsi="Times New Roman" w:cs="Times New Roman"/>
          <w:b/>
          <w:bCs/>
          <w:i/>
          <w:i/>
          <w:sz w:val="24"/>
          <w:szCs w:val="24"/>
        </w:rPr>
      </w:pPr>
      <w:r>
        <w:rPr>
          <w:rFonts w:cs="Times New Roman" w:ascii="Times New Roman" w:hAnsi="Times New Roman"/>
          <w:b/>
          <w:bCs/>
          <w:i/>
          <w:sz w:val="24"/>
          <w:szCs w:val="24"/>
        </w:rPr>
      </w:r>
    </w:p>
    <w:tbl>
      <w:tblPr>
        <w:tblW w:w="9558" w:type="dxa"/>
        <w:jc w:val="left"/>
        <w:tblInd w:w="18" w:type="dxa"/>
        <w:tblLayout w:type="fixed"/>
        <w:tblCellMar>
          <w:top w:w="0" w:type="dxa"/>
          <w:left w:w="108" w:type="dxa"/>
          <w:bottom w:w="0" w:type="dxa"/>
          <w:right w:w="108" w:type="dxa"/>
        </w:tblCellMar>
      </w:tblPr>
      <w:tblGrid>
        <w:gridCol w:w="9558"/>
      </w:tblGrid>
      <w:tr>
        <w:trPr/>
        <w:tc>
          <w:tcPr>
            <w:tcW w:w="9558"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1"/>
                <w:szCs w:val="21"/>
              </w:rPr>
              <w:t xml:space="preserve">Not applicable: the protocol has not been submitted to any other IRB or bioethical committee. </w:t>
            </w:r>
            <w:r>
              <w:rPr>
                <w:rFonts w:ascii="Times New Roman" w:hAnsi="Times New Roman" w:cs="Times New Roman" w:eastAsia="Times New Roman"/>
                <w:sz w:val="21"/>
                <w:szCs w:val="21"/>
                <w:highlight w:val="yellow"/>
              </w:rPr>
              <w:t xml:space="preserve">[Confirm before submission]</w:t>
            </w:r>
          </w:p>
        </w:tc>
      </w:tr>
    </w:tbl>
    <w:p>
      <w:pPr>
        <w:pStyle w:val="Style13"/>
        <w:numPr>
          <w:ilvl w:val="0"/>
          <w:numId w:val="2"/>
        </w:numPr>
        <w:bidi w:val="0"/>
        <w:spacing w:lineRule="auto" w:line="240" w:before="120" w:after="0"/>
        <w:ind w:hanging="0" w:left="0" w:right="0"/>
        <w:contextualSpacing/>
        <w:jc w:val="left"/>
        <w:rPr>
          <w:rFonts w:ascii="Times New Roman" w:hAnsi="Times New Roman" w:cs="Times New Roman"/>
          <w:b/>
          <w:bCs/>
          <w:i/>
          <w:i/>
          <w:sz w:val="24"/>
          <w:szCs w:val="24"/>
        </w:rPr>
      </w:pPr>
      <w:r>
        <w:rPr/>
        <w:t xml:space="preserve">Introduction. </w:t>
      </w:r>
    </w:p>
    <w:tbl>
      <w:tblPr>
        <w:tblW w:w="9558" w:type="dxa"/>
        <w:jc w:val="left"/>
        <w:tblInd w:w="18" w:type="dxa"/>
        <w:tblLayout w:type="fixed"/>
        <w:tblCellMar>
          <w:top w:w="0" w:type="dxa"/>
          <w:left w:w="108" w:type="dxa"/>
          <w:bottom w:w="0" w:type="dxa"/>
          <w:right w:w="108" w:type="dxa"/>
        </w:tblCellMar>
      </w:tblPr>
      <w:tblGrid>
        <w:gridCol w:w="9558"/>
      </w:tblGrid>
      <w:tr>
        <w:trPr/>
        <w:tc>
          <w:tcPr>
            <w:tcW w:w="9558"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sz w:val="21"/>
                <w:szCs w:val="21"/>
              </w:rPr>
              <w:t xml:space="preserve">Early mobilisation is recommended after caesarean birth, subject to clinical contraindications, and supports recovery [1]. Postnatal guidance emphasises that women should receive information and support during this process [2]. Assisted mobilisation involves hands-on help to turn, sit, stand, transfer or walk. It often requires touch, adjustment of clothing and the presence of other people. Each of these brings bodily privacy and consent into play: privacy concerns who can see or access the body, and consent concerns the authorisation of assistance.</w:t>
            </w:r>
          </w:p>
          <w:p>
            <w:pPr>
              <w:bidi w:val="0"/>
              <w:spacing w:before="0" w:after="80" w:line="252" w:lineRule="auto"/>
              <w:jc w:val="left"/>
            </w:pPr>
            <w:r>
              <w:rPr>
                <w:rFonts w:ascii="Times New Roman" w:hAnsi="Times New Roman" w:cs="Times New Roman" w:eastAsia="Times New Roman"/>
                <w:sz w:val="21"/>
                <w:szCs w:val="21"/>
              </w:rPr>
              <w:t xml:space="preserve">Nursing and physiotherapy codes establish responsibilities for informed consent, privacy and respectful care [3, 4]. These principles are rarely examined at the level of the specific touches, exposures and changes of helper that occur during the first hours after surgery. This is a particular gap in Saudi Arabia, where maternity decisions involve family members, gender preferences and, in some hospitals, shared rooms [17, 18].</w:t>
            </w:r>
          </w:p>
          <w:p>
            <w:pPr>
              <w:bidi w:val="0"/>
              <w:spacing w:before="0" w:after="80" w:line="252" w:lineRule="auto"/>
              <w:jc w:val="left"/>
            </w:pPr>
            <w:r>
              <w:rPr>
                <w:rFonts w:ascii="Times New Roman" w:hAnsi="Times New Roman" w:cs="Times New Roman" w:eastAsia="Times New Roman"/>
                <w:sz w:val="21"/>
                <w:szCs w:val="21"/>
              </w:rPr>
              <w:t xml:space="preserve">This study will explore how women, nurses and physiotherapists understand and negotiate bodily privacy and consent to touch during assisted early mobilisation after caesarean birth. It will identify implications for ethically responsive nursing and interprofessional care. Its scope is first assisted mobilisation within 24 postoperative hours and subsequent episodes up to 48 hours.</w:t>
            </w:r>
          </w:p>
        </w:tc>
      </w:tr>
    </w:tbl>
    <w:p>
      <w:pPr>
        <w:pStyle w:val="Style13"/>
        <w:numPr>
          <w:ilvl w:val="0"/>
          <w:numId w:val="2"/>
        </w:numPr>
        <w:bidi w:val="0"/>
        <w:spacing w:lineRule="auto" w:line="240" w:before="120" w:after="0"/>
        <w:ind w:hanging="0" w:left="0" w:right="0"/>
        <w:contextualSpacing/>
        <w:jc w:val="left"/>
        <w:rPr>
          <w:rFonts w:ascii="Times New Roman" w:hAnsi="Times New Roman" w:cs="Times New Roman"/>
          <w:i/>
          <w:i/>
          <w:sz w:val="24"/>
          <w:szCs w:val="24"/>
        </w:rPr>
      </w:pPr>
      <w:r>
        <w:rPr>
          <w:rFonts w:cs="Times New Roman" w:ascii="Times New Roman" w:hAnsi="Times New Roman"/>
          <w:b/>
          <w:bCs/>
          <w:i/>
          <w:sz w:val="24"/>
          <w:szCs w:val="24"/>
        </w:rPr>
        <w:t>Key Words</w:t>
      </w:r>
      <w:r>
        <w:rPr/>
        <w:t xml:space="preserve">. </w:t>
      </w:r>
    </w:p>
    <w:tbl>
      <w:tblPr>
        <w:tblW w:w="9468" w:type="dxa"/>
        <w:jc w:val="left"/>
        <w:tblInd w:w="108" w:type="dxa"/>
        <w:tblLayout w:type="fixed"/>
        <w:tblCellMar>
          <w:top w:w="0" w:type="dxa"/>
          <w:left w:w="108" w:type="dxa"/>
          <w:bottom w:w="0" w:type="dxa"/>
          <w:right w:w="108" w:type="dxa"/>
        </w:tblCellMar>
      </w:tblPr>
      <w:tblGrid>
        <w:gridCol w:w="9468"/>
      </w:tblGrid>
      <w:tr>
        <w:trPr/>
        <w:tc>
          <w:tcPr>
            <w:tcW w:w="9468"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1"/>
                <w:szCs w:val="21"/>
              </w:rPr>
              <w:t xml:space="preserve">Informed consent; bodily privacy; caesarean birth; early mobilisation; nursing ethics; relational autonomy; interpretive description; Saudi Arabia.</w:t>
            </w:r>
          </w:p>
        </w:tc>
      </w:tr>
    </w:tbl>
    <w:p>
      <w:pPr>
        <w:pStyle w:val="Style13"/>
        <w:bidi w:val="0"/>
        <w:spacing w:lineRule="auto" w:line="240" w:before="120" w:after="0"/>
        <w:ind w:left="0" w:right="0"/>
        <w:contextualSpacing/>
        <w:jc w:val="left"/>
        <w:rPr>
          <w:rFonts w:ascii="Times New Roman" w:hAnsi="Times New Roman" w:cs="Times New Roman"/>
          <w:b/>
          <w:bCs/>
          <w:i/>
          <w:i/>
          <w:sz w:val="24"/>
          <w:szCs w:val="24"/>
        </w:rPr>
      </w:pPr>
      <w:r>
        <w:rPr>
          <w:rFonts w:cs="Times New Roman" w:ascii="Times New Roman" w:hAnsi="Times New Roman"/>
          <w:b/>
          <w:bCs/>
          <w:i/>
          <w:sz w:val="24"/>
          <w:szCs w:val="24"/>
        </w:rPr>
      </w:r>
    </w:p>
    <w:p>
      <w:pPr>
        <w:pStyle w:val="Style13"/>
        <w:bidi w:val="0"/>
        <w:spacing w:lineRule="auto" w:line="240" w:before="120" w:after="0"/>
        <w:ind w:left="0" w:right="0"/>
        <w:contextualSpacing/>
        <w:jc w:val="left"/>
        <w:rPr>
          <w:rFonts w:ascii="Times New Roman" w:hAnsi="Times New Roman" w:cs="Times New Roman"/>
          <w:b/>
          <w:bCs/>
          <w:i/>
          <w:i/>
          <w:sz w:val="24"/>
          <w:szCs w:val="24"/>
        </w:rPr>
      </w:pPr>
      <w:r>
        <w:rPr>
          <w:rFonts w:cs="Times New Roman" w:ascii="Times New Roman" w:hAnsi="Times New Roman"/>
          <w:b/>
          <w:bCs/>
          <w:i/>
          <w:sz w:val="24"/>
          <w:szCs w:val="24"/>
        </w:rPr>
      </w:r>
    </w:p>
    <w:p>
      <w:pPr>
        <w:pStyle w:val="Style13"/>
        <w:numPr>
          <w:ilvl w:val="0"/>
          <w:numId w:val="2"/>
        </w:numPr>
        <w:bidi w:val="0"/>
        <w:spacing w:lineRule="auto" w:line="240" w:before="120" w:after="0"/>
        <w:ind w:hanging="0" w:left="0" w:right="0"/>
        <w:contextualSpacing/>
        <w:jc w:val="left"/>
        <w:rPr>
          <w:rFonts w:ascii="Times New Roman" w:hAnsi="Times New Roman" w:cs="Times New Roman"/>
          <w:b/>
          <w:bCs/>
          <w:i/>
          <w:i/>
          <w:sz w:val="24"/>
          <w:szCs w:val="24"/>
        </w:rPr>
      </w:pPr>
      <w:r>
        <w:rPr>
          <w:rFonts w:cs="Times New Roman" w:ascii="Times New Roman" w:hAnsi="Times New Roman"/>
          <w:b/>
          <w:bCs/>
          <w:i/>
          <w:sz w:val="24"/>
          <w:szCs w:val="24"/>
        </w:rPr>
        <w:t xml:space="preserve">Research Hypothesis, </w:t>
      </w:r>
      <w:r>
        <w:rPr/>
        <w:t>Aim &amp; Objectives</w:t>
      </w:r>
    </w:p>
    <w:tbl>
      <w:tblPr>
        <w:tblW w:w="9468" w:type="dxa"/>
        <w:jc w:val="left"/>
        <w:tblInd w:w="108" w:type="dxa"/>
        <w:tblLayout w:type="fixed"/>
        <w:tblCellMar>
          <w:top w:w="0" w:type="dxa"/>
          <w:left w:w="108" w:type="dxa"/>
          <w:bottom w:w="0" w:type="dxa"/>
          <w:right w:w="108" w:type="dxa"/>
        </w:tblCellMar>
      </w:tblPr>
      <w:tblGrid>
        <w:gridCol w:w="9468"/>
      </w:tblGrid>
      <w:tr>
        <w:trPr/>
        <w:tc>
          <w:tcPr>
            <w:tcW w:w="9468"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b/>
                <w:sz w:val="21"/>
                <w:szCs w:val="21"/>
              </w:rPr>
              <w:t xml:space="preserve">Research question:</w:t>
            </w:r>
            <w:r>
              <w:rPr>
                <w:rFonts w:ascii="Times New Roman" w:hAnsi="Times New Roman" w:cs="Times New Roman" w:eastAsia="Times New Roman"/>
                <w:sz w:val="21"/>
                <w:szCs w:val="21"/>
              </w:rPr>
              <w:t xml:space="preserve"> How do women, nurses and physiotherapists understand and negotiate bodily privacy and consent to touch during assisted early mobilisation after caesarean birth in Saudi Arabia?</w:t>
            </w:r>
          </w:p>
          <w:p>
            <w:pPr>
              <w:bidi w:val="0"/>
              <w:spacing w:before="0" w:after="80" w:line="252" w:lineRule="auto"/>
              <w:jc w:val="left"/>
            </w:pPr>
            <w:r>
              <w:rPr>
                <w:rFonts w:ascii="Times New Roman" w:hAnsi="Times New Roman" w:cs="Times New Roman" w:eastAsia="Times New Roman"/>
                <w:b/>
                <w:sz w:val="21"/>
                <w:szCs w:val="21"/>
              </w:rPr>
              <w:t xml:space="preserve">Aim:</w:t>
            </w:r>
            <w:r>
              <w:rPr>
                <w:rFonts w:ascii="Times New Roman" w:hAnsi="Times New Roman" w:cs="Times New Roman" w:eastAsia="Times New Roman"/>
                <w:sz w:val="21"/>
                <w:szCs w:val="21"/>
              </w:rPr>
              <w:t xml:space="preserve"> To interpret the accounts of women, nurses and physiotherapists regarding bodily privacy and consent to touch, and to identify implications for ethically responsive nursing and interprofessional care.</w:t>
            </w:r>
          </w:p>
          <w:p>
            <w:pPr>
              <w:bidi w:val="0"/>
              <w:spacing w:before="0" w:after="80" w:line="252" w:lineRule="auto"/>
              <w:jc w:val="left"/>
            </w:pPr>
            <w:r>
              <w:rPr>
                <w:rFonts w:ascii="Times New Roman" w:hAnsi="Times New Roman" w:cs="Times New Roman" w:eastAsia="Times New Roman"/>
                <w:b/>
                <w:sz w:val="21"/>
                <w:szCs w:val="21"/>
              </w:rPr>
              <w:t xml:space="preserve">Objectives:</w:t>
            </w:r>
          </w:p>
          <w:p>
            <w:pPr>
              <w:bidi w:val="0"/>
              <w:spacing w:before="0" w:after="80" w:line="252" w:lineRule="auto"/>
              <w:ind w:left="360"/>
              <w:jc w:val="left"/>
            </w:pPr>
            <w:r>
              <w:rPr>
                <w:rFonts w:ascii="Times New Roman" w:hAnsi="Times New Roman" w:cs="Times New Roman" w:eastAsia="Times New Roman"/>
                <w:sz w:val="21"/>
                <w:szCs w:val="21"/>
              </w:rPr>
              <w:t xml:space="preserve">1.  Explore women’s experiences and preferences concerning touch, bodily exposure and permission for assistance.</w:t>
            </w:r>
          </w:p>
          <w:p>
            <w:pPr>
              <w:bidi w:val="0"/>
              <w:spacing w:before="0" w:after="80" w:line="252" w:lineRule="auto"/>
              <w:ind w:left="360"/>
              <w:jc w:val="left"/>
            </w:pPr>
            <w:r>
              <w:rPr>
                <w:rFonts w:ascii="Times New Roman" w:hAnsi="Times New Roman" w:cs="Times New Roman" w:eastAsia="Times New Roman"/>
                <w:sz w:val="21"/>
                <w:szCs w:val="21"/>
              </w:rPr>
              <w:t xml:space="preserve">2.  Examine professionals’ accounts of explaining assistance, recognising agreement or uncertainty, and responding to requests to modify, pause or decline it.</w:t>
            </w:r>
          </w:p>
          <w:p>
            <w:pPr>
              <w:bidi w:val="0"/>
              <w:spacing w:before="0" w:after="80" w:line="252" w:lineRule="auto"/>
              <w:ind w:left="360"/>
              <w:jc w:val="left"/>
            </w:pPr>
            <w:r>
              <w:rPr>
                <w:rFonts w:ascii="Times New Roman" w:hAnsi="Times New Roman" w:cs="Times New Roman" w:eastAsia="Times New Roman"/>
                <w:sz w:val="21"/>
                <w:szCs w:val="21"/>
              </w:rPr>
              <w:t xml:space="preserve">3.  Interpret similarities and differences across perspectives and the clinical, relational and organisational conditions that shape permission and privacy.</w:t>
            </w:r>
          </w:p>
          <w:p>
            <w:pPr>
              <w:bidi w:val="0"/>
              <w:spacing w:before="0" w:after="80" w:line="252" w:lineRule="auto"/>
              <w:jc w:val="left"/>
            </w:pPr>
            <w:r>
              <w:rPr>
                <w:rFonts w:ascii="Times New Roman" w:hAnsi="Times New Roman" w:cs="Times New Roman" w:eastAsia="Times New Roman"/>
                <w:b/>
                <w:sz w:val="21"/>
                <w:szCs w:val="21"/>
              </w:rPr>
              <w:t xml:space="preserve">Hypothesis:</w:t>
            </w:r>
            <w:r>
              <w:rPr>
                <w:rFonts w:ascii="Times New Roman" w:hAnsi="Times New Roman" w:cs="Times New Roman" w:eastAsia="Times New Roman"/>
                <w:sz w:val="21"/>
                <w:szCs w:val="21"/>
              </w:rPr>
              <w:t xml:space="preserve"> Not applicable. This qualitative study will generate interpretive understanding and will not test a hypothesis. Provisional sensitising assumptions, which will be revised during analysis, are that (a) agreement to mobilise may not extend to every bodily means; (b) permission and privacy may change with contact, exposure, task and helper; and (c) relational and organisational conditions shape women’s opportunities to influence their care.</w:t>
            </w:r>
          </w:p>
        </w:tc>
      </w:tr>
    </w:tbl>
    <w:p>
      <w:pPr>
        <w:pStyle w:val="Style13"/>
        <w:numPr>
          <w:ilvl w:val="0"/>
          <w:numId w:val="2"/>
        </w:numPr>
        <w:bidi w:val="0"/>
        <w:spacing w:lineRule="auto" w:line="240" w:before="120" w:after="0"/>
        <w:ind w:hanging="0" w:left="0" w:right="0"/>
        <w:contextualSpacing/>
        <w:jc w:val="both"/>
        <w:rPr>
          <w:rFonts w:ascii="Times New Roman" w:hAnsi="Times New Roman" w:cs="Times New Roman"/>
          <w:i/>
          <w:i/>
          <w:sz w:val="24"/>
          <w:szCs w:val="24"/>
        </w:rPr>
      </w:pPr>
      <w:r>
        <w:rPr>
          <w:rFonts w:cs="Times New Roman" w:ascii="Times New Roman" w:hAnsi="Times New Roman"/>
          <w:b/>
          <w:bCs/>
          <w:i/>
          <w:sz w:val="24"/>
          <w:szCs w:val="24"/>
        </w:rPr>
        <w:t>Literature Review / Research Background</w:t>
      </w:r>
      <w:r>
        <w:rPr/>
        <w:t>.</w:t>
      </w:r>
    </w:p>
    <w:tbl>
      <w:tblPr>
        <w:tblW w:w="9468" w:type="dxa"/>
        <w:jc w:val="left"/>
        <w:tblInd w:w="108" w:type="dxa"/>
        <w:tblLayout w:type="fixed"/>
        <w:tblCellMar>
          <w:top w:w="0" w:type="dxa"/>
          <w:left w:w="108" w:type="dxa"/>
          <w:bottom w:w="0" w:type="dxa"/>
          <w:right w:w="108" w:type="dxa"/>
        </w:tblCellMar>
      </w:tblPr>
      <w:tblGrid>
        <w:gridCol w:w="9468"/>
      </w:tblGrid>
      <w:tr>
        <w:trPr/>
        <w:tc>
          <w:tcPr>
            <w:tcW w:w="9468"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b/>
                <w:sz w:val="21"/>
                <w:szCs w:val="21"/>
              </w:rPr>
              <w:t xml:space="preserve">Early mobilisation and recovery.</w:t>
            </w:r>
            <w:r>
              <w:rPr>
                <w:rFonts w:ascii="Times New Roman" w:hAnsi="Times New Roman" w:cs="Times New Roman" w:eastAsia="Times New Roman"/>
                <w:sz w:val="21"/>
                <w:szCs w:val="21"/>
              </w:rPr>
              <w:t xml:space="preserve"> Research after caesarean birth identifies pain when getting out of bed and requests for rehabilitation guidance [5]. Anxiety about becoming upright extends beyond pain intensity [6]. Assisted mobilisation therefore carries physical and emotional concerns that are relevant to consent.</w:t>
            </w:r>
          </w:p>
          <w:p>
            <w:pPr>
              <w:bidi w:val="0"/>
              <w:spacing w:before="0" w:after="80" w:line="252" w:lineRule="auto"/>
              <w:jc w:val="left"/>
            </w:pPr>
            <w:r>
              <w:rPr>
                <w:rFonts w:ascii="Times New Roman" w:hAnsi="Times New Roman" w:cs="Times New Roman" w:eastAsia="Times New Roman"/>
                <w:b/>
                <w:sz w:val="21"/>
                <w:szCs w:val="21"/>
              </w:rPr>
              <w:t xml:space="preserve">Touch, predictability and intimacy.</w:t>
            </w:r>
            <w:r>
              <w:rPr>
                <w:rFonts w:ascii="Times New Roman" w:hAnsi="Times New Roman" w:cs="Times New Roman" w:eastAsia="Times New Roman"/>
                <w:sz w:val="21"/>
                <w:szCs w:val="21"/>
              </w:rPr>
              <w:t xml:space="preserve"> Older physiotherapy patients link touch with predictability, privacy and therapeutic relationships [7]. Professional discourse associates caring touch with comfort and cooperation [8]. Lawler situates dependent body care within social boundaries of embarrassment, bodily control and privacy [9].</w:t>
            </w:r>
          </w:p>
          <w:p>
            <w:pPr>
              <w:bidi w:val="0"/>
              <w:spacing w:before="0" w:after="80" w:line="252" w:lineRule="auto"/>
              <w:jc w:val="left"/>
            </w:pPr>
            <w:r>
              <w:rPr>
                <w:rFonts w:ascii="Times New Roman" w:hAnsi="Times New Roman" w:cs="Times New Roman" w:eastAsia="Times New Roman"/>
                <w:b/>
                <w:sz w:val="21"/>
                <w:szCs w:val="21"/>
              </w:rPr>
              <w:t xml:space="preserve">Consent as an ongoing process.</w:t>
            </w:r>
            <w:r>
              <w:rPr>
                <w:rFonts w:ascii="Times New Roman" w:hAnsi="Times New Roman" w:cs="Times New Roman" w:eastAsia="Times New Roman"/>
                <w:sz w:val="21"/>
                <w:szCs w:val="21"/>
              </w:rPr>
              <w:t xml:space="preserve"> Usher and Arthur proposed process consent, in which information and mutual decisions continue throughout care [10]. Aveyard and colleagues recognise appropriate implied consent within nursing relationships, while cautioning against assumed agreement [11]. These perspectives suggest that consent during mobilisation may need revisiting as assistance changes, but they were not developed for postoperative movement specifically.</w:t>
            </w:r>
          </w:p>
          <w:p>
            <w:pPr>
              <w:bidi w:val="0"/>
              <w:spacing w:before="0" w:after="80" w:line="252" w:lineRule="auto"/>
              <w:jc w:val="left"/>
            </w:pPr>
            <w:r>
              <w:rPr>
                <w:rFonts w:ascii="Times New Roman" w:hAnsi="Times New Roman" w:cs="Times New Roman" w:eastAsia="Times New Roman"/>
                <w:b/>
                <w:sz w:val="21"/>
                <w:szCs w:val="21"/>
              </w:rPr>
              <w:t xml:space="preserve">Maternity care, respect and consent.</w:t>
            </w:r>
            <w:r>
              <w:rPr>
                <w:rFonts w:ascii="Times New Roman" w:hAnsi="Times New Roman" w:cs="Times New Roman" w:eastAsia="Times New Roman"/>
                <w:sz w:val="21"/>
                <w:szCs w:val="21"/>
              </w:rPr>
              <w:t xml:space="preserve"> The Respectful Maternity Care Charter affirms consent, refusal, privacy and dignity [12]. International research documents consent and privacy failures within maternity encounters and systems [13]. In a convenience survey of 261 women after vaginal or emergency caesarean birth at one Riyadh hospital, 41 (15.7%) reported procedures without permission and 17 (6.5%) reported absent visual barriers during labour and birth [14]. These findings concern intrapartum care. Another Saudi survey identified sector variation in perceived respectful care [15], and Saudi guidance recognises women’s authority over caesarean surgical consent [16].</w:t>
            </w:r>
          </w:p>
          <w:p>
            <w:pPr>
              <w:bidi w:val="0"/>
              <w:spacing w:before="0" w:after="80" w:line="252" w:lineRule="auto"/>
              <w:jc w:val="left"/>
            </w:pPr>
            <w:r>
              <w:rPr>
                <w:rFonts w:ascii="Times New Roman" w:hAnsi="Times New Roman" w:cs="Times New Roman" w:eastAsia="Times New Roman"/>
                <w:b/>
                <w:sz w:val="21"/>
                <w:szCs w:val="21"/>
              </w:rPr>
              <w:t xml:space="preserve">Saudi family and communication context.</w:t>
            </w:r>
            <w:r>
              <w:rPr>
                <w:rFonts w:ascii="Times New Roman" w:hAnsi="Times New Roman" w:cs="Times New Roman" w:eastAsia="Times New Roman"/>
                <w:sz w:val="21"/>
                <w:szCs w:val="21"/>
              </w:rPr>
              <w:t xml:space="preserve"> Qualitative studies describe language barriers, gender preferences and family involvement in maternity decisions [17], as well as crowding, rotational staffing and family assistance during postpartum care [18].</w:t>
            </w:r>
          </w:p>
          <w:p>
            <w:pPr>
              <w:bidi w:val="0"/>
              <w:spacing w:before="0" w:after="80" w:line="252" w:lineRule="auto"/>
              <w:jc w:val="left"/>
            </w:pPr>
            <w:r>
              <w:rPr>
                <w:rFonts w:ascii="Times New Roman" w:hAnsi="Times New Roman" w:cs="Times New Roman" w:eastAsia="Times New Roman"/>
                <w:b/>
                <w:sz w:val="21"/>
                <w:szCs w:val="21"/>
              </w:rPr>
              <w:t xml:space="preserve">Theoretical orientation.</w:t>
            </w:r>
            <w:r>
              <w:rPr>
                <w:rFonts w:ascii="Times New Roman" w:hAnsi="Times New Roman" w:cs="Times New Roman" w:eastAsia="Times New Roman"/>
                <w:sz w:val="21"/>
                <w:szCs w:val="21"/>
              </w:rPr>
              <w:t xml:space="preserve"> Relational autonomy directs attention to how social relationships and recognition enable or constrain choice and influence [19, 20]. Recovery research foregrounds pain and function [5], and surgical-consent research addresses the operation and its risks [21]. Respectful-care frameworks state principles but leave the relationships during postoperative movement insufficiently explained.</w:t>
            </w:r>
          </w:p>
          <w:p>
            <w:pPr>
              <w:bidi w:val="0"/>
              <w:spacing w:before="0" w:after="80" w:line="252" w:lineRule="auto"/>
              <w:jc w:val="left"/>
            </w:pPr>
            <w:r>
              <w:rPr>
                <w:rFonts w:ascii="Times New Roman" w:hAnsi="Times New Roman" w:cs="Times New Roman" w:eastAsia="Times New Roman"/>
                <w:b/>
                <w:sz w:val="21"/>
                <w:szCs w:val="21"/>
              </w:rPr>
              <w:t xml:space="preserve">Gap.</w:t>
            </w:r>
            <w:r>
              <w:rPr>
                <w:rFonts w:ascii="Times New Roman" w:hAnsi="Times New Roman" w:cs="Times New Roman" w:eastAsia="Times New Roman"/>
                <w:sz w:val="21"/>
                <w:szCs w:val="21"/>
              </w:rPr>
              <w:t xml:space="preserve"> To the authors’ knowledge, no study has compared the accounts of women and professionals on consent, privacy and the carrying of preferences during assisted postoperative mobilisation in Saudi Arabia. This study will address that gap by examining how permission and privacy are negotiated during specific movements, transitions and changes of carer.</w:t>
            </w:r>
          </w:p>
        </w:tc>
      </w:tr>
    </w:tbl>
    <w:p>
      <w:pPr>
        <w:pStyle w:val="Style13"/>
        <w:numPr>
          <w:ilvl w:val="0"/>
          <w:numId w:val="2"/>
        </w:numPr>
        <w:bidi w:val="0"/>
        <w:spacing w:lineRule="auto" w:line="240" w:before="120" w:after="0"/>
        <w:ind w:hanging="0" w:left="0" w:right="0"/>
        <w:contextualSpacing/>
        <w:jc w:val="both"/>
        <w:rPr>
          <w:rFonts w:ascii="Times New Roman" w:hAnsi="Times New Roman" w:cs="Times New Roman"/>
          <w:bCs/>
          <w:i/>
          <w:i/>
          <w:sz w:val="20"/>
          <w:szCs w:val="20"/>
        </w:rPr>
      </w:pPr>
      <w:r>
        <w:rPr>
          <w:rFonts w:cs="Times New Roman" w:ascii="Times New Roman" w:hAnsi="Times New Roman"/>
          <w:b/>
          <w:bCs/>
          <w:i/>
          <w:sz w:val="24"/>
          <w:szCs w:val="24"/>
        </w:rPr>
        <w:t xml:space="preserve">Research Methodology</w:t>
      </w:r>
    </w:p>
    <w:p>
      <w:pPr>
        <w:bidi w:val="0"/>
        <w:spacing w:before="0" w:after="80" w:line="252" w:lineRule="auto"/>
        <w:jc w:val="left"/>
      </w:pPr>
      <w:r>
        <w:rPr>
          <w:rFonts w:ascii="Times New Roman" w:hAnsi="Times New Roman" w:cs="Times New Roman" w:eastAsia="Times New Roman"/>
          <w:b/>
          <w:sz w:val="21"/>
          <w:szCs w:val="21"/>
        </w:rPr>
        <w:t xml:space="preserve">1. Design and paradigm.</w:t>
      </w:r>
      <w:r>
        <w:rPr>
          <w:rFonts w:ascii="Times New Roman" w:hAnsi="Times New Roman" w:cs="Times New Roman" w:eastAsia="Times New Roman"/>
          <w:sz w:val="21"/>
          <w:szCs w:val="21"/>
        </w:rPr>
        <w:t xml:space="preserve"> The study will use Interpretive Description, a naturalistic and applied qualitative approach suited to practice-oriented questions [22–24]. Johnson and colleagues illustrate its use in a clinical practice question [25]. Relational autonomy will sensitise the interview guides and interpretation to choice, understanding and women’s authority. It will not be a predetermined coding framework, and participants’ meanings will take precedence where it fits poorly [19, 20]. Reporting will follow the COREQ checklist [26].</w:t>
      </w:r>
    </w:p>
    <w:p>
      <w:pPr>
        <w:bidi w:val="0"/>
        <w:spacing w:before="0" w:after="80" w:line="252" w:lineRule="auto"/>
        <w:jc w:val="left"/>
      </w:pPr>
      <w:r>
        <w:rPr>
          <w:rFonts w:ascii="Times New Roman" w:hAnsi="Times New Roman" w:cs="Times New Roman" w:eastAsia="Times New Roman"/>
          <w:b/>
          <w:sz w:val="21"/>
          <w:szCs w:val="21"/>
        </w:rPr>
        <w:t xml:space="preserve">2. Setting.</w:t>
      </w:r>
      <w:r>
        <w:rPr>
          <w:rFonts w:ascii="Times New Roman" w:hAnsi="Times New Roman" w:cs="Times New Roman" w:eastAsia="Times New Roman"/>
          <w:sz w:val="21"/>
          <w:szCs w:val="21"/>
        </w:rPr>
        <w:t xml:space="preserve"> Hospitals A and B are government hospitals in one northern Saudi health cluster. Hospital C is a private regional hospital outside that cluster. Hospitals A and B typically use shared two- to four-bed rooms with curtains, and Hospital C uses single rooms. Female companions are permitted. At the study hospitals, nurses initiate first mobilisation. Physiotherapists attend by referral in Hospitals A and B and routinely on the calendar day after surgery in Hospital C. Institutional consent, privacy, access, companion, chaperone, gender-request and recovery documents will be reviewed for context. Quality-improvement documents on mobilisation targets and audits will be reviewed; experiences of pressure and workload will be recorded as participant-reported accounts.</w:t>
      </w:r>
    </w:p>
    <w:p>
      <w:pPr>
        <w:bidi w:val="0"/>
        <w:spacing w:before="0" w:after="80" w:line="252" w:lineRule="auto"/>
        <w:jc w:val="left"/>
      </w:pPr>
      <w:r>
        <w:rPr>
          <w:rFonts w:ascii="Times New Roman" w:hAnsi="Times New Roman" w:cs="Times New Roman" w:eastAsia="Times New Roman"/>
          <w:b/>
          <w:sz w:val="21"/>
          <w:szCs w:val="21"/>
        </w:rPr>
        <w:t xml:space="preserve">3. Population and eligibility.</w:t>
      </w:r>
      <w:r>
        <w:rPr>
          <w:rFonts w:ascii="Times New Roman" w:hAnsi="Times New Roman" w:cs="Times New Roman" w:eastAsia="Times New Roman"/>
          <w:sz w:val="21"/>
          <w:szCs w:val="21"/>
        </w:rPr>
        <w:t xml:space="preserve"> </w:t>
      </w:r>
      <w:r>
        <w:rPr>
          <w:rFonts w:ascii="Times New Roman" w:hAnsi="Times New Roman" w:cs="Times New Roman" w:eastAsia="Times New Roman"/>
          <w:b/>
          <w:sz w:val="21"/>
          <w:szCs w:val="21"/>
        </w:rPr>
        <w:t xml:space="preserve">Women</w:t>
      </w:r>
      <w:r>
        <w:rPr>
          <w:rFonts w:ascii="Times New Roman" w:hAnsi="Times New Roman" w:cs="Times New Roman" w:eastAsia="Times New Roman"/>
          <w:sz w:val="21"/>
          <w:szCs w:val="21"/>
        </w:rPr>
        <w:t xml:space="preserve"> will be eligible if they are aged 18 years or older, Arabic-speaking, clinically stable with pain judged controlled by themselves and the nurse in charge, and assisted to mobilise for the first time within 24 hours after caesarean birth at a study hospital. Exclusions are intensive care admission during the birth admission, stillbirth or neonatal death, and documented cognitive impairment. </w:t>
      </w:r>
      <w:r>
        <w:rPr>
          <w:rFonts w:ascii="Times New Roman" w:hAnsi="Times New Roman" w:cs="Times New Roman" w:eastAsia="Times New Roman"/>
          <w:b/>
          <w:sz w:val="21"/>
          <w:szCs w:val="21"/>
        </w:rPr>
        <w:t xml:space="preserve">Registered nurses</w:t>
      </w:r>
      <w:r>
        <w:rPr>
          <w:rFonts w:ascii="Times New Roman" w:hAnsi="Times New Roman" w:cs="Times New Roman" w:eastAsia="Times New Roman"/>
          <w:sz w:val="21"/>
          <w:szCs w:val="21"/>
        </w:rPr>
        <w:t xml:space="preserve"> will require at least six months’ postnatal ward experience and direct post-caesarean mobilisation assistance in the preceding month. </w:t>
      </w:r>
      <w:r>
        <w:rPr>
          <w:rFonts w:ascii="Times New Roman" w:hAnsi="Times New Roman" w:cs="Times New Roman" w:eastAsia="Times New Roman"/>
          <w:b/>
          <w:sz w:val="21"/>
          <w:szCs w:val="21"/>
        </w:rPr>
        <w:t xml:space="preserve">Physiotherapists</w:t>
      </w:r>
      <w:r>
        <w:rPr>
          <w:rFonts w:ascii="Times New Roman" w:hAnsi="Times New Roman" w:cs="Times New Roman" w:eastAsia="Times New Roman"/>
          <w:sz w:val="21"/>
          <w:szCs w:val="21"/>
        </w:rPr>
        <w:t xml:space="preserve"> will be licensed and will require direct post-caesarean mobilisation assistance within the preceding three months; physiotherapy maternity experience means receiving maternity referrals and providing postnatal physiotherapy. Solely managerial staff will be excluded.</w:t>
      </w:r>
    </w:p>
    <w:p>
      <w:pPr>
        <w:bidi w:val="0"/>
        <w:spacing w:before="0" w:after="80" w:line="252" w:lineRule="auto"/>
        <w:jc w:val="left"/>
      </w:pPr>
      <w:r>
        <w:rPr>
          <w:rFonts w:ascii="Times New Roman" w:hAnsi="Times New Roman" w:cs="Times New Roman" w:eastAsia="Times New Roman"/>
          <w:b/>
          <w:sz w:val="21"/>
          <w:szCs w:val="21"/>
        </w:rPr>
        <w:t xml:space="preserve">4. Sampling and recruitment.</w:t>
      </w:r>
      <w:r>
        <w:rPr>
          <w:rFonts w:ascii="Times New Roman" w:hAnsi="Times New Roman" w:cs="Times New Roman" w:eastAsia="Times New Roman"/>
          <w:sz w:val="21"/>
          <w:szCs w:val="21"/>
        </w:rPr>
        <w:t xml:space="preserve"> Maximum-variation purposive sampling will consider site, sector, room type, parity, planned or emergency surgery and professional experience [22, 23]. Emerging patterns may prompt targeted recruitment, for example of women in single rooms or of physiotherapists receiving referrals. For women, a ward nurse who is not involved in the woman’s direct care will provide written and verbal information. Women who agree to be contacted will be approached by the researcher once they have undergone first assisted mobilisation and before discharge. Eligibility will not require agreement at the first offer. Consent may be deferred if a woman is sedated, in acute pain or fatigued; she will then be approached again later and may decline. Capacity will be judged informally through open discussion of orientation, coherent conversation and understanding, without a formal capacity tool. For professionals, invitations will be circulated through posters and administrative channels. Interested staff will contact the researcher directly, so no invitation denominator will be available.</w:t>
      </w:r>
    </w:p>
    <w:p>
      <w:pPr>
        <w:bidi w:val="0"/>
        <w:spacing w:before="0" w:after="80" w:line="252" w:lineRule="auto"/>
        <w:jc w:val="left"/>
      </w:pPr>
      <w:r>
        <w:rPr>
          <w:rFonts w:ascii="Times New Roman" w:hAnsi="Times New Roman" w:cs="Times New Roman" w:eastAsia="Times New Roman"/>
          <w:b/>
          <w:sz w:val="21"/>
          <w:szCs w:val="21"/>
        </w:rPr>
        <w:t xml:space="preserve">5. Sample size and information power.</w:t>
      </w:r>
      <w:r>
        <w:rPr>
          <w:rFonts w:ascii="Times New Roman" w:hAnsi="Times New Roman" w:cs="Times New Roman" w:eastAsia="Times New Roman"/>
          <w:sz w:val="21"/>
          <w:szCs w:val="21"/>
        </w:rPr>
        <w:t xml:space="preserve"> The target is 18–24 participants: approximately 12–14 women, six registered nurses and four physiotherapists. Sample adequacy will follow Malterud’s information power framework, which considers the aim, specificity, conceptual orientation, quality of dialogue and analysis strategy [28]. Recruitment will continue until the conceptual account is supported and the final interviews are judged to elaborate, rather than change, the emerging structure. Recruitment will not exceed 24 participants. Physiotherapy interpretations will be bounded to the four participants and their service contexts.</w:t>
      </w:r>
    </w:p>
    <w:p>
      <w:pPr>
        <w:bidi w:val="0"/>
        <w:spacing w:before="0" w:after="80" w:line="252" w:lineRule="auto"/>
        <w:jc w:val="left"/>
      </w:pPr>
      <w:r>
        <w:rPr>
          <w:rFonts w:ascii="Times New Roman" w:hAnsi="Times New Roman" w:cs="Times New Roman" w:eastAsia="Times New Roman"/>
          <w:b/>
          <w:sz w:val="21"/>
          <w:szCs w:val="21"/>
        </w:rPr>
        <w:t xml:space="preserve">6. Data collection.</w:t>
      </w:r>
      <w:r>
        <w:rPr>
          <w:rFonts w:ascii="Times New Roman" w:hAnsi="Times New Roman" w:cs="Times New Roman" w:eastAsia="Times New Roman"/>
          <w:sz w:val="21"/>
          <w:szCs w:val="21"/>
        </w:rPr>
        <w:t xml:space="preserve"> Semi-structured interviews will be conducted by the researcher in Arabic or English, at a time and place chosen with the participant. Women will be interviewed in person in a private room, 24–72 hours after first mobilisation and before discharge, or by telephone within 14 days of discharge. Professionals will be interviewed in person in a private room away from clinical areas. Interviews are expected to last approximately 30–60 minutes for women and 40–75 minutes for professionals. Interviews will be audio-recorded. Separate guides for women and professionals will cover movement, explanation, agreement, touch, covering, others’ presence, hesitation and suggested improvements (Appendices A and B). A brief demographic form (Appendix C) will be completed. Field notes will be written within 24 hours, recording setting, interruptions and interaction (Appendix E). Visual observations will apply only to in-person interviews; telephone notes will record audible pauses and tone. Accounts will be recalled rather than observed. If a woman asks for a companion to be present, the companion will give verbal consent to incidental recording; the companion’s remarks will be treated as contextual information, not participant data, and any possible influence will be noted. The guides will be piloted with one woman and one nurse, whose data will be excluded from the sample and analysis, and reviewed by two maternity nurses and one physiotherapist outside the sample. They will be refined during concurrent analysis, and each refinement will be recorded in the audit trail.</w:t>
      </w:r>
    </w:p>
    <w:p>
      <w:pPr>
        <w:bidi w:val="0"/>
        <w:spacing w:before="0" w:after="80" w:line="252" w:lineRule="auto"/>
        <w:jc w:val="left"/>
      </w:pPr>
      <w:r>
        <w:rPr>
          <w:rFonts w:ascii="Times New Roman" w:hAnsi="Times New Roman" w:cs="Times New Roman" w:eastAsia="Times New Roman"/>
          <w:b/>
          <w:sz w:val="21"/>
          <w:szCs w:val="21"/>
        </w:rPr>
        <w:t xml:space="preserve">7. Language procedures.</w:t>
      </w:r>
      <w:r>
        <w:rPr>
          <w:rFonts w:ascii="Times New Roman" w:hAnsi="Times New Roman" w:cs="Times New Roman" w:eastAsia="Times New Roman"/>
          <w:sz w:val="21"/>
          <w:szCs w:val="21"/>
        </w:rPr>
        <w:t xml:space="preserve"> The interviewer will transcribe interviews verbatim. Arabic transcripts will be analysed in Arabic and English transcripts in English. Code labels, memos and matrices will retain original-language excerpts. Selected quotations will be translated by the interviewer and checked against the source by the second bilingual researcher, with differences resolved through discussion. The Arabic corpus will not be translated in full [27]. Women’s quotations will be marked as translated; professional quotations spoken in English will be identified.</w:t>
      </w:r>
    </w:p>
    <w:p>
      <w:pPr>
        <w:bidi w:val="0"/>
        <w:spacing w:before="0" w:after="80" w:line="252" w:lineRule="auto"/>
        <w:jc w:val="left"/>
      </w:pPr>
      <w:r>
        <w:rPr>
          <w:rFonts w:ascii="Times New Roman" w:hAnsi="Times New Roman" w:cs="Times New Roman" w:eastAsia="Times New Roman"/>
          <w:b/>
          <w:sz w:val="21"/>
          <w:szCs w:val="21"/>
        </w:rPr>
        <w:t xml:space="preserve">8. Data analysis.</w:t>
      </w:r>
      <w:r>
        <w:rPr>
          <w:rFonts w:ascii="Times New Roman" w:hAnsi="Times New Roman" w:cs="Times New Roman" w:eastAsia="Times New Roman"/>
          <w:sz w:val="21"/>
          <w:szCs w:val="21"/>
        </w:rPr>
        <w:t xml:space="preserve"> Analysis will use concurrent contextual coding and constant comparison, incorporating comprehending, synthesising, theorising (examining relationships) and recontextualising [22, 24]. NVivo 14 will support retrieval. Recordings, repeated readings and field notes will inform whole-account memos and broad provisional codes. Patterns will first be compared within each group and then across groups. A group-by-pattern matrix will examine similarities, differences and non-mention alongside interview probes and context. A second contextual matrix will consider interrelated site, sector, room, staffing, time, language, companion and surgery conditions. Discrepant accounts and alternative interpretations will inform revision. Interpretations will be situated against the literature. Subtheme contribution counts will include relevant coded passages that support, qualify or contradict an interpretation; they will be reported as indicators of coverage rather than prevalence or agreement. Accounts are not matched, and professional perspectives will not be used to verify women’s encounters.</w:t>
      </w:r>
    </w:p>
    <w:p>
      <w:pPr>
        <w:bidi w:val="0"/>
        <w:spacing w:before="0" w:after="80" w:line="252" w:lineRule="auto"/>
        <w:jc w:val="left"/>
      </w:pPr>
      <w:r>
        <w:rPr>
          <w:rFonts w:ascii="Times New Roman" w:hAnsi="Times New Roman" w:cs="Times New Roman" w:eastAsia="Times New Roman"/>
          <w:b/>
          <w:sz w:val="21"/>
          <w:szCs w:val="21"/>
        </w:rPr>
        <w:t xml:space="preserve">9. Rigour and reflexivity.</w:t>
      </w:r>
      <w:r>
        <w:rPr>
          <w:rFonts w:ascii="Times New Roman" w:hAnsi="Times New Roman" w:cs="Times New Roman" w:eastAsia="Times New Roman"/>
          <w:sz w:val="21"/>
          <w:szCs w:val="21"/>
        </w:rPr>
        <w:t xml:space="preserve"> Rigour will follow Thorne’s Interpretive Description criteria [22]. </w:t>
      </w:r>
      <w:r>
        <w:rPr>
          <w:rFonts w:ascii="Times New Roman" w:hAnsi="Times New Roman" w:cs="Times New Roman" w:eastAsia="Times New Roman"/>
          <w:b/>
          <w:sz w:val="21"/>
          <w:szCs w:val="21"/>
        </w:rPr>
        <w:t xml:space="preserve">Epistemological integrity</w:t>
      </w:r>
      <w:r>
        <w:rPr>
          <w:rFonts w:ascii="Times New Roman" w:hAnsi="Times New Roman" w:cs="Times New Roman" w:eastAsia="Times New Roman"/>
          <w:sz w:val="21"/>
          <w:szCs w:val="21"/>
        </w:rPr>
        <w:t xml:space="preserve"> depends on congruence between the practice-oriented question, the naturalistic orientation and contextual interpretation. </w:t>
      </w:r>
      <w:r>
        <w:rPr>
          <w:rFonts w:ascii="Times New Roman" w:hAnsi="Times New Roman" w:cs="Times New Roman" w:eastAsia="Times New Roman"/>
          <w:b/>
          <w:sz w:val="21"/>
          <w:szCs w:val="21"/>
        </w:rPr>
        <w:t xml:space="preserve">Representative credibility</w:t>
      </w:r>
      <w:r>
        <w:rPr>
          <w:rFonts w:ascii="Times New Roman" w:hAnsi="Times New Roman" w:cs="Times New Roman" w:eastAsia="Times New Roman"/>
          <w:sz w:val="21"/>
          <w:szCs w:val="21"/>
        </w:rPr>
        <w:t xml:space="preserve"> will draw on purposive variation across groups and settings, iterative recruitment and deliberate attention to divergent accounts. </w:t>
      </w:r>
      <w:r>
        <w:rPr>
          <w:rFonts w:ascii="Times New Roman" w:hAnsi="Times New Roman" w:cs="Times New Roman" w:eastAsia="Times New Roman"/>
          <w:b/>
          <w:sz w:val="21"/>
          <w:szCs w:val="21"/>
        </w:rPr>
        <w:t xml:space="preserve">Transferability</w:t>
      </w:r>
      <w:r>
        <w:rPr>
          <w:rFonts w:ascii="Times New Roman" w:hAnsi="Times New Roman" w:cs="Times New Roman" w:eastAsia="Times New Roman"/>
          <w:sz w:val="21"/>
          <w:szCs w:val="21"/>
        </w:rPr>
        <w:t xml:space="preserve"> will be supported by descriptions of participants, rooms and professional roles. </w:t>
      </w:r>
      <w:r>
        <w:rPr>
          <w:rFonts w:ascii="Times New Roman" w:hAnsi="Times New Roman" w:cs="Times New Roman" w:eastAsia="Times New Roman"/>
          <w:b/>
          <w:sz w:val="21"/>
          <w:szCs w:val="21"/>
        </w:rPr>
        <w:t xml:space="preserve">Analytic logic and dependability</w:t>
      </w:r>
      <w:r>
        <w:rPr>
          <w:rFonts w:ascii="Times New Roman" w:hAnsi="Times New Roman" w:cs="Times New Roman" w:eastAsia="Times New Roman"/>
          <w:sz w:val="21"/>
          <w:szCs w:val="21"/>
        </w:rPr>
        <w:t xml:space="preserve"> will be supported by an audit trail of memos, coding versions, matrices, guide refinements and fortnightly analytic discussions, linking transcripts to interpretations. </w:t>
      </w:r>
      <w:r>
        <w:rPr>
          <w:rFonts w:ascii="Times New Roman" w:hAnsi="Times New Roman" w:cs="Times New Roman" w:eastAsia="Times New Roman"/>
          <w:b/>
          <w:sz w:val="21"/>
          <w:szCs w:val="21"/>
        </w:rPr>
        <w:t xml:space="preserve">Interpretive authority and confirmability</w:t>
      </w:r>
      <w:r>
        <w:rPr>
          <w:rFonts w:ascii="Times New Roman" w:hAnsi="Times New Roman" w:cs="Times New Roman" w:eastAsia="Times New Roman"/>
          <w:sz w:val="21"/>
          <w:szCs w:val="21"/>
        </w:rPr>
        <w:t xml:space="preserve"> will be supported by source-language analysis, bilingual quotation checking, reflexive journalling and explicit challenges to nursing-centred assumptions. The interviewer will hold no clinical or supervisory role at any study site. Any prior professional acquaintance with potential participants will be declared and recorded in the field notes, and the interviewer’s background and independence will be explained in reporting. The team will consider how recruitment, continuing care and the presence of companions may constrain criticism. No participant checking of findings is planned; this will be reported as a limitation.</w:t>
      </w:r>
    </w:p>
    <w:p>
      <w:pPr>
        <w:bidi w:val="0"/>
        <w:spacing w:before="0" w:after="80" w:line="252" w:lineRule="auto"/>
        <w:jc w:val="left"/>
      </w:pPr>
      <w:r>
        <w:rPr>
          <w:rFonts w:ascii="Times New Roman" w:hAnsi="Times New Roman" w:cs="Times New Roman" w:eastAsia="Times New Roman"/>
          <w:b/>
          <w:sz w:val="21"/>
          <w:szCs w:val="21"/>
        </w:rPr>
        <w:t xml:space="preserve">10. Research team and roles.</w:t>
      </w:r>
      <w:r>
        <w:rPr>
          <w:rFonts w:ascii="Times New Roman" w:hAnsi="Times New Roman" w:cs="Times New Roman" w:eastAsia="Times New Roman"/>
          <w:sz w:val="21"/>
          <w:szCs w:val="21"/>
        </w:rPr>
        <w:t xml:space="preserve"> The principal investigator, a master’s-qualified nurse undertaking doctoral training, will conduct and transcribe the interviews and lead the analysis. A second master’s-qualified bilingual nurse will check the English guides and translated quotations and will independently code six transcripts, two per group. A master’s-qualified physiotherapist will advise on physiotherapy practice without coding. A PhD social-science methodologist will advise on rigour. An obstetric nurse and a midwife will consult separately on clinical plausibility; they will not have access to identifiable data.</w:t>
      </w:r>
    </w:p>
    <w:p>
      <w:pPr>
        <w:bidi w:val="0"/>
        <w:spacing w:before="0" w:after="80" w:line="252" w:lineRule="auto"/>
        <w:jc w:val="left"/>
      </w:pPr>
      <w:r>
        <w:rPr>
          <w:rFonts w:ascii="Times New Roman" w:hAnsi="Times New Roman" w:cs="Times New Roman" w:eastAsia="Times New Roman"/>
          <w:b/>
          <w:sz w:val="21"/>
          <w:szCs w:val="21"/>
        </w:rPr>
        <w:t xml:space="preserve">11. Timeline (12 months from ethical approval).</w:t>
      </w:r>
      <w:r>
        <w:rPr>
          <w:rFonts w:ascii="Times New Roman" w:hAnsi="Times New Roman" w:cs="Times New Roman" w:eastAsia="Times New Roman"/>
          <w:sz w:val="21"/>
          <w:szCs w:val="21"/>
        </w:rPr>
        <w:t xml:space="preserve"> Months 1–2: ethical approval, hospital permissions, translation and back-translation of guides and consent forms, pilot interviews (excluded). Months 2–8: recruitment and interviews, with transcription within two weeks of each interview and concurrent analysis. Months 6–10: completion of coding, matrices and interpretation, and integration with the literature. Months 10–12: manuscript preparation, COREQ reporting and dissemination. No data will be collected before written ethical approval.</w:t>
      </w:r>
    </w:p>
    <w:p>
      <w:pPr>
        <w:bidi w:val="0"/>
        <w:spacing w:before="0" w:after="80" w:line="252" w:lineRule="auto"/>
        <w:jc w:val="left"/>
      </w:pPr>
      <w:r>
        <w:rPr>
          <w:rFonts w:ascii="Times New Roman" w:hAnsi="Times New Roman" w:cs="Times New Roman" w:eastAsia="Times New Roman"/>
          <w:b/>
          <w:sz w:val="21"/>
          <w:szCs w:val="21"/>
        </w:rPr>
        <w:t xml:space="preserve">12. Dissemination.</w:t>
      </w:r>
      <w:r>
        <w:rPr>
          <w:rFonts w:ascii="Times New Roman" w:hAnsi="Times New Roman" w:cs="Times New Roman" w:eastAsia="Times New Roman"/>
          <w:sz w:val="21"/>
          <w:szCs w:val="21"/>
        </w:rPr>
        <w:t xml:space="preserve"> Findings will be disseminated through peer-reviewed publication and conference presentation. Aggregated, non-identifiable summaries may be shared with participating hospitals, subject to Committee approval.</w:t>
      </w:r>
    </w:p>
    <w:p>
      <w:pPr>
        <w:pStyle w:val="Style13"/>
        <w:numPr>
          <w:ilvl w:val="0"/>
          <w:numId w:val="2"/>
        </w:numPr>
        <w:bidi w:val="0"/>
        <w:spacing w:lineRule="auto" w:line="240" w:before="120" w:after="0"/>
        <w:ind w:hanging="0" w:left="0" w:right="0"/>
        <w:contextualSpacing/>
        <w:jc w:val="left"/>
        <w:rPr>
          <w:rFonts w:ascii="Times New Roman" w:hAnsi="Times New Roman" w:cs="Times New Roman"/>
          <w:b/>
          <w:bCs/>
          <w:i/>
          <w:i/>
          <w:sz w:val="20"/>
          <w:szCs w:val="20"/>
        </w:rPr>
      </w:pPr>
      <w:r>
        <w:rPr>
          <w:rFonts w:cs="Times New Roman" w:ascii="Times New Roman" w:hAnsi="Times New Roman"/>
          <w:b/>
          <w:bCs/>
          <w:i/>
          <w:sz w:val="20"/>
          <w:szCs w:val="20"/>
        </w:rPr>
        <w:t xml:space="preserve">Data Management Plan</w:t>
      </w:r>
    </w:p>
    <w:tbl>
      <w:tblPr>
        <w:tblW w:w="4950" w:type="pct"/>
        <w:jc w:val="left"/>
        <w:tblInd w:w="108" w:type="dxa"/>
        <w:tblLayout w:type="fixed"/>
        <w:tblCellMar>
          <w:top w:w="0" w:type="dxa"/>
          <w:left w:w="108" w:type="dxa"/>
          <w:bottom w:w="0" w:type="dxa"/>
          <w:right w:w="108" w:type="dxa"/>
        </w:tblCellMar>
      </w:tblPr>
      <w:tblGrid>
        <w:gridCol w:w="9309"/>
      </w:tblGrid>
      <w:tr>
        <w:trPr/>
        <w:tc>
          <w:tcPr>
            <w:tcW w:w="9309"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b/>
                <w:sz w:val="21"/>
                <w:szCs w:val="21"/>
              </w:rPr>
              <w:t xml:space="preserve">Data types:</w:t>
            </w:r>
            <w:r>
              <w:rPr>
                <w:rFonts w:ascii="Times New Roman" w:hAnsi="Times New Roman" w:cs="Times New Roman" w:eastAsia="Times New Roman"/>
                <w:sz w:val="21"/>
                <w:szCs w:val="21"/>
              </w:rPr>
              <w:t xml:space="preserve"> audio recordings, verbatim transcripts, field notes, demographic forms, signed consent forms, coding records and memos.</w:t>
            </w:r>
          </w:p>
          <w:p>
            <w:pPr>
              <w:bidi w:val="0"/>
              <w:spacing w:before="0" w:after="80" w:line="252" w:lineRule="auto"/>
              <w:jc w:val="left"/>
            </w:pPr>
            <w:r>
              <w:rPr>
                <w:rFonts w:ascii="Times New Roman" w:hAnsi="Times New Roman" w:cs="Times New Roman" w:eastAsia="Times New Roman"/>
                <w:b/>
                <w:sz w:val="21"/>
                <w:szCs w:val="21"/>
              </w:rPr>
              <w:t xml:space="preserve">Identifiers and separation:</w:t>
            </w:r>
            <w:r>
              <w:rPr>
                <w:rFonts w:ascii="Times New Roman" w:hAnsi="Times New Roman" w:cs="Times New Roman" w:eastAsia="Times New Roman"/>
                <w:sz w:val="21"/>
                <w:szCs w:val="21"/>
              </w:rPr>
              <w:t xml:space="preserve"> participants will be assigned codes (for example, W01, N01, PT01). Names, signatures and telephone numbers will be held on a separate identifier list and consent forms will be stored apart from interview data. Only the codes will appear on transcripts, memos and analysis files.</w:t>
            </w:r>
          </w:p>
          <w:p>
            <w:pPr>
              <w:bidi w:val="0"/>
              <w:spacing w:before="0" w:after="80" w:line="252" w:lineRule="auto"/>
              <w:jc w:val="left"/>
            </w:pPr>
            <w:r>
              <w:rPr>
                <w:rFonts w:ascii="Times New Roman" w:hAnsi="Times New Roman" w:cs="Times New Roman" w:eastAsia="Times New Roman"/>
                <w:b/>
                <w:sz w:val="21"/>
                <w:szCs w:val="21"/>
              </w:rPr>
              <w:t xml:space="preserve">Recording and transfer:</w:t>
            </w:r>
            <w:r>
              <w:rPr>
                <w:rFonts w:ascii="Times New Roman" w:hAnsi="Times New Roman" w:cs="Times New Roman" w:eastAsia="Times New Roman"/>
                <w:sz w:val="21"/>
                <w:szCs w:val="21"/>
              </w:rPr>
              <w:t xml:space="preserve"> recordings will be made on an institutionally provided encrypted device. They will be transferred to secure institutional storage as soon as possible and no later than 24 hours after the interview, after which they will be deleted from the device.</w:t>
            </w:r>
          </w:p>
          <w:p>
            <w:pPr>
              <w:bidi w:val="0"/>
              <w:spacing w:before="0" w:after="80" w:line="252" w:lineRule="auto"/>
              <w:jc w:val="left"/>
            </w:pPr>
            <w:r>
              <w:rPr>
                <w:rFonts w:ascii="Times New Roman" w:hAnsi="Times New Roman" w:cs="Times New Roman" w:eastAsia="Times New Roman"/>
                <w:b/>
                <w:sz w:val="21"/>
                <w:szCs w:val="21"/>
              </w:rPr>
              <w:t xml:space="preserve">Storage and access:</w:t>
            </w:r>
            <w:r>
              <w:rPr>
                <w:rFonts w:ascii="Times New Roman" w:hAnsi="Times New Roman" w:cs="Times New Roman" w:eastAsia="Times New Roman"/>
                <w:sz w:val="21"/>
                <w:szCs w:val="21"/>
              </w:rPr>
              <w:t xml:space="preserve"> de-identified transcripts and the NVivo 14 project will be held on a password-protected institutional drive. Access will be limited to the named team members listed in the Privacy and Confidentiality section of Form 6. Paper records will be kept in a locked cabinet at the institution.</w:t>
            </w:r>
          </w:p>
          <w:p>
            <w:pPr>
              <w:bidi w:val="0"/>
              <w:spacing w:before="0" w:after="80" w:line="252" w:lineRule="auto"/>
              <w:jc w:val="left"/>
            </w:pPr>
            <w:r>
              <w:rPr>
                <w:rFonts w:ascii="Times New Roman" w:hAnsi="Times New Roman" w:cs="Times New Roman" w:eastAsia="Times New Roman"/>
                <w:b/>
                <w:sz w:val="21"/>
                <w:szCs w:val="21"/>
              </w:rPr>
              <w:t xml:space="preserve">Quality and monitoring:</w:t>
            </w:r>
            <w:r>
              <w:rPr>
                <w:rFonts w:ascii="Times New Roman" w:hAnsi="Times New Roman" w:cs="Times New Roman" w:eastAsia="Times New Roman"/>
                <w:sz w:val="21"/>
                <w:szCs w:val="21"/>
              </w:rPr>
              <w:t xml:space="preserve"> fortnightly analytic meetings, a maintained audit trail and independent coding of six transcripts will provide internal quality checks. Because the study is non-interventional, no data safety monitoring board is required.</w:t>
            </w:r>
          </w:p>
          <w:p>
            <w:pPr>
              <w:bidi w:val="0"/>
              <w:spacing w:before="0" w:after="80" w:line="252" w:lineRule="auto"/>
              <w:jc w:val="left"/>
            </w:pPr>
            <w:r>
              <w:rPr>
                <w:rFonts w:ascii="Times New Roman" w:hAnsi="Times New Roman" w:cs="Times New Roman" w:eastAsia="Times New Roman"/>
                <w:b/>
                <w:sz w:val="21"/>
                <w:szCs w:val="21"/>
              </w:rPr>
              <w:t xml:space="preserve">Safety considerations:</w:t>
            </w:r>
            <w:r>
              <w:rPr>
                <w:rFonts w:ascii="Times New Roman" w:hAnsi="Times New Roman" w:cs="Times New Roman" w:eastAsia="Times New Roman"/>
                <w:sz w:val="21"/>
                <w:szCs w:val="21"/>
              </w:rPr>
              <w:t xml:space="preserve"> in-hospital visits will follow hospital infection-control and hand-hygiene policies. The researcher will inform a named contact before and after each visit. Telephone interviews will not leave identifiable information on voicemail.</w:t>
            </w:r>
          </w:p>
          <w:p>
            <w:pPr>
              <w:bidi w:val="0"/>
              <w:spacing w:before="0" w:after="80" w:line="252" w:lineRule="auto"/>
              <w:jc w:val="left"/>
            </w:pPr>
            <w:r>
              <w:rPr>
                <w:rFonts w:ascii="Times New Roman" w:hAnsi="Times New Roman" w:cs="Times New Roman" w:eastAsia="Times New Roman"/>
                <w:b/>
                <w:sz w:val="21"/>
                <w:szCs w:val="21"/>
              </w:rPr>
              <w:t xml:space="preserve">Handling complications:</w:t>
            </w:r>
            <w:r>
              <w:rPr>
                <w:rFonts w:ascii="Times New Roman" w:hAnsi="Times New Roman" w:cs="Times New Roman" w:eastAsia="Times New Roman"/>
                <w:sz w:val="21"/>
                <w:szCs w:val="21"/>
              </w:rPr>
              <w:t xml:space="preserve"> breaches of confidentiality, unanticipated distress, disclosure of serious risk or other unexpected events will be reported to the Committee promptly, in accordance with its requirements.</w:t>
            </w:r>
          </w:p>
          <w:p>
            <w:pPr>
              <w:bidi w:val="0"/>
              <w:spacing w:before="0" w:after="80" w:line="252" w:lineRule="auto"/>
              <w:jc w:val="left"/>
            </w:pPr>
            <w:r>
              <w:rPr>
                <w:rFonts w:ascii="Times New Roman" w:hAnsi="Times New Roman" w:cs="Times New Roman" w:eastAsia="Times New Roman"/>
                <w:b/>
                <w:sz w:val="21"/>
                <w:szCs w:val="21"/>
              </w:rPr>
              <w:t xml:space="preserve">Retention and disposal:</w:t>
            </w:r>
            <w:r>
              <w:rPr>
                <w:rFonts w:ascii="Times New Roman" w:hAnsi="Times New Roman" w:cs="Times New Roman" w:eastAsia="Times New Roman"/>
                <w:sz w:val="21"/>
                <w:szCs w:val="21"/>
              </w:rPr>
              <w:t xml:space="preserve"> data will be retained for five years after study completion and then destroyed. Electronic files will be securely erased and paper records shredded. No data will be shared with third parties, and any secondary use will require new Committee approval.</w:t>
            </w:r>
          </w:p>
          <w:p>
            <w:pPr>
              <w:bidi w:val="0"/>
              <w:spacing w:before="0" w:after="80" w:line="252" w:lineRule="auto"/>
              <w:jc w:val="left"/>
            </w:pPr>
            <w:r>
              <w:rPr>
                <w:rFonts w:ascii="Times New Roman" w:hAnsi="Times New Roman" w:cs="Times New Roman" w:eastAsia="Times New Roman"/>
                <w:b/>
                <w:sz w:val="21"/>
                <w:szCs w:val="21"/>
              </w:rPr>
              <w:t xml:space="preserve">Hazardous materials, biological samples and environmental considerations:</w:t>
            </w:r>
            <w:r>
              <w:rPr>
                <w:rFonts w:ascii="Times New Roman" w:hAnsi="Times New Roman" w:cs="Times New Roman" w:eastAsia="Times New Roman"/>
                <w:sz w:val="21"/>
                <w:szCs w:val="21"/>
              </w:rPr>
              <w:t xml:space="preserve"> not applicable; the study involves no drugs, devices, biological samples or hazardous materials. Paper use will be minimised.</w:t>
            </w:r>
          </w:p>
        </w:tc>
      </w:tr>
    </w:tbl>
    <w:p>
      <w:pPr>
        <w:pStyle w:val="Style13"/>
        <w:numPr>
          <w:ilvl w:val="0"/>
          <w:numId w:val="2"/>
        </w:numPr>
        <w:bidi w:val="0"/>
        <w:spacing w:lineRule="auto" w:line="240" w:before="120" w:after="0"/>
        <w:ind w:hanging="0" w:left="0" w:right="0"/>
        <w:contextualSpacing/>
        <w:jc w:val="both"/>
        <w:rPr>
          <w:rFonts w:ascii="Times New Roman" w:hAnsi="Times New Roman" w:cs="Times New Roman"/>
          <w:i/>
          <w:i/>
          <w:sz w:val="20"/>
          <w:szCs w:val="20"/>
        </w:rPr>
      </w:pPr>
      <w:r>
        <w:rPr>
          <w:rFonts w:cs="Times New Roman" w:ascii="Times New Roman" w:hAnsi="Times New Roman"/>
          <w:b/>
          <w:bCs/>
          <w:i/>
          <w:sz w:val="20"/>
          <w:szCs w:val="20"/>
        </w:rPr>
        <w:t xml:space="preserve">Ethical Considerations</w:t>
      </w:r>
    </w:p>
    <w:tbl>
      <w:tblPr>
        <w:tblW w:w="9468" w:type="dxa"/>
        <w:jc w:val="left"/>
        <w:tblInd w:w="108" w:type="dxa"/>
        <w:tblLayout w:type="fixed"/>
        <w:tblCellMar>
          <w:top w:w="0" w:type="dxa"/>
          <w:left w:w="108" w:type="dxa"/>
          <w:bottom w:w="0" w:type="dxa"/>
          <w:right w:w="108" w:type="dxa"/>
        </w:tblCellMar>
      </w:tblPr>
      <w:tblGrid>
        <w:gridCol w:w="9468"/>
      </w:tblGrid>
      <w:tr>
        <w:trPr/>
        <w:tc>
          <w:tcPr>
            <w:tcW w:w="9468"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b/>
                <w:sz w:val="21"/>
                <w:szCs w:val="21"/>
              </w:rPr>
              <w:t xml:space="preserve">1. Minimising risk.</w:t>
            </w:r>
            <w:r>
              <w:rPr>
                <w:rFonts w:ascii="Times New Roman" w:hAnsi="Times New Roman" w:cs="Times New Roman" w:eastAsia="Times New Roman"/>
                <w:sz w:val="21"/>
                <w:szCs w:val="21"/>
              </w:rPr>
              <w:t xml:space="preserve"> Interviews will be limited to about one hour and will be scheduled around pain relief, rest, infant care and clinical activity. Women will be interviewed only after the nurse in charge has confirmed clinical stability. Participants may pause, skip any question or stop at any time. A distress protocol will provide for pausing, choice about continuation and, with permission, referral to hospital psychosocial services. Interviews will not be conducted during clinical procedures, and the researcher will not provide clinical care.</w:t>
            </w:r>
          </w:p>
          <w:p>
            <w:pPr>
              <w:bidi w:val="0"/>
              <w:spacing w:before="0" w:after="80" w:line="252" w:lineRule="auto"/>
              <w:jc w:val="left"/>
            </w:pPr>
            <w:r>
              <w:rPr>
                <w:rFonts w:ascii="Times New Roman" w:hAnsi="Times New Roman" w:cs="Times New Roman" w:eastAsia="Times New Roman"/>
                <w:b/>
                <w:sz w:val="21"/>
                <w:szCs w:val="21"/>
              </w:rPr>
              <w:t xml:space="preserve">2. Protecting privacy and confidentiality.</w:t>
            </w:r>
            <w:r>
              <w:rPr>
                <w:rFonts w:ascii="Times New Roman" w:hAnsi="Times New Roman" w:cs="Times New Roman" w:eastAsia="Times New Roman"/>
                <w:sz w:val="21"/>
                <w:szCs w:val="21"/>
              </w:rPr>
              <w:t xml:space="preserve"> Interviews will be held in private rooms with the door closed. Participants will be identified only by codes; hospitals will be identified only as A, B and C. Quotations will be stripped of identifying details, and demographic data will be reported in aggregate, given the small professional groups. No information about participation or content will be disclosed to hospital managers or colleagues. Companions will not have access to data.</w:t>
            </w:r>
          </w:p>
          <w:p>
            <w:pPr>
              <w:bidi w:val="0"/>
              <w:spacing w:before="0" w:after="80" w:line="252" w:lineRule="auto"/>
              <w:jc w:val="left"/>
            </w:pPr>
            <w:r>
              <w:rPr>
                <w:rFonts w:ascii="Times New Roman" w:hAnsi="Times New Roman" w:cs="Times New Roman" w:eastAsia="Times New Roman"/>
                <w:b/>
                <w:sz w:val="21"/>
                <w:szCs w:val="21"/>
              </w:rPr>
              <w:t xml:space="preserve">3. Protecting special groups.</w:t>
            </w:r>
            <w:r>
              <w:rPr>
                <w:rFonts w:ascii="Times New Roman" w:hAnsi="Times New Roman" w:cs="Times New Roman" w:eastAsia="Times New Roman"/>
                <w:sz w:val="21"/>
                <w:szCs w:val="21"/>
              </w:rPr>
              <w:t xml:space="preserve"> Women after caesarean birth are adults but may be temporarily vulnerable because of surgery, pain and sedation. Safeguards include confirmation of clinical stability, deferred consent when a woman is unwell, exclusion of women with intensive care admission, perinatal loss or documented cognitive impairment, and the option to decline without consequence. Minors, prisoners and women with documented cognitive impairment are not eligible, and no pregnant women will be recruited. Women who do not speak Arabic are excluded, and clinical staff will not interpret, to protect confidentiality. Professionals may be subordinate to hospital managers; participation will therefore be voluntary and managers will not be informed. The interviewer holds no supervisory role at the sites.</w:t>
            </w:r>
          </w:p>
          <w:p>
            <w:pPr>
              <w:bidi w:val="0"/>
              <w:spacing w:before="0" w:after="80" w:line="252" w:lineRule="auto"/>
              <w:jc w:val="left"/>
            </w:pPr>
            <w:r>
              <w:rPr>
                <w:rFonts w:ascii="Times New Roman" w:hAnsi="Times New Roman" w:cs="Times New Roman" w:eastAsia="Times New Roman"/>
                <w:b/>
                <w:sz w:val="21"/>
                <w:szCs w:val="21"/>
              </w:rPr>
              <w:t xml:space="preserve">4. Informed consent.</w:t>
            </w:r>
            <w:r>
              <w:rPr>
                <w:rFonts w:ascii="Times New Roman" w:hAnsi="Times New Roman" w:cs="Times New Roman" w:eastAsia="Times New Roman"/>
                <w:sz w:val="21"/>
                <w:szCs w:val="21"/>
              </w:rPr>
              <w:t xml:space="preserve"> Written informed consent will be obtained in Arabic or English, covering participation, recording, field notes, the demographic form and de-identified quotation (Appendix D). Telephone participants will sign the consent form before discharge, and their verbal consent will be reconfirmed and recorded at the start of the call. Research consent is distinct from clinical agreement. No waiver of consent is requested. Participants will receive the information in their preferred language and may ask questions at any time.</w:t>
            </w:r>
          </w:p>
          <w:p>
            <w:pPr>
              <w:bidi w:val="0"/>
              <w:spacing w:before="0" w:after="80" w:line="252" w:lineRule="auto"/>
              <w:jc w:val="left"/>
            </w:pPr>
            <w:r>
              <w:rPr>
                <w:rFonts w:ascii="Times New Roman" w:hAnsi="Times New Roman" w:cs="Times New Roman" w:eastAsia="Times New Roman"/>
                <w:b/>
                <w:sz w:val="21"/>
                <w:szCs w:val="21"/>
              </w:rPr>
              <w:t xml:space="preserve">5. Approvals and permissions.</w:t>
            </w:r>
            <w:r>
              <w:rPr>
                <w:rFonts w:ascii="Times New Roman" w:hAnsi="Times New Roman" w:cs="Times New Roman" w:eastAsia="Times New Roman"/>
                <w:sz w:val="21"/>
                <w:szCs w:val="21"/>
              </w:rPr>
              <w:t xml:space="preserve"> Approval will be obtained from the Jouf University Permanent Committee for Research Ethics before recruitment. Written permission will be obtained from each participating hospital, including the management of Hospital C. The study will follow the Declaration of Helsinki [29] and the national regulations governing research ethics on living creatures.</w:t>
            </w:r>
          </w:p>
          <w:p>
            <w:pPr>
              <w:bidi w:val="0"/>
              <w:spacing w:before="0" w:after="80" w:line="252" w:lineRule="auto"/>
              <w:jc w:val="left"/>
            </w:pPr>
            <w:r>
              <w:rPr>
                <w:rFonts w:ascii="Times New Roman" w:hAnsi="Times New Roman" w:cs="Times New Roman" w:eastAsia="Times New Roman"/>
                <w:b/>
                <w:sz w:val="21"/>
                <w:szCs w:val="21"/>
              </w:rPr>
              <w:t xml:space="preserve">6. Withdrawal.</w:t>
            </w:r>
            <w:r>
              <w:rPr>
                <w:rFonts w:ascii="Times New Roman" w:hAnsi="Times New Roman" w:cs="Times New Roman" w:eastAsia="Times New Roman"/>
                <w:sz w:val="21"/>
                <w:szCs w:val="21"/>
              </w:rPr>
              <w:t xml:space="preserve"> Participants may withdraw at any time before analysis is complete, without giving reasons. Their recordings, transcripts and identifiable records will then be destroyed. Once findings have been combined and published, a contribution may no longer be separable.</w:t>
            </w:r>
          </w:p>
          <w:p>
            <w:pPr>
              <w:bidi w:val="0"/>
              <w:spacing w:before="0" w:after="80" w:line="252" w:lineRule="auto"/>
              <w:jc w:val="left"/>
            </w:pPr>
            <w:r>
              <w:rPr>
                <w:rFonts w:ascii="Times New Roman" w:hAnsi="Times New Roman" w:cs="Times New Roman" w:eastAsia="Times New Roman"/>
                <w:b/>
                <w:sz w:val="21"/>
                <w:szCs w:val="21"/>
              </w:rPr>
              <w:t xml:space="preserve">7. Disclosure of harm.</w:t>
            </w:r>
            <w:r>
              <w:rPr>
                <w:rFonts w:ascii="Times New Roman" w:hAnsi="Times New Roman" w:cs="Times New Roman" w:eastAsia="Times New Roman"/>
                <w:sz w:val="21"/>
                <w:szCs w:val="21"/>
              </w:rPr>
              <w:t xml:space="preserve"> If a participant discloses a serious and ongoing risk to health or safety, the researcher will discuss it with the participant first where possible, and will act in line with the approved safety procedure. Confidentiality is limited only in that situation.</w:t>
            </w:r>
          </w:p>
          <w:p>
            <w:pPr>
              <w:bidi w:val="0"/>
              <w:spacing w:before="0" w:after="80" w:line="252" w:lineRule="auto"/>
              <w:jc w:val="left"/>
            </w:pPr>
            <w:r>
              <w:rPr>
                <w:rFonts w:ascii="Times New Roman" w:hAnsi="Times New Roman" w:cs="Times New Roman" w:eastAsia="Times New Roman"/>
                <w:b/>
                <w:sz w:val="21"/>
                <w:szCs w:val="21"/>
              </w:rPr>
              <w:t xml:space="preserve">8. Compensation and conflicts of interest.</w:t>
            </w:r>
            <w:r>
              <w:rPr>
                <w:rFonts w:ascii="Times New Roman" w:hAnsi="Times New Roman" w:cs="Times New Roman" w:eastAsia="Times New Roman"/>
                <w:sz w:val="21"/>
                <w:szCs w:val="21"/>
              </w:rPr>
              <w:t xml:space="preserve"> No incentives or reimbursements will be provided. The research team declares no commercial or financial relationships that could be construed as a conflict of interest.</w:t>
            </w:r>
          </w:p>
        </w:tc>
      </w:tr>
    </w:tbl>
    <w:p>
      <w:pPr>
        <w:pStyle w:val="Style13"/>
        <w:numPr>
          <w:ilvl w:val="0"/>
          <w:numId w:val="2"/>
        </w:numPr>
        <w:bidi w:val="0"/>
        <w:spacing w:lineRule="auto" w:line="240" w:before="120" w:after="0"/>
        <w:ind w:hanging="0" w:left="0" w:right="0"/>
        <w:contextualSpacing/>
        <w:jc w:val="both"/>
        <w:rPr>
          <w:rFonts w:ascii="Times New Roman" w:hAnsi="Times New Roman" w:cs="Times New Roman"/>
          <w:i/>
          <w:i/>
          <w:sz w:val="24"/>
          <w:szCs w:val="24"/>
        </w:rPr>
      </w:pPr>
      <w:r>
        <w:rPr>
          <w:rFonts w:cs="Times New Roman" w:ascii="Times New Roman" w:hAnsi="Times New Roman"/>
          <w:b/>
          <w:bCs/>
          <w:i/>
          <w:sz w:val="24"/>
          <w:szCs w:val="24"/>
        </w:rPr>
        <w:t xml:space="preserve">Budget / Funding / Grants</w:t>
      </w:r>
    </w:p>
    <w:p>
      <w:pPr>
        <w:bidi w:val="0"/>
        <w:spacing w:before="0" w:after="80" w:line="252" w:lineRule="auto"/>
        <w:jc w:val="left"/>
      </w:pPr>
      <w:r>
        <w:rPr>
          <w:rFonts w:ascii="Times New Roman" w:hAnsi="Times New Roman" w:cs="Times New Roman" w:eastAsia="Times New Roman"/>
          <w:sz w:val="21"/>
          <w:szCs w:val="21"/>
        </w:rPr>
        <w:t xml:space="preserve">The study will be self-funded by the research team. No external sponsor or institutional grant is involved. Estimated direct costs (transcription, NVivo 14 licence, recording equipment, travel between sites and printing) total </w:t>
      </w:r>
      <w:r>
        <w:rPr>
          <w:rFonts w:ascii="Times New Roman" w:hAnsi="Times New Roman" w:cs="Times New Roman" w:eastAsia="Times New Roman"/>
          <w:sz w:val="21"/>
          <w:szCs w:val="21"/>
          <w:highlight w:val="yellow"/>
        </w:rPr>
        <w:t xml:space="preserve">[amount in SAR]</w:t>
      </w:r>
      <w:r>
        <w:rPr>
          <w:rFonts w:ascii="Times New Roman" w:hAnsi="Times New Roman" w:cs="Times New Roman" w:eastAsia="Times New Roman"/>
          <w:sz w:val="21"/>
          <w:szCs w:val="21"/>
        </w:rPr>
        <w:t xml:space="preserve"> and will be met by the research team </w:t>
      </w:r>
      <w:r>
        <w:rPr>
          <w:rFonts w:ascii="Times New Roman" w:hAnsi="Times New Roman" w:cs="Times New Roman" w:eastAsia="Times New Roman"/>
          <w:sz w:val="21"/>
          <w:szCs w:val="21"/>
          <w:highlight w:val="yellow"/>
        </w:rPr>
        <w:t xml:space="preserve">[confirm]</w:t>
      </w:r>
      <w:r>
        <w:rPr>
          <w:rFonts w:ascii="Times New Roman" w:hAnsi="Times New Roman" w:cs="Times New Roman" w:eastAsia="Times New Roman"/>
          <w:sz w:val="21"/>
          <w:szCs w:val="21"/>
        </w:rPr>
        <w:t xml:space="preserve">. No participant incentives will be provided.</w:t>
      </w:r>
    </w:p>
    <w:p>
      <w:pPr>
        <w:pStyle w:val="Style13"/>
        <w:numPr>
          <w:ilvl w:val="0"/>
          <w:numId w:val="2"/>
        </w:numPr>
        <w:bidi w:val="0"/>
        <w:spacing w:lineRule="auto" w:line="240" w:before="120" w:after="0"/>
        <w:ind w:hanging="0" w:left="0" w:right="0"/>
        <w:contextualSpacing/>
        <w:jc w:val="both"/>
        <w:rPr>
          <w:rFonts w:ascii="Times New Roman" w:hAnsi="Times New Roman" w:cs="Times New Roman"/>
          <w:b/>
          <w:bCs/>
          <w:i/>
          <w:i/>
          <w:sz w:val="24"/>
          <w:szCs w:val="24"/>
        </w:rPr>
      </w:pPr>
      <w:r>
        <w:rPr>
          <w:rFonts w:cs="Times New Roman" w:ascii="Times New Roman" w:hAnsi="Times New Roman"/>
          <w:b/>
          <w:bCs/>
          <w:i/>
          <w:sz w:val="24"/>
          <w:szCs w:val="24"/>
        </w:rPr>
        <w:t xml:space="preserve">Significance of Research</w:t>
      </w:r>
    </w:p>
    <w:tbl>
      <w:tblPr>
        <w:tblW w:w="9498" w:type="dxa"/>
        <w:jc w:val="left"/>
        <w:tblInd w:w="108" w:type="dxa"/>
        <w:tblLayout w:type="fixed"/>
        <w:tblCellMar>
          <w:top w:w="0" w:type="dxa"/>
          <w:left w:w="108" w:type="dxa"/>
          <w:bottom w:w="0" w:type="dxa"/>
          <w:right w:w="108" w:type="dxa"/>
        </w:tblCellMar>
      </w:tblPr>
      <w:tblGrid>
        <w:gridCol w:w="9498"/>
      </w:tblGrid>
      <w:tr>
        <w:trPr/>
        <w:tc>
          <w:tcPr>
            <w:tcW w:w="9498"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sz w:val="21"/>
                <w:szCs w:val="21"/>
              </w:rPr>
              <w:t xml:space="preserve">Routine mobilisation after caesarean birth is a daily encounter for almost every woman, yet consent and privacy during these encounters are rarely studied. This study will contribute a relational account of consent within changing assistance. It will show how agreement to recovery’s goal can coexist with uncertainty about contact, exposure, pace and helpers, and how preferences emerge and are lost as tasks, carers and companions change.</w:t>
            </w:r>
          </w:p>
          <w:p>
            <w:pPr>
              <w:bidi w:val="0"/>
              <w:spacing w:before="0" w:after="80" w:line="252" w:lineRule="auto"/>
              <w:jc w:val="left"/>
            </w:pPr>
            <w:r>
              <w:rPr>
                <w:rFonts w:ascii="Times New Roman" w:hAnsi="Times New Roman" w:cs="Times New Roman" w:eastAsia="Times New Roman"/>
                <w:sz w:val="21"/>
                <w:szCs w:val="21"/>
              </w:rPr>
              <w:t xml:space="preserve">The study will add three things to existing knowledge: (1) an examination of established consent and privacy responsibilities at the level of specific movements and transitions, including the move to intimate care; (2) paired accounts of women and professionals in Saudi Arabia, which are needed to understand differing expectations; and (3) practice priorities for explaining touch, anticipating privacy, responding to pauses and carrying preferences across carers. The findings will inform practice development, interprofessional education and the design of future studies, including observed and delayed-assistance encounters.</w:t>
            </w:r>
          </w:p>
        </w:tc>
      </w:tr>
    </w:tbl>
    <w:p>
      <w:pPr>
        <w:pStyle w:val="Style13"/>
        <w:numPr>
          <w:ilvl w:val="0"/>
          <w:numId w:val="2"/>
        </w:numPr>
        <w:bidi w:val="0"/>
        <w:spacing w:lineRule="auto" w:line="240" w:before="120" w:after="0"/>
        <w:ind w:hanging="0" w:left="0" w:right="0"/>
        <w:contextualSpacing/>
        <w:jc w:val="left"/>
        <w:rPr>
          <w:rFonts w:ascii="Times New Roman" w:hAnsi="Times New Roman" w:cs="Times New Roman"/>
          <w:i/>
          <w:i/>
          <w:sz w:val="24"/>
          <w:szCs w:val="24"/>
        </w:rPr>
      </w:pPr>
      <w:r>
        <w:rPr>
          <w:rFonts w:cs="Times New Roman" w:ascii="Times New Roman" w:hAnsi="Times New Roman"/>
          <w:b/>
          <w:bCs/>
          <w:i/>
          <w:sz w:val="24"/>
          <w:szCs w:val="24"/>
        </w:rPr>
        <w:t xml:space="preserve">Appendices</w:t>
      </w:r>
    </w:p>
    <w:tbl>
      <w:tblPr>
        <w:tblW w:w="9498" w:type="dxa"/>
        <w:jc w:val="left"/>
        <w:tblInd w:w="108" w:type="dxa"/>
        <w:tblLayout w:type="fixed"/>
        <w:tblCellMar>
          <w:top w:w="0" w:type="dxa"/>
          <w:left w:w="108" w:type="dxa"/>
          <w:bottom w:w="0" w:type="dxa"/>
          <w:right w:w="108" w:type="dxa"/>
        </w:tblCellMar>
      </w:tblPr>
      <w:tblGrid>
        <w:gridCol w:w="9498"/>
      </w:tblGrid>
      <w:tr>
        <w:trPr/>
        <w:tc>
          <w:tcPr>
            <w:tcW w:w="9498" w:type="dxa"/>
            <w:tcBorders>
              <w:top w:val="single" w:sz="4" w:space="0" w:color="000000"/>
              <w:left w:val="single" w:sz="4" w:space="0" w:color="000000"/>
              <w:bottom w:val="single" w:sz="4" w:space="0" w:color="000000"/>
              <w:right w:val="single" w:sz="4" w:space="0" w:color="000000"/>
            </w:tcBorders>
          </w:tcPr>
          <w:p>
            <w:pPr>
              <w:bidi w:val="0"/>
              <w:spacing w:before="0" w:after="80" w:line="252" w:lineRule="auto"/>
              <w:jc w:val="left"/>
            </w:pPr>
            <w:r>
              <w:rPr>
                <w:rFonts w:ascii="Times New Roman" w:hAnsi="Times New Roman" w:cs="Times New Roman" w:eastAsia="Times New Roman"/>
                <w:b/>
                <w:sz w:val="20"/>
                <w:szCs w:val="20"/>
              </w:rPr>
              <w:t xml:space="preserve">Index of appendices.</w:t>
            </w:r>
            <w:r>
              <w:rPr>
                <w:rFonts w:ascii="Times New Roman" w:hAnsi="Times New Roman" w:cs="Times New Roman" w:eastAsia="Times New Roman"/>
                <w:sz w:val="20"/>
                <w:szCs w:val="20"/>
              </w:rPr>
              <w:t xml:space="preserve"> Appendices A–C and E are reproduced in this protocol. Each appendix is also supplied as a separate file: Appendices A–C in Documents 06 (English) and 07 (Arabic); Appendix D in Documents 04 and 05; Appendix F in Document 08; Appendix G in Document 09.</w:t>
            </w:r>
          </w:p>
          <w:p>
            <w:pPr>
              <w:bidi w:val="0"/>
              <w:spacing w:before="0" w:after="80" w:line="252" w:lineRule="auto"/>
              <w:jc w:val="left"/>
            </w:pPr>
            <w:r>
              <w:rPr>
                <w:rFonts w:ascii="Times New Roman" w:hAnsi="Times New Roman" w:cs="Times New Roman" w:eastAsia="Times New Roman"/>
                <w:b/>
                <w:sz w:val="20"/>
                <w:szCs w:val="20"/>
              </w:rPr>
              <w:t xml:space="preserve">Appendix A – Interview guide for women (English and Arabic versions in Documents 06 and 07).</w:t>
            </w:r>
            <w:r>
              <w:rPr>
                <w:rFonts w:ascii="Times New Roman" w:hAnsi="Times New Roman" w:cs="Times New Roman" w:eastAsia="Times New Roman"/>
                <w:sz w:val="20"/>
                <w:szCs w:val="20"/>
              </w:rPr>
              <w:t xml:space="preserve"> Introduction: thank the participant, restate that participation is voluntary and that she may pause or stop at any time.</w:t>
            </w:r>
          </w:p>
          <w:p>
            <w:pPr>
              <w:bidi w:val="0"/>
              <w:spacing w:before="0" w:after="80" w:line="252" w:lineRule="auto"/>
              <w:ind w:left="360"/>
              <w:jc w:val="left"/>
            </w:pPr>
            <w:r>
              <w:rPr>
                <w:rFonts w:ascii="Times New Roman" w:hAnsi="Times New Roman" w:cs="Times New Roman" w:eastAsia="Times New Roman"/>
                <w:sz w:val="20"/>
                <w:szCs w:val="20"/>
              </w:rPr>
              <w:t xml:space="preserve">1.  Tell me about the first time you got out of bed after your caesarean birth. What happened?</w:t>
            </w:r>
          </w:p>
          <w:p>
            <w:pPr>
              <w:bidi w:val="0"/>
              <w:spacing w:before="0" w:after="80" w:line="252" w:lineRule="auto"/>
              <w:ind w:left="360"/>
              <w:jc w:val="left"/>
            </w:pPr>
            <w:r>
              <w:rPr>
                <w:rFonts w:ascii="Times New Roman" w:hAnsi="Times New Roman" w:cs="Times New Roman" w:eastAsia="Times New Roman"/>
                <w:sz w:val="20"/>
                <w:szCs w:val="20"/>
              </w:rPr>
              <w:t xml:space="preserve">2.  Who helped you, and how were you told what would happen before you were touched?</w:t>
            </w:r>
          </w:p>
          <w:p>
            <w:pPr>
              <w:bidi w:val="0"/>
              <w:spacing w:before="0" w:after="80" w:line="252" w:lineRule="auto"/>
              <w:ind w:left="360"/>
              <w:jc w:val="left"/>
            </w:pPr>
            <w:r>
              <w:rPr>
                <w:rFonts w:ascii="Times New Roman" w:hAnsi="Times New Roman" w:cs="Times New Roman" w:eastAsia="Times New Roman"/>
                <w:sz w:val="20"/>
                <w:szCs w:val="20"/>
              </w:rPr>
              <w:t xml:space="preserve">3.  What did you understand about why you were being helped to move?</w:t>
            </w:r>
          </w:p>
          <w:p>
            <w:pPr>
              <w:bidi w:val="0"/>
              <w:spacing w:before="0" w:after="80" w:line="252" w:lineRule="auto"/>
              <w:ind w:left="360"/>
              <w:jc w:val="left"/>
            </w:pPr>
            <w:r>
              <w:rPr>
                <w:rFonts w:ascii="Times New Roman" w:hAnsi="Times New Roman" w:cs="Times New Roman" w:eastAsia="Times New Roman"/>
                <w:sz w:val="20"/>
                <w:szCs w:val="20"/>
              </w:rPr>
              <w:t xml:space="preserve">4.  How was your body prepared for movement (for example, curtains, sheets, gown or covering)?</w:t>
            </w:r>
          </w:p>
          <w:p>
            <w:pPr>
              <w:bidi w:val="0"/>
              <w:spacing w:before="0" w:after="80" w:line="252" w:lineRule="auto"/>
              <w:ind w:left="360"/>
              <w:jc w:val="left"/>
            </w:pPr>
            <w:r>
              <w:rPr>
                <w:rFonts w:ascii="Times New Roman" w:hAnsi="Times New Roman" w:cs="Times New Roman" w:eastAsia="Times New Roman"/>
                <w:sz w:val="20"/>
                <w:szCs w:val="20"/>
              </w:rPr>
              <w:t xml:space="preserve">5.  Were there moments when you wanted to pause, change how you were helped or stop? What happened, and how did you let staff know?</w:t>
            </w:r>
          </w:p>
          <w:p>
            <w:pPr>
              <w:bidi w:val="0"/>
              <w:spacing w:before="0" w:after="80" w:line="252" w:lineRule="auto"/>
              <w:ind w:left="360"/>
              <w:jc w:val="left"/>
            </w:pPr>
            <w:r>
              <w:rPr>
                <w:rFonts w:ascii="Times New Roman" w:hAnsi="Times New Roman" w:cs="Times New Roman" w:eastAsia="Times New Roman"/>
                <w:sz w:val="20"/>
                <w:szCs w:val="20"/>
              </w:rPr>
              <w:t xml:space="preserve">6.  How did you feel about who was present (companions, visitors or other staff) when you were moved?</w:t>
            </w:r>
          </w:p>
          <w:p>
            <w:pPr>
              <w:bidi w:val="0"/>
              <w:spacing w:before="0" w:after="80" w:line="252" w:lineRule="auto"/>
              <w:ind w:left="360"/>
              <w:jc w:val="left"/>
            </w:pPr>
            <w:r>
              <w:rPr>
                <w:rFonts w:ascii="Times New Roman" w:hAnsi="Times New Roman" w:cs="Times New Roman" w:eastAsia="Times New Roman"/>
                <w:sz w:val="20"/>
                <w:szCs w:val="20"/>
              </w:rPr>
              <w:t xml:space="preserve">7.  Did anyone ask about your preferences? Were you able to make choices?</w:t>
            </w:r>
          </w:p>
          <w:p>
            <w:pPr>
              <w:bidi w:val="0"/>
              <w:spacing w:before="0" w:after="80" w:line="252" w:lineRule="auto"/>
              <w:ind w:left="360"/>
              <w:jc w:val="left"/>
            </w:pPr>
            <w:r>
              <w:rPr>
                <w:rFonts w:ascii="Times New Roman" w:hAnsi="Times New Roman" w:cs="Times New Roman" w:eastAsia="Times New Roman"/>
                <w:sz w:val="20"/>
                <w:szCs w:val="20"/>
              </w:rPr>
              <w:t xml:space="preserve">8.  Were there moments when you agreed but were unsure what would happen next, for example going to the bathroom or pad care?</w:t>
            </w:r>
          </w:p>
          <w:p>
            <w:pPr>
              <w:bidi w:val="0"/>
              <w:spacing w:before="0" w:after="80" w:line="252" w:lineRule="auto"/>
              <w:ind w:left="360"/>
              <w:jc w:val="left"/>
            </w:pPr>
            <w:r>
              <w:rPr>
                <w:rFonts w:ascii="Times New Roman" w:hAnsi="Times New Roman" w:cs="Times New Roman" w:eastAsia="Times New Roman"/>
                <w:sz w:val="20"/>
                <w:szCs w:val="20"/>
              </w:rPr>
              <w:t xml:space="preserve">9.  What changed when staff or companions changed?</w:t>
            </w:r>
          </w:p>
          <w:p>
            <w:pPr>
              <w:bidi w:val="0"/>
              <w:spacing w:before="0" w:after="80" w:line="252" w:lineRule="auto"/>
              <w:jc w:val="left"/>
            </w:pPr>
            <w:r>
              <w:rPr>
                <w:rFonts w:ascii="Times New Roman" w:hAnsi="Times New Roman" w:cs="Times New Roman" w:eastAsia="Times New Roman"/>
                <w:sz w:val="20"/>
                <w:szCs w:val="20"/>
              </w:rPr>
              <w:t xml:space="preserve">10. What, if anything, would have helped you feel more in control or more respected?</w:t>
            </w:r>
          </w:p>
          <w:p>
            <w:pPr>
              <w:bidi w:val="0"/>
              <w:spacing w:before="0" w:after="80" w:line="252" w:lineRule="auto"/>
              <w:jc w:val="left"/>
            </w:pPr>
            <w:r>
              <w:rPr>
                <w:rFonts w:ascii="Times New Roman" w:hAnsi="Times New Roman" w:cs="Times New Roman" w:eastAsia="Times New Roman"/>
                <w:sz w:val="20"/>
                <w:szCs w:val="20"/>
              </w:rPr>
              <w:t xml:space="preserve">Prompts: “Can you tell me more?”, “What did that mean for you?”, “How did you feel at that point?”</w:t>
            </w:r>
          </w:p>
          <w:p>
            <w:pPr>
              <w:bidi w:val="0"/>
              <w:spacing w:before="0" w:after="80" w:line="252" w:lineRule="auto"/>
              <w:jc w:val="left"/>
            </w:pPr>
            <w:r>
              <w:rPr>
                <w:rFonts w:ascii="Times New Roman" w:hAnsi="Times New Roman" w:cs="Times New Roman" w:eastAsia="Times New Roman"/>
                <w:b/>
                <w:sz w:val="20"/>
                <w:szCs w:val="20"/>
              </w:rPr>
              <w:t xml:space="preserve">Appendix B – Interview guide for nurses and physiotherapists (English and Arabic versions in Documents 06 and 07).</w:t>
            </w:r>
          </w:p>
          <w:p>
            <w:pPr>
              <w:bidi w:val="0"/>
              <w:spacing w:before="0" w:after="80" w:line="252" w:lineRule="auto"/>
              <w:ind w:left="360"/>
              <w:jc w:val="left"/>
            </w:pPr>
            <w:r>
              <w:rPr>
                <w:rFonts w:ascii="Times New Roman" w:hAnsi="Times New Roman" w:cs="Times New Roman" w:eastAsia="Times New Roman"/>
                <w:sz w:val="20"/>
                <w:szCs w:val="20"/>
              </w:rPr>
              <w:t xml:space="preserve">1.  Describe how you usually explain mobilisation and hands-on help to a woman after caesarean birth.</w:t>
            </w:r>
          </w:p>
          <w:p>
            <w:pPr>
              <w:bidi w:val="0"/>
              <w:spacing w:before="0" w:after="80" w:line="252" w:lineRule="auto"/>
              <w:ind w:left="360"/>
              <w:jc w:val="left"/>
            </w:pPr>
            <w:r>
              <w:rPr>
                <w:rFonts w:ascii="Times New Roman" w:hAnsi="Times New Roman" w:cs="Times New Roman" w:eastAsia="Times New Roman"/>
                <w:sz w:val="20"/>
                <w:szCs w:val="20"/>
              </w:rPr>
              <w:t xml:space="preserve">2.  How do you check that a woman agrees to a particular contact, such as support under the back or lifting?</w:t>
            </w:r>
          </w:p>
          <w:p>
            <w:pPr>
              <w:bidi w:val="0"/>
              <w:spacing w:before="0" w:after="80" w:line="252" w:lineRule="auto"/>
              <w:ind w:left="360"/>
              <w:jc w:val="left"/>
            </w:pPr>
            <w:r>
              <w:rPr>
                <w:rFonts w:ascii="Times New Roman" w:hAnsi="Times New Roman" w:cs="Times New Roman" w:eastAsia="Times New Roman"/>
                <w:sz w:val="20"/>
                <w:szCs w:val="20"/>
              </w:rPr>
              <w:t xml:space="preserve">3.  How do you respond when a woman hesitates, pauses or asks you to stop?</w:t>
            </w:r>
          </w:p>
          <w:p>
            <w:pPr>
              <w:bidi w:val="0"/>
              <w:spacing w:before="0" w:after="80" w:line="252" w:lineRule="auto"/>
              <w:ind w:left="360"/>
              <w:jc w:val="left"/>
            </w:pPr>
            <w:r>
              <w:rPr>
                <w:rFonts w:ascii="Times New Roman" w:hAnsi="Times New Roman" w:cs="Times New Roman" w:eastAsia="Times New Roman"/>
                <w:sz w:val="20"/>
                <w:szCs w:val="20"/>
              </w:rPr>
              <w:t xml:space="preserve">4.  How do you protect privacy during assistance (covering, curtains, visitors and room entry)?</w:t>
            </w:r>
          </w:p>
          <w:p>
            <w:pPr>
              <w:bidi w:val="0"/>
              <w:spacing w:before="0" w:after="80" w:line="252" w:lineRule="auto"/>
              <w:ind w:left="360"/>
              <w:jc w:val="left"/>
            </w:pPr>
            <w:r>
              <w:rPr>
                <w:rFonts w:ascii="Times New Roman" w:hAnsi="Times New Roman" w:cs="Times New Roman" w:eastAsia="Times New Roman"/>
                <w:sz w:val="20"/>
                <w:szCs w:val="20"/>
              </w:rPr>
              <w:t xml:space="preserve">5.  How do companions or family members influence the process? How do you decide whom to involve?</w:t>
            </w:r>
          </w:p>
          <w:p>
            <w:pPr>
              <w:bidi w:val="0"/>
              <w:spacing w:before="0" w:after="80" w:line="252" w:lineRule="auto"/>
              <w:ind w:left="360"/>
              <w:jc w:val="left"/>
            </w:pPr>
            <w:r>
              <w:rPr>
                <w:rFonts w:ascii="Times New Roman" w:hAnsi="Times New Roman" w:cs="Times New Roman" w:eastAsia="Times New Roman"/>
                <w:sz w:val="20"/>
                <w:szCs w:val="20"/>
              </w:rPr>
              <w:t xml:space="preserve">6.  What happens when you do not know a woman’s preferences, for example after a handover or change of shift?</w:t>
            </w:r>
          </w:p>
          <w:p>
            <w:pPr>
              <w:bidi w:val="0"/>
              <w:spacing w:before="0" w:after="80" w:line="252" w:lineRule="auto"/>
              <w:ind w:left="360"/>
              <w:jc w:val="left"/>
            </w:pPr>
            <w:r>
              <w:rPr>
                <w:rFonts w:ascii="Times New Roman" w:hAnsi="Times New Roman" w:cs="Times New Roman" w:eastAsia="Times New Roman"/>
                <w:sz w:val="20"/>
                <w:szCs w:val="20"/>
              </w:rPr>
              <w:t xml:space="preserve">7.  How do you manage language differences?</w:t>
            </w:r>
          </w:p>
          <w:p>
            <w:pPr>
              <w:bidi w:val="0"/>
              <w:spacing w:before="0" w:after="80" w:line="252" w:lineRule="auto"/>
              <w:ind w:left="360"/>
              <w:jc w:val="left"/>
            </w:pPr>
            <w:r>
              <w:rPr>
                <w:rFonts w:ascii="Times New Roman" w:hAnsi="Times New Roman" w:cs="Times New Roman" w:eastAsia="Times New Roman"/>
                <w:sz w:val="20"/>
                <w:szCs w:val="20"/>
              </w:rPr>
              <w:t xml:space="preserve">8.  How do you balance clinical goals, such as mobilisation targets and safety, with a woman’s preferences?</w:t>
            </w:r>
          </w:p>
          <w:p>
            <w:pPr>
              <w:bidi w:val="0"/>
              <w:spacing w:before="0" w:after="80" w:line="252" w:lineRule="auto"/>
              <w:ind w:left="360"/>
              <w:jc w:val="left"/>
            </w:pPr>
            <w:r>
              <w:rPr>
                <w:rFonts w:ascii="Times New Roman" w:hAnsi="Times New Roman" w:cs="Times New Roman" w:eastAsia="Times New Roman"/>
                <w:sz w:val="20"/>
                <w:szCs w:val="20"/>
              </w:rPr>
              <w:t xml:space="preserve">9.  What would improve how consent and privacy are handled during mobilisation?</w:t>
            </w:r>
          </w:p>
          <w:p>
            <w:pPr>
              <w:bidi w:val="0"/>
              <w:spacing w:before="0" w:after="80" w:line="252" w:lineRule="auto"/>
              <w:jc w:val="left"/>
            </w:pPr>
            <w:r>
              <w:rPr>
                <w:rFonts w:ascii="Times New Roman" w:hAnsi="Times New Roman" w:cs="Times New Roman" w:eastAsia="Times New Roman"/>
                <w:sz w:val="20"/>
                <w:szCs w:val="20"/>
              </w:rPr>
              <w:t xml:space="preserve">10. How do nurses and physiotherapists share information about a woman’s preferences?</w:t>
            </w:r>
          </w:p>
          <w:p>
            <w:pPr>
              <w:bidi w:val="0"/>
              <w:spacing w:before="0" w:after="80" w:line="252" w:lineRule="auto"/>
              <w:jc w:val="left"/>
            </w:pPr>
            <w:r>
              <w:rPr>
                <w:rFonts w:ascii="Times New Roman" w:hAnsi="Times New Roman" w:cs="Times New Roman" w:eastAsia="Times New Roman"/>
                <w:b/>
                <w:sz w:val="20"/>
                <w:szCs w:val="20"/>
              </w:rPr>
              <w:t xml:space="preserve">Appendix C – Demographic form (English and Arabic in Documents 06 and 07).</w:t>
            </w:r>
            <w:r>
              <w:rPr>
                <w:rFonts w:ascii="Times New Roman" w:hAnsi="Times New Roman" w:cs="Times New Roman" w:eastAsia="Times New Roman"/>
                <w:sz w:val="20"/>
                <w:szCs w:val="20"/>
              </w:rPr>
              <w:t xml:space="preserve"> Women: age band; parity; caesarean (planned or emergency; first or repeat); anaesthesia; hospital sector; room type; companion present during first mobilisation; education; interview mode and language. Professionals: gender; profession; years of maternity experience; highest qualification; hospital sector; interview language.</w:t>
            </w:r>
          </w:p>
          <w:p>
            <w:pPr>
              <w:bidi w:val="0"/>
              <w:spacing w:before="0" w:after="80" w:line="252" w:lineRule="auto"/>
              <w:jc w:val="left"/>
            </w:pPr>
            <w:r>
              <w:rPr>
                <w:rFonts w:ascii="Times New Roman" w:hAnsi="Times New Roman" w:cs="Times New Roman" w:eastAsia="Times New Roman"/>
                <w:b/>
                <w:sz w:val="20"/>
                <w:szCs w:val="20"/>
              </w:rPr>
              <w:t xml:space="preserve">Appendix D – Participant information and consent forms (English and Arabic).</w:t>
            </w:r>
            <w:r>
              <w:rPr>
                <w:rFonts w:ascii="Times New Roman" w:hAnsi="Times New Roman" w:cs="Times New Roman" w:eastAsia="Times New Roman"/>
                <w:sz w:val="20"/>
                <w:szCs w:val="20"/>
              </w:rPr>
              <w:t xml:space="preserve"> Documents 04 (English) and 05 (Arabic).</w:t>
            </w:r>
          </w:p>
          <w:p>
            <w:pPr>
              <w:bidi w:val="0"/>
              <w:spacing w:before="0" w:after="80" w:line="252" w:lineRule="auto"/>
              <w:jc w:val="left"/>
            </w:pPr>
            <w:r>
              <w:rPr>
                <w:rFonts w:ascii="Times New Roman" w:hAnsi="Times New Roman" w:cs="Times New Roman" w:eastAsia="Times New Roman"/>
                <w:b/>
                <w:sz w:val="20"/>
                <w:szCs w:val="20"/>
              </w:rPr>
              <w:t xml:space="preserve">Appendix E – Field-note template.</w:t>
            </w:r>
            <w:r>
              <w:rPr>
                <w:rFonts w:ascii="Times New Roman" w:hAnsi="Times New Roman" w:cs="Times New Roman" w:eastAsia="Times New Roman"/>
                <w:sz w:val="20"/>
                <w:szCs w:val="20"/>
              </w:rPr>
              <w:t xml:space="preserve"> Date and time; setting and room type; participant code; duration; interruptions; companion presence; interaction and tone; interviewer reflections.</w:t>
            </w:r>
          </w:p>
          <w:p>
            <w:pPr>
              <w:bidi w:val="0"/>
              <w:spacing w:before="0" w:after="80" w:line="252" w:lineRule="auto"/>
              <w:jc w:val="left"/>
            </w:pPr>
            <w:r>
              <w:rPr>
                <w:rFonts w:ascii="Times New Roman" w:hAnsi="Times New Roman" w:cs="Times New Roman" w:eastAsia="Times New Roman"/>
                <w:b/>
                <w:sz w:val="20"/>
                <w:szCs w:val="20"/>
              </w:rPr>
              <w:t xml:space="preserve">Appendix F – Recruitment invitations for women, and for nurses and physiotherapists (English and Arabic).</w:t>
            </w:r>
            <w:r>
              <w:rPr>
                <w:rFonts w:ascii="Times New Roman" w:hAnsi="Times New Roman" w:cs="Times New Roman" w:eastAsia="Times New Roman"/>
                <w:sz w:val="20"/>
                <w:szCs w:val="20"/>
              </w:rPr>
              <w:t xml:space="preserve"> Document 08.</w:t>
            </w:r>
          </w:p>
          <w:p>
            <w:pPr>
              <w:bidi w:val="0"/>
              <w:spacing w:before="0" w:after="80" w:line="252" w:lineRule="auto"/>
              <w:jc w:val="left"/>
            </w:pPr>
            <w:r>
              <w:rPr>
                <w:rFonts w:ascii="Times New Roman" w:hAnsi="Times New Roman" w:cs="Times New Roman" w:eastAsia="Times New Roman"/>
                <w:b/>
                <w:sz w:val="20"/>
                <w:szCs w:val="20"/>
              </w:rPr>
              <w:t xml:space="preserve">Appendix G – Gantt chart (12-month timeline).</w:t>
            </w:r>
            <w:r>
              <w:rPr>
                <w:rFonts w:ascii="Times New Roman" w:hAnsi="Times New Roman" w:cs="Times New Roman" w:eastAsia="Times New Roman"/>
                <w:sz w:val="20"/>
                <w:szCs w:val="20"/>
              </w:rPr>
              <w:t xml:space="preserve"> Document 09.</w:t>
            </w:r>
          </w:p>
        </w:tc>
      </w:tr>
    </w:tbl>
    <w:p>
      <w:pPr>
        <w:pStyle w:val="Style13"/>
        <w:numPr>
          <w:ilvl w:val="0"/>
          <w:numId w:val="2"/>
        </w:numPr>
        <w:bidi w:val="0"/>
        <w:spacing w:lineRule="auto" w:line="240" w:before="120" w:after="0"/>
        <w:ind w:hanging="0" w:left="0" w:right="0"/>
        <w:contextualSpacing/>
        <w:jc w:val="left"/>
        <w:rPr>
          <w:rFonts w:ascii="Times New Roman" w:hAnsi="Times New Roman" w:cs="Times New Roman"/>
          <w:i/>
          <w:i/>
          <w:sz w:val="24"/>
          <w:szCs w:val="24"/>
        </w:rPr>
      </w:pPr>
      <w:r>
        <w:rPr>
          <w:rFonts w:cs="Times New Roman" w:ascii="Times New Roman" w:hAnsi="Times New Roman"/>
          <w:b/>
          <w:bCs/>
          <w:i/>
          <w:sz w:val="24"/>
          <w:szCs w:val="24"/>
        </w:rPr>
        <w:t xml:space="preserve">References</w:t>
      </w:r>
    </w:p>
    <w:p>
      <w:pPr>
        <w:bidi w:val="0"/>
        <w:spacing w:before="0" w:after="40" w:line="252" w:lineRule="auto"/>
        <w:ind w:left="360"/>
        <w:jc w:val="left"/>
      </w:pPr>
      <w:r>
        <w:rPr>
          <w:rFonts w:ascii="Times New Roman" w:hAnsi="Times New Roman" w:cs="Times New Roman" w:eastAsia="Times New Roman"/>
          <w:sz w:val="20"/>
          <w:szCs w:val="20"/>
        </w:rPr>
        <w:t xml:space="preserve">1. Sultan P, Monks DT, Sharawi N, et al. Guidelines for postoperative care in cesarean delivery: Enhanced Recovery After Surgery Society recommendations (part 3)—2025 update. Am J Obstet Gynecol 2026; 233(6S): S184–S198. DOI: 10.1016/j.ajog.2025.01.038.</w:t>
      </w:r>
    </w:p>
    <w:p>
      <w:pPr>
        <w:bidi w:val="0"/>
        <w:spacing w:before="0" w:after="40" w:line="252" w:lineRule="auto"/>
        <w:ind w:left="360"/>
        <w:jc w:val="left"/>
      </w:pPr>
      <w:r>
        <w:rPr>
          <w:rFonts w:ascii="Times New Roman" w:hAnsi="Times New Roman" w:cs="Times New Roman" w:eastAsia="Times New Roman"/>
          <w:sz w:val="20"/>
          <w:szCs w:val="20"/>
        </w:rPr>
        <w:t xml:space="preserve">2. World Health Organization. WHO recommendations on maternal and newborn care for a positive postnatal experience. Geneva: World Health Organization, 2022. https://www.who.int/publications/i/item/9789240045989 (accessed 6 October 2026).</w:t>
      </w:r>
    </w:p>
    <w:p>
      <w:pPr>
        <w:bidi w:val="0"/>
        <w:spacing w:before="0" w:after="40" w:line="252" w:lineRule="auto"/>
        <w:ind w:left="360"/>
        <w:jc w:val="left"/>
      </w:pPr>
      <w:r>
        <w:rPr>
          <w:rFonts w:ascii="Times New Roman" w:hAnsi="Times New Roman" w:cs="Times New Roman" w:eastAsia="Times New Roman"/>
          <w:sz w:val="20"/>
          <w:szCs w:val="20"/>
        </w:rPr>
        <w:t xml:space="preserve">3. International Council of Nurses. The ICN code of ethics for nurses. Geneva: International Council of Nurses, 2021. https://www.icn.ch/sites/default/files/2023-06/ICN_Code-of-Ethics_EN_Web.pdf (accessed 6 October 2026).</w:t>
      </w:r>
    </w:p>
    <w:p>
      <w:pPr>
        <w:bidi w:val="0"/>
        <w:spacing w:before="0" w:after="40" w:line="252" w:lineRule="auto"/>
        <w:ind w:left="360"/>
        <w:jc w:val="left"/>
      </w:pPr>
      <w:r>
        <w:rPr>
          <w:rFonts w:ascii="Times New Roman" w:hAnsi="Times New Roman" w:cs="Times New Roman" w:eastAsia="Times New Roman"/>
          <w:sz w:val="20"/>
          <w:szCs w:val="20"/>
        </w:rPr>
        <w:t xml:space="preserve">4. World Physiotherapy. Policy statement: Informed consent. 2023. https://world.physio/policy/ps-consent (accessed 6 October 2026).</w:t>
      </w:r>
    </w:p>
    <w:p>
      <w:pPr>
        <w:bidi w:val="0"/>
        <w:spacing w:before="0" w:after="40" w:line="252" w:lineRule="auto"/>
        <w:ind w:left="360"/>
        <w:jc w:val="left"/>
      </w:pPr>
      <w:r>
        <w:rPr>
          <w:rFonts w:ascii="Times New Roman" w:hAnsi="Times New Roman" w:cs="Times New Roman" w:eastAsia="Times New Roman"/>
          <w:sz w:val="20"/>
          <w:szCs w:val="20"/>
        </w:rPr>
        <w:t xml:space="preserve">5. Duch P, Ekelund K and Nedergaard HK. What matters to mothers: A qualitative exploration of pain and recovery after cesarean section. Acta Anaesthesiol Scand 2025; 69(3): e14579. DOI: 10.1111/aas.14579.</w:t>
      </w:r>
    </w:p>
    <w:p>
      <w:pPr>
        <w:bidi w:val="0"/>
        <w:spacing w:before="0" w:after="40" w:line="252" w:lineRule="auto"/>
        <w:ind w:left="360"/>
        <w:jc w:val="left"/>
      </w:pPr>
      <w:r>
        <w:rPr>
          <w:rFonts w:ascii="Times New Roman" w:hAnsi="Times New Roman" w:cs="Times New Roman" w:eastAsia="Times New Roman"/>
          <w:sz w:val="20"/>
          <w:szCs w:val="20"/>
        </w:rPr>
        <w:t xml:space="preserve">6. Prokopowicz A, Korzeniewska A and Byrka K. Patient anxiety of verticalization on day 0 after a Cesarean section. Arch Gynecol Obstet 2021; 303(2): 391–399. DOI: 10.1007/s00404-020-05748-3.</w:t>
      </w:r>
    </w:p>
    <w:p>
      <w:pPr>
        <w:bidi w:val="0"/>
        <w:spacing w:before="0" w:after="40" w:line="252" w:lineRule="auto"/>
        <w:ind w:left="360"/>
        <w:jc w:val="left"/>
      </w:pPr>
      <w:r>
        <w:rPr>
          <w:rFonts w:ascii="Times New Roman" w:hAnsi="Times New Roman" w:cs="Times New Roman" w:eastAsia="Times New Roman"/>
          <w:sz w:val="20"/>
          <w:szCs w:val="20"/>
        </w:rPr>
        <w:t xml:space="preserve">7. Długołęcka A, Jagodzińska M, Bober WJ, et al. Ethics of a physiotherapist: Touch, corporeality, intimacy—Based on the experience of elderly patients. J Bioeth Inq 2024; 21(3): 461–474. DOI: 10.1007/s11673-023-10323-x.</w:t>
      </w:r>
    </w:p>
    <w:p>
      <w:pPr>
        <w:bidi w:val="0"/>
        <w:spacing w:before="0" w:after="40" w:line="252" w:lineRule="auto"/>
        <w:ind w:left="360"/>
        <w:jc w:val="left"/>
      </w:pPr>
      <w:r>
        <w:rPr>
          <w:rFonts w:ascii="Times New Roman" w:hAnsi="Times New Roman" w:cs="Times New Roman" w:eastAsia="Times New Roman"/>
          <w:sz w:val="20"/>
          <w:szCs w:val="20"/>
        </w:rPr>
        <w:t xml:space="preserve">8. Power N, Fadyl J, Walters S, et al. The roles and purposes of caring touch in health professional practice: A discourse analysis. Nurs Inq 2026; 33(2): e70094. DOI: 10.1111/nin.70094.</w:t>
      </w:r>
    </w:p>
    <w:p>
      <w:pPr>
        <w:bidi w:val="0"/>
        <w:spacing w:before="0" w:after="40" w:line="252" w:lineRule="auto"/>
        <w:ind w:left="360"/>
        <w:jc w:val="left"/>
      </w:pPr>
      <w:r>
        <w:rPr>
          <w:rFonts w:ascii="Times New Roman" w:hAnsi="Times New Roman" w:cs="Times New Roman" w:eastAsia="Times New Roman"/>
          <w:sz w:val="20"/>
          <w:szCs w:val="20"/>
        </w:rPr>
        <w:t xml:space="preserve">9. Lawler J. Behind the screens: Nursing, somology and the problem of the body. Sydney: Sydney University Press, 2006. DOI: 10.2307/jj.455891.</w:t>
      </w:r>
    </w:p>
    <w:p>
      <w:pPr>
        <w:bidi w:val="0"/>
        <w:spacing w:before="0" w:after="40" w:line="252" w:lineRule="auto"/>
        <w:ind w:left="360"/>
        <w:jc w:val="left"/>
      </w:pPr>
      <w:r>
        <w:rPr>
          <w:rFonts w:ascii="Times New Roman" w:hAnsi="Times New Roman" w:cs="Times New Roman" w:eastAsia="Times New Roman"/>
          <w:sz w:val="20"/>
          <w:szCs w:val="20"/>
        </w:rPr>
        <w:t xml:space="preserve">10. Usher KJ and Arthur D. Process consent: A model for enhancing informed consent in mental health nursing. J Adv Nurs 1998; 27(4): 692–697. DOI: 10.1046/j.1365-2648.1998.00589.x.</w:t>
      </w:r>
    </w:p>
    <w:p>
      <w:pPr>
        <w:bidi w:val="0"/>
        <w:spacing w:before="0" w:after="40" w:line="252" w:lineRule="auto"/>
        <w:ind w:left="360"/>
        <w:jc w:val="left"/>
      </w:pPr>
      <w:r>
        <w:rPr>
          <w:rFonts w:ascii="Times New Roman" w:hAnsi="Times New Roman" w:cs="Times New Roman" w:eastAsia="Times New Roman"/>
          <w:sz w:val="20"/>
          <w:szCs w:val="20"/>
        </w:rPr>
        <w:t xml:space="preserve">11. Aveyard H, Kolawole A, Gurung P, et al. Informed consent prior to nursing care: Nurses’ use of information. Nurs Ethics 2022; 29(5): 1244–1252. DOI: 10.1177/09697330221095148.</w:t>
      </w:r>
    </w:p>
    <w:p>
      <w:pPr>
        <w:bidi w:val="0"/>
        <w:spacing w:before="0" w:after="40" w:line="252" w:lineRule="auto"/>
        <w:ind w:left="360"/>
        <w:jc w:val="left"/>
      </w:pPr>
      <w:r>
        <w:rPr>
          <w:rFonts w:ascii="Times New Roman" w:hAnsi="Times New Roman" w:cs="Times New Roman" w:eastAsia="Times New Roman"/>
          <w:sz w:val="20"/>
          <w:szCs w:val="20"/>
        </w:rPr>
        <w:t xml:space="preserve">12. White Ribbon Alliance. Respectful maternity care charter: The universal rights of women and newborns. 2019. https://whiteribbonalliance.org/wp-content/uploads/2022/05/WRA_RMC_Charter_FINAL.pdf (accessed 6 October 2026).</w:t>
      </w:r>
    </w:p>
    <w:p>
      <w:pPr>
        <w:bidi w:val="0"/>
        <w:spacing w:before="0" w:after="40" w:line="252" w:lineRule="auto"/>
        <w:ind w:left="360"/>
        <w:jc w:val="left"/>
      </w:pPr>
      <w:r>
        <w:rPr>
          <w:rFonts w:ascii="Times New Roman" w:hAnsi="Times New Roman" w:cs="Times New Roman" w:eastAsia="Times New Roman"/>
          <w:sz w:val="20"/>
          <w:szCs w:val="20"/>
        </w:rPr>
        <w:t xml:space="preserve">13. Bohren MA, Vogel JP, Hunter EC, et al. The mistreatment of women during childbirth in health facilities globally: A mixed-methods systematic review. PLoS Med 2015; 12(6): e1001847. DOI: 10.1371/journal.pmed.1001847.</w:t>
      </w:r>
    </w:p>
    <w:p>
      <w:pPr>
        <w:bidi w:val="0"/>
        <w:spacing w:before="0" w:after="40" w:line="252" w:lineRule="auto"/>
        <w:ind w:left="360"/>
        <w:jc w:val="left"/>
      </w:pPr>
      <w:r>
        <w:rPr>
          <w:rFonts w:ascii="Times New Roman" w:hAnsi="Times New Roman" w:cs="Times New Roman" w:eastAsia="Times New Roman"/>
          <w:sz w:val="20"/>
          <w:szCs w:val="20"/>
        </w:rPr>
        <w:t xml:space="preserve">14. Akkour K, AlTayash SF, AlMuhanna G, et al. The IDEAL approach to establish contemporary maternity care during labor. J Family Med Prim Care 2022; 11(8): 4349–4356. DOI: 10.4103/jfmpc.jfmpc_14_22.</w:t>
      </w:r>
    </w:p>
    <w:p>
      <w:pPr>
        <w:bidi w:val="0"/>
        <w:spacing w:before="0" w:after="40" w:line="252" w:lineRule="auto"/>
        <w:ind w:left="360"/>
        <w:jc w:val="left"/>
      </w:pPr>
      <w:r>
        <w:rPr>
          <w:rFonts w:ascii="Times New Roman" w:hAnsi="Times New Roman" w:cs="Times New Roman" w:eastAsia="Times New Roman"/>
          <w:sz w:val="20"/>
          <w:szCs w:val="20"/>
        </w:rPr>
        <w:t xml:space="preserve">15. Alghamdi RS, Perra O, Boyle B, et al. Perceived treatment of respectful maternity care among pregnant women at healthcare facilities in the Kingdom of Saudi Arabia: A cross-sectional study. Midwifery 2023; 123: 103714. DOI: 10.1016/j.midw.2023.103714.</w:t>
      </w:r>
    </w:p>
    <w:p>
      <w:pPr>
        <w:bidi w:val="0"/>
        <w:spacing w:before="0" w:after="40" w:line="252" w:lineRule="auto"/>
        <w:ind w:left="360"/>
        <w:jc w:val="left"/>
      </w:pPr>
      <w:r>
        <w:rPr>
          <w:rFonts w:ascii="Times New Roman" w:hAnsi="Times New Roman" w:cs="Times New Roman" w:eastAsia="Times New Roman"/>
          <w:sz w:val="20"/>
          <w:szCs w:val="20"/>
        </w:rPr>
        <w:t xml:space="preserve">16. Ministry of Health, Saudi Arabia. Your health rights: Obstetrics and gynecology. Updated 30 August 2026. https://www.moh.gov.sa/en/healthawareness/rights/pages/22.aspx (accessed 6 October 2026).</w:t>
      </w:r>
    </w:p>
    <w:p>
      <w:pPr>
        <w:bidi w:val="0"/>
        <w:spacing w:before="0" w:after="40" w:line="252" w:lineRule="auto"/>
        <w:ind w:left="360"/>
        <w:jc w:val="left"/>
      </w:pPr>
      <w:r>
        <w:rPr>
          <w:rFonts w:ascii="Times New Roman" w:hAnsi="Times New Roman" w:cs="Times New Roman" w:eastAsia="Times New Roman"/>
          <w:sz w:val="20"/>
          <w:szCs w:val="20"/>
        </w:rPr>
        <w:t xml:space="preserve">17. Alruwaili TA, Fooladi E and Crawford K. Women and husbands’ experiences and expectations of shared decision-making during pregnancy and childbirth in Saudi Arabia: A qualitative study. Midwifery 2025; 148: 104533. DOI: 10.1016/j.midw.2025.104533.</w:t>
      </w:r>
    </w:p>
    <w:p>
      <w:pPr>
        <w:bidi w:val="0"/>
        <w:spacing w:before="0" w:after="40" w:line="252" w:lineRule="auto"/>
        <w:ind w:left="360"/>
        <w:jc w:val="left"/>
      </w:pPr>
      <w:r>
        <w:rPr>
          <w:rFonts w:ascii="Times New Roman" w:hAnsi="Times New Roman" w:cs="Times New Roman" w:eastAsia="Times New Roman"/>
          <w:sz w:val="20"/>
          <w:szCs w:val="20"/>
        </w:rPr>
        <w:t xml:space="preserve">18. Almalki F and Alomair N. Women’s experiences and perceptions of postpartum care in Saudi Arabia: A qualitative study. BMC Pregnancy Childbirth 2026; 26: 415. DOI: 10.1186/s12884-026-08919-3.</w:t>
      </w:r>
    </w:p>
    <w:p>
      <w:pPr>
        <w:bidi w:val="0"/>
        <w:spacing w:before="0" w:after="40" w:line="252" w:lineRule="auto"/>
        <w:ind w:left="360"/>
        <w:jc w:val="left"/>
      </w:pPr>
      <w:r>
        <w:rPr>
          <w:rFonts w:ascii="Times New Roman" w:hAnsi="Times New Roman" w:cs="Times New Roman" w:eastAsia="Times New Roman"/>
          <w:sz w:val="20"/>
          <w:szCs w:val="20"/>
        </w:rPr>
        <w:t xml:space="preserve">19. Mackenzie C. Three dimensions of autonomy: A relational analysis. In: Veltman A and Piper M (eds) Autonomy, oppression, and gender. New York: Oxford University Press, 2014, pp.15–41. DOI: 10.1093/acprof:oso/9780199969104.003.0002.</w:t>
      </w:r>
    </w:p>
    <w:p>
      <w:pPr>
        <w:bidi w:val="0"/>
        <w:spacing w:before="0" w:after="40" w:line="252" w:lineRule="auto"/>
        <w:ind w:left="360"/>
        <w:jc w:val="left"/>
      </w:pPr>
      <w:r>
        <w:rPr>
          <w:rFonts w:ascii="Times New Roman" w:hAnsi="Times New Roman" w:cs="Times New Roman" w:eastAsia="Times New Roman"/>
          <w:sz w:val="20"/>
          <w:szCs w:val="20"/>
        </w:rPr>
        <w:t xml:space="preserve">20. Mackenzie C. Autonomous agency, we-agency, and social oppression. South J Philos 2023; 61(2): 373–389. DOI: 10.1111/sjp.12521.</w:t>
      </w:r>
    </w:p>
    <w:p>
      <w:pPr>
        <w:bidi w:val="0"/>
        <w:spacing w:before="0" w:after="40" w:line="252" w:lineRule="auto"/>
        <w:ind w:left="360"/>
        <w:jc w:val="left"/>
      </w:pPr>
      <w:r>
        <w:rPr>
          <w:rFonts w:ascii="Times New Roman" w:hAnsi="Times New Roman" w:cs="Times New Roman" w:eastAsia="Times New Roman"/>
          <w:sz w:val="20"/>
          <w:szCs w:val="20"/>
        </w:rPr>
        <w:t xml:space="preserve">21. Nithiyananthan M, Nicholls J, Whitten M, et al. Women’s experience of the consent process to planned caesarean section and its surgical risk: A qualitative study. BJOG 2025; 132(8): 1104–1113. DOI: 10.1111/1471-0528.18049.</w:t>
      </w:r>
    </w:p>
    <w:p>
      <w:pPr>
        <w:bidi w:val="0"/>
        <w:spacing w:before="0" w:after="40" w:line="252" w:lineRule="auto"/>
        <w:ind w:left="360"/>
        <w:jc w:val="left"/>
      </w:pPr>
      <w:r>
        <w:rPr>
          <w:rFonts w:ascii="Times New Roman" w:hAnsi="Times New Roman" w:cs="Times New Roman" w:eastAsia="Times New Roman"/>
          <w:sz w:val="20"/>
          <w:szCs w:val="20"/>
        </w:rPr>
        <w:t xml:space="preserve">22. Thorne S. Interpretive description: Qualitative research for applied practice. 3rd ed. New York: Routledge, 2025.</w:t>
      </w:r>
    </w:p>
    <w:p>
      <w:pPr>
        <w:bidi w:val="0"/>
        <w:spacing w:before="0" w:after="40" w:line="252" w:lineRule="auto"/>
        <w:ind w:left="360"/>
        <w:jc w:val="left"/>
      </w:pPr>
      <w:r>
        <w:rPr>
          <w:rFonts w:ascii="Times New Roman" w:hAnsi="Times New Roman" w:cs="Times New Roman" w:eastAsia="Times New Roman"/>
          <w:sz w:val="20"/>
          <w:szCs w:val="20"/>
        </w:rPr>
        <w:t xml:space="preserve">23. Thorne S, Kirkham SR and MacDonald-Emes J. Interpretive description: A noncategorical qualitative alternative for developing nursing knowledge. Res Nurs Health 1997; 20(2): 169–177. DOI: 10.1002/(SICI)1098-240X(199704)20:2&lt;169::AID-NUR9\&gt;3.0.CO;2-I.</w:t>
      </w:r>
    </w:p>
    <w:p>
      <w:pPr>
        <w:bidi w:val="0"/>
        <w:spacing w:before="0" w:after="40" w:line="252" w:lineRule="auto"/>
        <w:ind w:left="360"/>
        <w:jc w:val="left"/>
      </w:pPr>
      <w:r>
        <w:rPr>
          <w:rFonts w:ascii="Times New Roman" w:hAnsi="Times New Roman" w:cs="Times New Roman" w:eastAsia="Times New Roman"/>
          <w:sz w:val="20"/>
          <w:szCs w:val="20"/>
        </w:rPr>
        <w:t xml:space="preserve">24. Thorne S, Reimer Kirkham S and O’Flynn-Magee K. The analytic challenge in interpretive description. Int J Qual Methods 2004; 3(1): 1–11. DOI: 10.1177/160940690400300101.</w:t>
      </w:r>
    </w:p>
    <w:p>
      <w:pPr>
        <w:bidi w:val="0"/>
        <w:spacing w:before="0" w:after="40" w:line="252" w:lineRule="auto"/>
        <w:ind w:left="360"/>
        <w:jc w:val="left"/>
      </w:pPr>
      <w:r>
        <w:rPr>
          <w:rFonts w:ascii="Times New Roman" w:hAnsi="Times New Roman" w:cs="Times New Roman" w:eastAsia="Times New Roman"/>
          <w:sz w:val="20"/>
          <w:szCs w:val="20"/>
        </w:rPr>
        <w:t xml:space="preserve">25. Johnson GU, Towell-Barnard A, McLean C, et al. Methodological insights from evaluating a family member’s voice reorientation programme: An interpretive descriptive approach. Nurs Open 2025; 12(9): e70291. DOI: 10.1002/nop2.70291.</w:t>
      </w:r>
    </w:p>
    <w:p>
      <w:pPr>
        <w:bidi w:val="0"/>
        <w:spacing w:before="0" w:after="40" w:line="252" w:lineRule="auto"/>
        <w:ind w:left="360"/>
        <w:jc w:val="left"/>
      </w:pPr>
      <w:r>
        <w:rPr>
          <w:rFonts w:ascii="Times New Roman" w:hAnsi="Times New Roman" w:cs="Times New Roman" w:eastAsia="Times New Roman"/>
          <w:sz w:val="20"/>
          <w:szCs w:val="20"/>
        </w:rPr>
        <w:t xml:space="preserve">26. Tong A, Sainsbury P and Craig J. Consolidated criteria for reporting qualitative research (COREQ): A 32-item checklist for interviews and focus groups. Int J Qual Health Care 2007; 19(6): 349–357. DOI: 10.1093/intqhc/mzm042.</w:t>
      </w:r>
    </w:p>
    <w:p>
      <w:pPr>
        <w:bidi w:val="0"/>
        <w:spacing w:before="0" w:after="40" w:line="252" w:lineRule="auto"/>
        <w:ind w:left="360"/>
        <w:jc w:val="left"/>
      </w:pPr>
      <w:r>
        <w:rPr>
          <w:rFonts w:ascii="Times New Roman" w:hAnsi="Times New Roman" w:cs="Times New Roman" w:eastAsia="Times New Roman"/>
          <w:sz w:val="20"/>
          <w:szCs w:val="20"/>
        </w:rPr>
        <w:t xml:space="preserve">27. Squires A. Methodological challenges in cross-language qualitative research: A research review. Int J Nurs Stud 2009; 46(2): 277–287. DOI: 10.1016/j.ijnurstu.2008.08.006.</w:t>
      </w:r>
    </w:p>
    <w:p>
      <w:pPr>
        <w:bidi w:val="0"/>
        <w:spacing w:before="0" w:after="40" w:line="252" w:lineRule="auto"/>
        <w:ind w:left="360"/>
        <w:jc w:val="left"/>
      </w:pPr>
      <w:r>
        <w:rPr>
          <w:rFonts w:ascii="Times New Roman" w:hAnsi="Times New Roman" w:cs="Times New Roman" w:eastAsia="Times New Roman"/>
          <w:sz w:val="20"/>
          <w:szCs w:val="20"/>
        </w:rPr>
        <w:t xml:space="preserve">28. Malterud K, Siersma VD and Guassora AD. Sample size in qualitative interview studies: Guided by information power. Qual Health Res 2016; 26(13): 1753–1760. DOI: 10.1177/1049732315617444.</w:t>
      </w:r>
    </w:p>
    <w:p>
      <w:pPr>
        <w:bidi w:val="0"/>
        <w:spacing w:before="0" w:after="40" w:line="252" w:lineRule="auto"/>
        <w:ind w:left="360"/>
        <w:jc w:val="left"/>
      </w:pPr>
      <w:r>
        <w:rPr>
          <w:rFonts w:ascii="Times New Roman" w:hAnsi="Times New Roman" w:cs="Times New Roman" w:eastAsia="Times New Roman"/>
          <w:sz w:val="20"/>
          <w:szCs w:val="20"/>
        </w:rPr>
        <w:t xml:space="preserve">29. World Medical Association. WMA Declaration of Helsinki—Ethical Principles for Medical Research Involving Human Participants. Revised October 2024. https://www.wma.net/policies-post/wma-declaration-of-helsinki/ (accessed 6 October 2026).</w:t>
      </w:r>
    </w:p>
    <w:p>
      <w:pPr>
        <w:pStyle w:val="Style13"/>
        <w:numPr>
          <w:ilvl w:val="0"/>
          <w:numId w:val="2"/>
        </w:numPr>
        <w:bidi w:val="0"/>
        <w:spacing w:lineRule="auto" w:line="240" w:before="120" w:after="0"/>
        <w:ind w:hanging="0" w:left="0" w:right="0"/>
        <w:contextualSpacing/>
        <w:jc w:val="left"/>
        <w:rPr>
          <w:rFonts w:ascii="Times New Roman" w:hAnsi="Times New Roman" w:cs="Times New Roman"/>
          <w:i/>
          <w:i/>
          <w:sz w:val="24"/>
          <w:szCs w:val="24"/>
        </w:rPr>
      </w:pPr>
      <w:r>
        <w:rPr>
          <w:rFonts w:cs="Times New Roman" w:ascii="Times New Roman" w:hAnsi="Times New Roman"/>
          <w:b/>
          <w:bCs/>
          <w:i/>
          <w:sz w:val="24"/>
          <w:szCs w:val="24"/>
        </w:rPr>
        <w:t>Signature of the Principal and Co-Investigator(s</w:t>
      </w:r>
      <w:r>
        <w:rPr>
          <w:rFonts w:cs="Times New Roman" w:ascii="Times New Roman" w:hAnsi="Times New Roman"/>
          <w:i/>
          <w:sz w:val="24"/>
          <w:szCs w:val="24"/>
        </w:rPr>
        <w:t xml:space="preserve">): </w:t>
      </w:r>
    </w:p>
    <w:tbl>
      <w:tblPr>
        <w:tblW w:w="9576" w:type="dxa"/>
        <w:jc w:val="center"/>
        <w:tblInd w:w="0" w:type="dxa"/>
        <w:tblLayout w:type="fixed"/>
        <w:tblCellMar>
          <w:top w:w="0" w:type="dxa"/>
          <w:left w:w="108" w:type="dxa"/>
          <w:bottom w:w="0" w:type="dxa"/>
          <w:right w:w="108" w:type="dxa"/>
        </w:tblCellMar>
      </w:tblPr>
      <w:tblGrid>
        <w:gridCol w:w="5735"/>
        <w:gridCol w:w="2069"/>
        <w:gridCol w:w="1772"/>
      </w:tblGrid>
      <w:tr>
        <w:trPr/>
        <w:tc>
          <w:tcPr>
            <w:tcW w:w="5735" w:type="dxa"/>
            <w:tcBorders>
              <w:top w:val="single" w:sz="4" w:space="0" w:color="000000"/>
              <w:left w:val="single" w:sz="4" w:space="0" w:color="000000"/>
              <w:bottom w:val="single" w:sz="4" w:space="0" w:color="000000"/>
              <w:right w:val="single" w:sz="4" w:space="0" w:color="000000"/>
            </w:tcBorders>
          </w:tcPr>
          <w:p>
            <w:pPr>
              <w:pStyle w:val="Style13"/>
              <w:bidi w:val="0"/>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t>Name</w:t>
            </w:r>
          </w:p>
        </w:tc>
        <w:tc>
          <w:tcPr>
            <w:tcW w:w="2069" w:type="dxa"/>
            <w:tcBorders>
              <w:top w:val="single" w:sz="4" w:space="0" w:color="000000"/>
              <w:left w:val="single" w:sz="4" w:space="0" w:color="000000"/>
              <w:bottom w:val="single" w:sz="4" w:space="0" w:color="000000"/>
              <w:right w:val="single" w:sz="4" w:space="0" w:color="000000"/>
            </w:tcBorders>
          </w:tcPr>
          <w:p>
            <w:pPr>
              <w:pStyle w:val="Style13"/>
              <w:bidi w:val="0"/>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t>Signature</w:t>
            </w:r>
          </w:p>
        </w:tc>
        <w:tc>
          <w:tcPr>
            <w:tcW w:w="1772" w:type="dxa"/>
            <w:tcBorders>
              <w:top w:val="single" w:sz="4" w:space="0" w:color="000000"/>
              <w:left w:val="single" w:sz="4" w:space="0" w:color="000000"/>
              <w:bottom w:val="single" w:sz="4" w:space="0" w:color="000000"/>
              <w:right w:val="single" w:sz="4" w:space="0" w:color="000000"/>
            </w:tcBorders>
          </w:tcPr>
          <w:p>
            <w:pPr>
              <w:pStyle w:val="Style13"/>
              <w:bidi w:val="0"/>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t>Date</w:t>
            </w:r>
          </w:p>
        </w:tc>
      </w:tr>
      <w:tr>
        <w:trPr/>
        <w:tc>
          <w:tcPr>
            <w:tcW w:w="5735"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1"/>
                <w:szCs w:val="21"/>
              </w:rPr>
              <w:t xml:space="preserve">Mutairah Alamlah Alshammari (Principal Investigator)</w:t>
            </w:r>
          </w:p>
        </w:tc>
        <w:tc>
          <w:tcPr>
            <w:tcW w:w="2069" w:type="dxa"/>
            <w:tcBorders>
              <w:top w:val="single" w:sz="4" w:space="0" w:color="000000"/>
              <w:left w:val="single" w:sz="4" w:space="0" w:color="000000"/>
              <w:bottom w:val="single" w:sz="4" w:space="0" w:color="000000"/>
              <w:right w:val="single" w:sz="4" w:space="0" w:color="000000"/>
            </w:tcBorders>
          </w:tcPr>
          <w:p>
            <w:pPr>
              <w:pStyle w:val="Style13"/>
              <w:bidi w:val="0"/>
              <w:snapToGrid w:val="false"/>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r>
          </w:p>
        </w:tc>
        <w:tc>
          <w:tcPr>
            <w:tcW w:w="1772" w:type="dxa"/>
            <w:tcBorders>
              <w:top w:val="single" w:sz="4" w:space="0" w:color="000000"/>
              <w:left w:val="single" w:sz="4" w:space="0" w:color="000000"/>
              <w:bottom w:val="single" w:sz="4" w:space="0" w:color="000000"/>
              <w:right w:val="single" w:sz="4" w:space="0" w:color="000000"/>
            </w:tcBorders>
          </w:tcPr>
          <w:p>
            <w:pPr>
              <w:pStyle w:val="Style13"/>
              <w:bidi w:val="0"/>
              <w:snapToGrid w:val="false"/>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r>
          </w:p>
        </w:tc>
      </w:tr>
      <w:tr>
        <w:trPr/>
        <w:tc>
          <w:tcPr>
            <w:tcW w:w="5735"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1"/>
                <w:szCs w:val="21"/>
              </w:rPr>
              <w:t xml:space="preserve">Samaher Alamlah Alshammari (Co-investigator)</w:t>
            </w:r>
          </w:p>
        </w:tc>
        <w:tc>
          <w:tcPr>
            <w:tcW w:w="2069" w:type="dxa"/>
            <w:tcBorders>
              <w:top w:val="single" w:sz="4" w:space="0" w:color="000000"/>
              <w:left w:val="single" w:sz="4" w:space="0" w:color="000000"/>
              <w:bottom w:val="single" w:sz="4" w:space="0" w:color="000000"/>
              <w:right w:val="single" w:sz="4" w:space="0" w:color="000000"/>
            </w:tcBorders>
          </w:tcPr>
          <w:p>
            <w:pPr>
              <w:pStyle w:val="Style13"/>
              <w:bidi w:val="0"/>
              <w:snapToGrid w:val="false"/>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r>
          </w:p>
        </w:tc>
        <w:tc>
          <w:tcPr>
            <w:tcW w:w="1772" w:type="dxa"/>
            <w:tcBorders>
              <w:top w:val="single" w:sz="4" w:space="0" w:color="000000"/>
              <w:left w:val="single" w:sz="4" w:space="0" w:color="000000"/>
              <w:bottom w:val="single" w:sz="4" w:space="0" w:color="000000"/>
              <w:right w:val="single" w:sz="4" w:space="0" w:color="000000"/>
            </w:tcBorders>
          </w:tcPr>
          <w:p>
            <w:pPr>
              <w:pStyle w:val="Style13"/>
              <w:bidi w:val="0"/>
              <w:snapToGrid w:val="false"/>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r>
          </w:p>
        </w:tc>
      </w:tr>
      <w:tr>
        <w:trPr/>
        <w:tc>
          <w:tcPr>
            <w:tcW w:w="5735"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1"/>
                <w:szCs w:val="21"/>
                <w:highlight w:val="yellow"/>
              </w:rPr>
              <w:t xml:space="preserve">[Name – second bilingual nurse researcher]</w:t>
            </w:r>
          </w:p>
        </w:tc>
        <w:tc>
          <w:tcPr>
            <w:tcW w:w="2069" w:type="dxa"/>
            <w:tcBorders>
              <w:top w:val="single" w:sz="4" w:space="0" w:color="000000"/>
              <w:left w:val="single" w:sz="4" w:space="0" w:color="000000"/>
              <w:bottom w:val="single" w:sz="4" w:space="0" w:color="000000"/>
              <w:right w:val="single" w:sz="4" w:space="0" w:color="000000"/>
            </w:tcBorders>
          </w:tcPr>
          <w:p>
            <w:pPr>
              <w:pStyle w:val="Style13"/>
              <w:bidi w:val="0"/>
              <w:snapToGrid w:val="false"/>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r>
          </w:p>
        </w:tc>
        <w:tc>
          <w:tcPr>
            <w:tcW w:w="1772" w:type="dxa"/>
            <w:tcBorders>
              <w:top w:val="single" w:sz="4" w:space="0" w:color="000000"/>
              <w:left w:val="single" w:sz="4" w:space="0" w:color="000000"/>
              <w:bottom w:val="single" w:sz="4" w:space="0" w:color="000000"/>
              <w:right w:val="single" w:sz="4" w:space="0" w:color="000000"/>
            </w:tcBorders>
          </w:tcPr>
          <w:p>
            <w:pPr>
              <w:pStyle w:val="Style13"/>
              <w:bidi w:val="0"/>
              <w:snapToGrid w:val="false"/>
              <w:spacing w:lineRule="auto" w:line="240" w:before="0" w:after="0"/>
              <w:ind w:left="0" w:right="0"/>
              <w:contextualSpacing/>
              <w:jc w:val="center"/>
              <w:rPr>
                <w:rFonts w:ascii="Times New Roman" w:hAnsi="Times New Roman" w:cs="Times New Roman"/>
                <w:b/>
                <w:bCs/>
                <w:sz w:val="24"/>
                <w:szCs w:val="24"/>
              </w:rPr>
            </w:pPr>
            <w:r>
              <w:rPr>
                <w:rFonts w:cs="Times New Roman" w:ascii="Times New Roman" w:hAnsi="Times New Roman"/>
                <w:b/>
                <w:bCs/>
                <w:sz w:val="24"/>
                <w:szCs w:val="24"/>
              </w:rPr>
            </w:r>
          </w:p>
        </w:tc>
      </w:tr>
    </w:tbl>
    <w:p>
      <w:pPr>
        <w:pStyle w:val="Style13"/>
        <w:bidi w:val="0"/>
        <w:spacing w:lineRule="auto" w:line="240" w:before="0" w:after="0"/>
        <w:ind w:left="0" w:right="0"/>
        <w:contextualSpacing/>
        <w:jc w:val="left"/>
        <w:rPr>
          <w:rFonts w:ascii="Times New Roman" w:hAnsi="Times New Roman" w:cs="Times New Roman"/>
          <w:i/>
          <w:i/>
          <w:sz w:val="24"/>
          <w:szCs w:val="24"/>
        </w:rPr>
      </w:pPr>
      <w:r>
        <w:rPr>
          <w:rFonts w:cs="Times New Roman" w:ascii="Times New Roman" w:hAnsi="Times New Roman"/>
          <w:i/>
          <w:sz w:val="24"/>
          <w:szCs w:val="24"/>
        </w:rPr>
      </w:r>
    </w:p>
    <w:p>
      <w:pPr>
        <w:pStyle w:val="Normal"/>
        <w:bidi w:val="0"/>
        <w:spacing w:before="0" w:after="200"/>
        <w:jc w:val="left"/>
        <w:rPr>
          <w:rFonts w:ascii="Times New Roman" w:hAnsi="Times New Roman" w:cs="Times New Roman"/>
          <w:i/>
          <w:i/>
          <w:sz w:val="24"/>
          <w:szCs w:val="24"/>
        </w:rPr>
      </w:pPr>
      <w:r>
        <w:rPr>
          <w:rFonts w:cs="Times New Roman" w:ascii="Times New Roman" w:hAnsi="Times New Roman"/>
          <w:i/>
          <w:sz w:val="24"/>
          <w:szCs w:val="24"/>
        </w:rPr>
      </w:r>
    </w:p>
    <w:sectPr>
      <w:headerReference w:type="default" r:id="rId2"/>
      <w:footerReference w:type="default" r:id="rId3"/>
      <w:type w:val="nextPage"/>
      <w:pgSz w:w="12240" w:h="15840"/>
      <w:pgMar w:left="1418" w:right="1418" w:gutter="0" w:header="289" w:top="2268" w:footer="720" w:bottom="1418"/>
      <w:pgBorders w:display="allPages" w:offsetFrom="page">
        <w:top w:val="single" w:sz="18" w:space="24" w:color="000000"/>
        <w:left w:val="single" w:sz="18" w:space="24" w:color="000000"/>
        <w:bottom w:val="single" w:sz="18" w:space="24" w:color="000000"/>
        <w:right w:val="single" w:sz="18" w:space="24" w:color="000000"/>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Aptos Display">
    <w:altName w:val="Arial"/>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8" w:space="1" w:color="000000"/>
      </w:pBdr>
      <w:tabs>
        <w:tab w:val="clear" w:pos="720"/>
        <w:tab w:val="left" w:pos="5851" w:leader="none"/>
        <w:tab w:val="left" w:pos="9343" w:leader="none"/>
      </w:tabs>
      <w:ind w:right="0"/>
      <w:jc w:val="center"/>
      <w:rPr>
        <w:rFonts w:ascii="Times New Roman" w:hAnsi="Times New Roman" w:cs="Times New Roman"/>
        <w:b/>
        <w:bCs/>
        <w:color w:val="000000"/>
        <w:sz w:val="18"/>
        <w:szCs w:val="18"/>
      </w:rPr>
    </w:pPr>
    <w:r>
      <w:rPr>
        <w:rFonts w:ascii="Times New Roman" w:hAnsi="Times New Roman" w:cs="Times New Roman"/>
        <w:b/>
        <w:b/>
        <w:bCs/>
        <w:color w:val="000000"/>
        <w:sz w:val="18"/>
        <w:sz w:val="18"/>
        <w:szCs w:val="18"/>
        <w:rtl w:val="true"/>
      </w:rPr>
      <w:t>ص</w:t>
    </w:r>
    <w:r>
      <w:rPr>
        <w:rFonts w:cs="Times New Roman" w:ascii="Times New Roman" w:hAnsi="Times New Roman"/>
        <w:b/>
        <w:bCs/>
        <w:color w:val="000000"/>
        <w:sz w:val="18"/>
        <w:szCs w:val="18"/>
        <w:rtl w:val="true"/>
      </w:rPr>
      <w:t>.</w:t>
    </w:r>
    <w:r>
      <w:rPr>
        <w:rFonts w:ascii="Times New Roman" w:hAnsi="Times New Roman" w:cs="Times New Roman"/>
        <w:b/>
        <w:b/>
        <w:bCs/>
        <w:color w:val="000000"/>
        <w:sz w:val="18"/>
        <w:sz w:val="18"/>
        <w:szCs w:val="18"/>
        <w:rtl w:val="true"/>
      </w:rPr>
      <w:t>ب</w:t>
    </w:r>
    <w:r>
      <w:rPr>
        <w:rFonts w:cs="Times New Roman" w:ascii="Times New Roman" w:hAnsi="Times New Roman"/>
        <w:b/>
        <w:bCs/>
        <w:color w:val="000000"/>
        <w:sz w:val="18"/>
        <w:szCs w:val="18"/>
        <w:rtl w:val="true"/>
      </w:rPr>
      <w:t>.</w:t>
    </w:r>
    <w:r>
      <w:rPr>
        <w:rFonts w:ascii="Times New Roman" w:hAnsi="Times New Roman" w:cs="Times New Roman"/>
        <w:b/>
        <w:b/>
        <w:bCs/>
        <w:color w:val="000000"/>
        <w:sz w:val="18"/>
        <w:sz w:val="18"/>
        <w:szCs w:val="18"/>
      </w:rPr>
      <w:t>٢٠١٤</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الجوف </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سكاكا </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هاتف </w:t>
    </w:r>
    <w:r>
      <w:rPr>
        <w:rFonts w:ascii="Times New Roman" w:hAnsi="Times New Roman" w:cs="Times New Roman"/>
        <w:b/>
        <w:b/>
        <w:bCs/>
        <w:color w:val="000000"/>
        <w:sz w:val="18"/>
        <w:sz w:val="18"/>
        <w:szCs w:val="18"/>
      </w:rPr>
      <w:t>٠٤٦٢٥٢٢٧١</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فاكس </w:t>
    </w:r>
    <w:r>
      <w:rPr>
        <w:rFonts w:ascii="Times New Roman" w:hAnsi="Times New Roman" w:cs="Times New Roman"/>
        <w:b/>
        <w:b/>
        <w:bCs/>
        <w:color w:val="000000"/>
        <w:sz w:val="18"/>
        <w:sz w:val="18"/>
        <w:szCs w:val="18"/>
      </w:rPr>
      <w:t>٠٤٦٢٤٧١٨٣</w:t>
    </w:r>
    <w:r>
      <mc:AlternateContent>
        <mc:Choice Requires="wps">
          <w:drawing>
            <wp:anchor behindDoc="0" distT="0" distB="0" distL="0" distR="0" simplePos="0" locked="0" layoutInCell="0" allowOverlap="1" relativeHeight="4">
              <wp:simplePos x="0" y="0"/>
              <wp:positionH relativeFrom="page">
                <wp:posOffset>-2201545</wp:posOffset>
              </wp:positionH>
              <wp:positionV relativeFrom="paragraph">
                <wp:posOffset>347345</wp:posOffset>
              </wp:positionV>
              <wp:extent cx="76835" cy="175260"/>
              <wp:effectExtent l="0" t="0" r="0" b="0"/>
              <wp:wrapTopAndBottom/>
              <wp:docPr id="9"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ind w:right="0"/>
                            <w:jc w:val="left"/>
                            <w:rPr>
                              <w:rStyle w:val="PageNumber"/>
                              <w:rFonts w:ascii="Times New Roman" w:hAnsi="Times New Roman" w:cs="Times New Roman"/>
                              <w:b/>
                              <w:bCs/>
                              <w:sz w:val="24"/>
                              <w:szCs w:val="24"/>
                            </w:rPr>
                          </w:pPr>
                          <w:r>
                            <w:rPr>
                              <w:rStyle w:val="PageNumber"/>
                              <w:rFonts w:cs="Times New Roman" w:ascii="Times New Roman" w:hAnsi="Times New Roman"/>
                              <w:b/>
                              <w:bCs/>
                              <w:sz w:val="24"/>
                              <w:szCs w:val="24"/>
                              <w:rtl w:val="true"/>
                            </w:rPr>
                            <w:fldChar w:fldCharType="begin"/>
                          </w:r>
                          <w:r>
                            <w:rPr>
                              <w:rtl w:val="true"/>
                              <w:rStyle w:val="PageNumber"/>
                              <w:sz w:val="24"/>
                              <w:b/>
                              <w:szCs w:val="24"/>
                              <w:bCs/>
                              <w:rFonts w:cs="Times New Roman" w:ascii="Times New Roman" w:hAnsi="Times New Roman"/>
                            </w:rPr>
                            <w:instrText xml:space="preserve"> PAGE </w:instrText>
                          </w:r>
                          <w:r>
                            <w:rPr>
                              <w:rtl w:val="true"/>
                              <w:rStyle w:val="PageNumber"/>
                              <w:sz w:val="24"/>
                              <w:b/>
                              <w:szCs w:val="24"/>
                              <w:bCs/>
                              <w:rFonts w:cs="Times New Roman" w:ascii="Times New Roman" w:hAnsi="Times New Roman"/>
                            </w:rPr>
                            <w:fldChar w:fldCharType="separate"/>
                          </w:r>
                          <w:r>
                            <w:rPr>
                              <w:rtl w:val="true"/>
                              <w:rStyle w:val="PageNumber"/>
                              <w:sz w:val="24"/>
                              <w:b/>
                              <w:szCs w:val="24"/>
                              <w:bCs/>
                              <w:rFonts w:cs="Times New Roman" w:ascii="Times New Roman" w:hAnsi="Times New Roman"/>
                            </w:rPr>
                            <w:t>3</w:t>
                          </w:r>
                          <w:r>
                            <w:rPr>
                              <w:rtl w:val="true"/>
                              <w:rStyle w:val="PageNumber"/>
                              <w:sz w:val="24"/>
                              <w:b/>
                              <w:szCs w:val="24"/>
                              <w:bCs/>
                              <w:rFonts w:cs="Times New Roman" w:ascii="Times New Roman" w:hAnsi="Times New Roman"/>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27.35pt;mso-position-vertical-relative:text;margin-left:-173.35pt;mso-position-horizontal-relative:page">
              <v:fill opacity="0f"/>
              <v:textbox inset="0in,0in,0in,0in">
                <w:txbxContent>
                  <w:p>
                    <w:pPr>
                      <w:pStyle w:val="Footer"/>
                      <w:ind w:right="0"/>
                      <w:jc w:val="left"/>
                      <w:rPr>
                        <w:rStyle w:val="PageNumber"/>
                        <w:rFonts w:ascii="Times New Roman" w:hAnsi="Times New Roman" w:cs="Times New Roman"/>
                        <w:b/>
                        <w:bCs/>
                        <w:sz w:val="24"/>
                        <w:szCs w:val="24"/>
                      </w:rPr>
                    </w:pPr>
                    <w:r>
                      <w:rPr>
                        <w:rStyle w:val="PageNumber"/>
                        <w:rFonts w:cs="Times New Roman" w:ascii="Times New Roman" w:hAnsi="Times New Roman"/>
                        <w:b/>
                        <w:bCs/>
                        <w:sz w:val="24"/>
                        <w:szCs w:val="24"/>
                        <w:rtl w:val="true"/>
                      </w:rPr>
                      <w:fldChar w:fldCharType="begin"/>
                    </w:r>
                    <w:r>
                      <w:rPr>
                        <w:rtl w:val="true"/>
                        <w:rStyle w:val="PageNumber"/>
                        <w:sz w:val="24"/>
                        <w:b/>
                        <w:szCs w:val="24"/>
                        <w:bCs/>
                        <w:rFonts w:cs="Times New Roman" w:ascii="Times New Roman" w:hAnsi="Times New Roman"/>
                      </w:rPr>
                      <w:instrText xml:space="preserve"> PAGE </w:instrText>
                    </w:r>
                    <w:r>
                      <w:rPr>
                        <w:rtl w:val="true"/>
                        <w:rStyle w:val="PageNumber"/>
                        <w:sz w:val="24"/>
                        <w:b/>
                        <w:szCs w:val="24"/>
                        <w:bCs/>
                        <w:rFonts w:cs="Times New Roman" w:ascii="Times New Roman" w:hAnsi="Times New Roman"/>
                      </w:rPr>
                      <w:fldChar w:fldCharType="separate"/>
                    </w:r>
                    <w:r>
                      <w:rPr>
                        <w:rtl w:val="true"/>
                        <w:rStyle w:val="PageNumber"/>
                        <w:sz w:val="24"/>
                        <w:b/>
                        <w:szCs w:val="24"/>
                        <w:bCs/>
                        <w:rFonts w:cs="Times New Roman" w:ascii="Times New Roman" w:hAnsi="Times New Roman"/>
                      </w:rPr>
                      <w:t>3</w:t>
                    </w:r>
                    <w:r>
                      <w:rPr>
                        <w:rtl w:val="true"/>
                        <w:rStyle w:val="PageNumber"/>
                        <w:sz w:val="24"/>
                        <w:b/>
                        <w:szCs w:val="24"/>
                        <w:bCs/>
                        <w:rFonts w:cs="Times New Roman" w:ascii="Times New Roman" w:hAnsi="Times New Roman"/>
                      </w:rPr>
                      <w:fldChar w:fldCharType="end"/>
                    </w:r>
                  </w:p>
                </w:txbxContent>
              </v:textbox>
              <w10:wrap type="topAndBottom"/>
            </v:rect>
          </w:pict>
        </mc:Fallback>
      </mc:AlternateContent>
    </w:r>
  </w:p>
  <w:p>
    <w:pPr>
      <w:pStyle w:val="Footer"/>
      <w:tabs>
        <w:tab w:val="clear" w:pos="720"/>
        <w:tab w:val="left" w:pos="5851" w:leader="none"/>
        <w:tab w:val="left" w:pos="9343" w:leader="none"/>
      </w:tabs>
      <w:ind w:right="0"/>
      <w:jc w:val="center"/>
      <w:rPr>
        <w:rFonts w:ascii="Times New Roman" w:hAnsi="Times New Roman" w:cs="Times New Roman"/>
        <w:b/>
        <w:bCs/>
        <w:color w:val="000000"/>
        <w:sz w:val="18"/>
        <w:szCs w:val="18"/>
      </w:rPr>
    </w:pPr>
    <w:r>
      <w:rPr>
        <w:rFonts w:cs="Times New Roman" w:ascii="Times New Roman" w:hAnsi="Times New Roman"/>
        <w:color w:val="000000"/>
        <w:sz w:val="18"/>
        <w:szCs w:val="18"/>
      </w:rPr>
      <w:t xml:space="preserve">P.O.BOX 2014.AL-JOUF.SKAKA. </w:t>
    </w:r>
    <w:hyperlink r:id="rId1">
      <w:r>
        <w:rPr>
          <w:rStyle w:val="Hyperlink"/>
          <w:rFonts w:cs="Times New Roman" w:ascii="Times New Roman" w:hAnsi="Times New Roman"/>
          <w:color w:val="000000"/>
          <w:sz w:val="18"/>
          <w:szCs w:val="18"/>
          <w:u w:val="none"/>
        </w:rPr>
        <w:t>TEL:04</w:t>
      </w:r>
    </w:hyperlink>
    <w:r>
      <w:rPr>
        <w:rFonts w:cs="Times New Roman" w:ascii="Times New Roman" w:hAnsi="Times New Roman"/>
        <w:sz w:val="18"/>
        <w:szCs w:val="18"/>
      </w:rPr>
      <w:t xml:space="preserve"> </w:t>
    </w:r>
    <w:r>
      <w:rPr>
        <w:rFonts w:cs="Times New Roman" w:ascii="Times New Roman" w:hAnsi="Times New Roman"/>
        <w:color w:val="000000"/>
        <w:sz w:val="18"/>
        <w:szCs w:val="18"/>
      </w:rPr>
      <w:t>6242271 FAX:046267183</w:t>
    </w:r>
    <w:r>
      <w:rPr>
        <w:rFonts w:cs="Times New Roman" w:ascii="Times New Roman" w:hAnsi="Times New Roman"/>
        <w:color w:val="000000"/>
        <w:sz w:val="18"/>
        <w:szCs w:val="18"/>
        <w:rtl w:val="true"/>
      </w:rPr>
      <w:t xml:space="preserve">             </w:t>
    </w:r>
    <w:r>
      <w:rPr>
        <w:rFonts w:ascii="Times New Roman" w:hAnsi="Times New Roman" w:cs="Times New Roman"/>
        <w:b/>
        <w:b/>
        <w:bCs/>
        <w:color w:val="000000"/>
        <w:sz w:val="18"/>
        <w:sz w:val="18"/>
        <w:szCs w:val="18"/>
        <w:rtl w:val="true"/>
      </w:rPr>
      <w:t>البريد الإلكتروني</w:t>
    </w:r>
    <w:r>
      <w:rPr>
        <w:rFonts w:cs="Times New Roman" w:ascii="Times New Roman" w:hAnsi="Times New Roman"/>
        <w:b/>
        <w:bCs/>
        <w:color w:val="000000"/>
        <w:sz w:val="18"/>
        <w:szCs w:val="18"/>
        <w:rtl w:val="true"/>
      </w:rPr>
      <w:t xml:space="preserve">: </w:t>
    </w:r>
    <w:r>
      <w:rPr>
        <w:rFonts w:cs="Times New Roman" w:ascii="Times New Roman" w:hAnsi="Times New Roman"/>
        <w:color w:val="000000"/>
        <w:sz w:val="18"/>
        <w:szCs w:val="18"/>
      </w:rPr>
      <w:t>E-MAIL: LCBE@JU.EDU.SA</w:t>
    </w:r>
  </w:p>
  <w:p>
    <w:pPr>
      <w:pStyle w:val="Footer"/>
      <w:tabs>
        <w:tab w:val="clear" w:pos="720"/>
        <w:tab w:val="left" w:pos="5851" w:leader="none"/>
        <w:tab w:val="left" w:pos="9343" w:leader="none"/>
      </w:tabs>
      <w:ind w:right="0"/>
      <w:jc w:val="center"/>
      <w:rPr>
        <w:rFonts w:ascii="Times New Roman" w:hAnsi="Times New Roman" w:cs="Times New Roman"/>
        <w:b/>
        <w:bCs/>
        <w:color w:val="000000"/>
        <w:sz w:val="18"/>
        <w:szCs w:val="18"/>
      </w:rPr>
    </w:pPr>
    <w:r>
      <w:rPr>
        <w:rFonts w:cs="Times New Roman" w:ascii="Times New Roman" w:hAnsi="Times New Roman"/>
        <w:b/>
        <w:bCs/>
        <w:color w:val="000000"/>
        <w:sz w:val="18"/>
        <w:szCs w:val="18"/>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lang w:val="en-US" w:eastAsia="en-US"/>
      </w:rPr>
    </w:pPr>
    <w:r>
      <w:rPr>
        <w:lang w:val="en-US" w:eastAsia="en-US"/>
      </w:rPr>
      <w:drawing>
        <wp:anchor behindDoc="1" distT="0" distB="0" distL="114935" distR="114935" simplePos="0" locked="0" layoutInCell="0" allowOverlap="1" relativeHeight="10">
          <wp:simplePos x="0" y="0"/>
          <wp:positionH relativeFrom="margin">
            <wp:posOffset>3442335</wp:posOffset>
          </wp:positionH>
          <wp:positionV relativeFrom="paragraph">
            <wp:posOffset>207010</wp:posOffset>
          </wp:positionV>
          <wp:extent cx="1068705" cy="989330"/>
          <wp:effectExtent l="0" t="0" r="0" b="0"/>
          <wp:wrapNone/>
          <wp:docPr id="5" name="Picture 13928144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92814433" descr=""/>
                  <pic:cNvPicPr>
                    <a:picLocks noChangeAspect="1" noChangeArrowheads="1"/>
                  </pic:cNvPicPr>
                </pic:nvPicPr>
                <pic:blipFill>
                  <a:blip r:embed="rId1"/>
                  <a:srcRect l="-2" t="-2" r="-2" b="-2"/>
                  <a:stretch>
                    <a:fillRect/>
                  </a:stretch>
                </pic:blipFill>
                <pic:spPr bwMode="auto">
                  <a:xfrm>
                    <a:off x="0" y="0"/>
                    <a:ext cx="1068705" cy="989330"/>
                  </a:xfrm>
                  <a:prstGeom prst="rect">
                    <a:avLst/>
                  </a:prstGeom>
                </pic:spPr>
              </pic:pic>
            </a:graphicData>
          </a:graphic>
        </wp:anchor>
      </w:drawing>
      <w:drawing>
        <wp:anchor behindDoc="1" distT="0" distB="0" distL="114935" distR="114935" simplePos="0" locked="0" layoutInCell="1" allowOverlap="1" relativeHeight="13">
          <wp:simplePos x="0" y="0"/>
          <wp:positionH relativeFrom="column">
            <wp:posOffset>2322195</wp:posOffset>
          </wp:positionH>
          <wp:positionV relativeFrom="paragraph">
            <wp:posOffset>205740</wp:posOffset>
          </wp:positionV>
          <wp:extent cx="1068070" cy="988695"/>
          <wp:effectExtent l="0" t="0" r="0" b="0"/>
          <wp:wrapNone/>
          <wp:docPr id="6" name="Picture 670178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70178891" descr=""/>
                  <pic:cNvPicPr>
                    <a:picLocks noChangeAspect="1" noChangeArrowheads="1"/>
                  </pic:cNvPicPr>
                </pic:nvPicPr>
                <pic:blipFill>
                  <a:blip r:embed="rId2"/>
                  <a:srcRect l="-8" t="-12" r="-8" b="-12"/>
                  <a:stretch>
                    <a:fillRect/>
                  </a:stretch>
                </pic:blipFill>
                <pic:spPr bwMode="auto">
                  <a:xfrm>
                    <a:off x="0" y="0"/>
                    <a:ext cx="1068070" cy="988695"/>
                  </a:xfrm>
                  <a:prstGeom prst="rect">
                    <a:avLst/>
                  </a:prstGeom>
                </pic:spPr>
              </pic:pic>
            </a:graphicData>
          </a:graphic>
        </wp:anchor>
      </w:drawing>
    </w:r>
    <w:r>
      <mc:AlternateContent>
        <mc:Choice Requires="wps">
          <w:drawing>
            <wp:anchor behindDoc="1" distT="0" distB="0" distL="114935" distR="114935" simplePos="0" locked="0" layoutInCell="1" allowOverlap="1" relativeHeight="7">
              <wp:simplePos x="0" y="0"/>
              <wp:positionH relativeFrom="column">
                <wp:posOffset>3685540</wp:posOffset>
              </wp:positionH>
              <wp:positionV relativeFrom="paragraph">
                <wp:posOffset>117475</wp:posOffset>
              </wp:positionV>
              <wp:extent cx="2872105" cy="1219200"/>
              <wp:effectExtent l="0" t="0" r="0" b="0"/>
              <wp:wrapNone/>
              <wp:docPr id="7" name="Frame3"/>
              <a:graphic xmlns:a="http://schemas.openxmlformats.org/drawingml/2006/main">
                <a:graphicData uri="http://schemas.microsoft.com/office/word/2010/wordprocessingShape">
                  <wps:wsp>
                    <wps:cNvSpPr txBox="1"/>
                    <wps:spPr>
                      <a:xfrm>
                        <a:off x="0" y="0"/>
                        <a:ext cx="2872105" cy="1219200"/>
                      </a:xfrm>
                      <a:prstGeom prst="rect"/>
                      <a:solidFill>
                        <a:srgbClr val="FFFFFF"/>
                      </a:solidFill>
                    </wps:spPr>
                    <wps:txbx>
                      <w:txbxContent>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المملكة العربية السعودية</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وزارة التعليم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جامعة الجوف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اللجنة الدائمة لأخلاقيات البحث العلمي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مسجلة بتاريخ </w:t>
                          </w:r>
                          <w:r>
                            <w:rPr>
                              <w:rFonts w:ascii="Times New Roman" w:hAnsi="Times New Roman" w:cs="Times New Roman"/>
                              <w:b/>
                              <w:b/>
                              <w:bCs/>
                              <w:color w:val="000000"/>
                              <w:sz w:val="24"/>
                              <w:sz w:val="24"/>
                              <w:szCs w:val="24"/>
                            </w:rPr>
                            <w:t>٠٣</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١٠</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١٤٣٤</w:t>
                          </w:r>
                          <w:r>
                            <w:rPr>
                              <w:rFonts w:ascii="Times New Roman" w:hAnsi="Times New Roman" w:cs="Times New Roman"/>
                              <w:b/>
                              <w:b/>
                              <w:bCs/>
                              <w:color w:val="000000"/>
                              <w:sz w:val="24"/>
                              <w:sz w:val="24"/>
                              <w:szCs w:val="24"/>
                              <w:rtl w:val="true"/>
                            </w:rPr>
                            <w:t xml:space="preserve">هـ </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HAPO-13-S-001</w:t>
                          </w:r>
                          <w:r>
                            <w:rPr>
                              <w:rFonts w:cs="Times New Roman" w:ascii="Times New Roman" w:hAnsi="Times New Roman"/>
                              <w:b/>
                              <w:bCs/>
                              <w:color w:val="000000"/>
                              <w:sz w:val="24"/>
                              <w:szCs w:val="24"/>
                              <w:rtl w:val="true"/>
                            </w:rPr>
                            <w:t>)</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r>
                        </w:p>
                      </w:txbxContent>
                    </wps:txbx>
                    <wps:bodyPr anchor="t" lIns="92075" tIns="46355" rIns="92075" bIns="46355">
                      <a:noAutofit/>
                    </wps:bodyPr>
                  </wps:wsp>
                </a:graphicData>
              </a:graphic>
            </wp:anchor>
          </w:drawing>
        </mc:Choice>
        <mc:Fallback>
          <w:pict>
            <v:rect fillcolor="#FFFFFF" style="position:absolute;rotation:-0;width:226.15pt;height:96pt;mso-wrap-distance-left:9.05pt;mso-wrap-distance-right:9.05pt;mso-wrap-distance-top:0pt;mso-wrap-distance-bottom:0pt;margin-top:9.25pt;mso-position-vertical-relative:text;margin-left:290.2pt;mso-position-horizontal-relative:text">
              <v:textbox inset="0.100694444444444in,0.0506944444444444in,0.100694444444444in,0.0506944444444444in">
                <w:txbxContent>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المملكة العربية السعودية</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وزارة التعليم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جامعة الجوف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اللجنة الدائمة لأخلاقيات البحث العلمي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مسجلة بتاريخ </w:t>
                    </w:r>
                    <w:r>
                      <w:rPr>
                        <w:rFonts w:ascii="Times New Roman" w:hAnsi="Times New Roman" w:cs="Times New Roman"/>
                        <w:b/>
                        <w:b/>
                        <w:bCs/>
                        <w:color w:val="000000"/>
                        <w:sz w:val="24"/>
                        <w:sz w:val="24"/>
                        <w:szCs w:val="24"/>
                      </w:rPr>
                      <w:t>٠٣</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١٠</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١٤٣٤</w:t>
                    </w:r>
                    <w:r>
                      <w:rPr>
                        <w:rFonts w:ascii="Times New Roman" w:hAnsi="Times New Roman" w:cs="Times New Roman"/>
                        <w:b/>
                        <w:b/>
                        <w:bCs/>
                        <w:color w:val="000000"/>
                        <w:sz w:val="24"/>
                        <w:sz w:val="24"/>
                        <w:szCs w:val="24"/>
                        <w:rtl w:val="true"/>
                      </w:rPr>
                      <w:t xml:space="preserve">هـ </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HAPO-13-S-001</w:t>
                    </w:r>
                    <w:r>
                      <w:rPr>
                        <w:rFonts w:cs="Times New Roman" w:ascii="Times New Roman" w:hAnsi="Times New Roman"/>
                        <w:b/>
                        <w:bCs/>
                        <w:color w:val="000000"/>
                        <w:sz w:val="24"/>
                        <w:szCs w:val="24"/>
                        <w:rtl w:val="true"/>
                      </w:rPr>
                      <w:t>)</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r>
                  </w:p>
                </w:txbxContent>
              </v:textbox>
              <w10:wrap type="none"/>
            </v:rect>
          </w:pict>
        </mc:Fallback>
      </mc:AlternateContent>
    </w:r>
    <w:r>
      <mc:AlternateContent>
        <mc:Choice Requires="wps">
          <w:drawing>
            <wp:anchor behindDoc="1" distT="0" distB="0" distL="114935" distR="114935" simplePos="0" locked="0" layoutInCell="1" allowOverlap="1" relativeHeight="16">
              <wp:simplePos x="0" y="0"/>
              <wp:positionH relativeFrom="column">
                <wp:posOffset>-566420</wp:posOffset>
              </wp:positionH>
              <wp:positionV relativeFrom="paragraph">
                <wp:posOffset>117475</wp:posOffset>
              </wp:positionV>
              <wp:extent cx="2891155" cy="1170305"/>
              <wp:effectExtent l="0" t="0" r="0" b="0"/>
              <wp:wrapNone/>
              <wp:docPr id="8" name="Frame2"/>
              <a:graphic xmlns:a="http://schemas.openxmlformats.org/drawingml/2006/main">
                <a:graphicData uri="http://schemas.microsoft.com/office/word/2010/wordprocessingShape">
                  <wps:wsp>
                    <wps:cNvSpPr txBox="1"/>
                    <wps:spPr>
                      <a:xfrm>
                        <a:off x="0" y="0"/>
                        <a:ext cx="2891155" cy="1170305"/>
                      </a:xfrm>
                      <a:prstGeom prst="rect"/>
                      <a:solidFill>
                        <a:srgbClr val="FFFFFF"/>
                      </a:solidFill>
                    </wps:spPr>
                    <wps:txbx>
                      <w:txbxContent>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Kingdom of Saudi Arabia</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Ministry of Education</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Jouf University</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Permanent Committee of Ethics</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Registered in 03/10/1434 H</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No. HAPO-13-S-001</w:t>
                          </w:r>
                          <w:r>
                            <w:rPr>
                              <w:rFonts w:cs="Times New Roman" w:ascii="Times New Roman" w:hAnsi="Times New Roman"/>
                              <w:b/>
                              <w:bCs/>
                              <w:color w:val="000000"/>
                              <w:sz w:val="24"/>
                              <w:szCs w:val="24"/>
                              <w:rtl w:val="true"/>
                            </w:rPr>
                            <w:t>)</w:t>
                          </w:r>
                        </w:p>
                      </w:txbxContent>
                    </wps:txbx>
                    <wps:bodyPr anchor="t" lIns="92075" tIns="46355" rIns="92075" bIns="46355">
                      <a:noAutofit/>
                    </wps:bodyPr>
                  </wps:wsp>
                </a:graphicData>
              </a:graphic>
            </wp:anchor>
          </w:drawing>
        </mc:Choice>
        <mc:Fallback>
          <w:pict>
            <v:rect fillcolor="#FFFFFF" style="position:absolute;rotation:-0;width:227.65pt;height:92.15pt;mso-wrap-distance-left:9.05pt;mso-wrap-distance-right:9.05pt;mso-wrap-distance-top:0pt;mso-wrap-distance-bottom:0pt;margin-top:9.25pt;mso-position-vertical-relative:text;margin-left:-44.6pt;mso-position-horizontal-relative:text">
              <v:textbox inset="0.100694444444444in,0.0506944444444444in,0.100694444444444in,0.0506944444444444in">
                <w:txbxContent>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Kingdom of Saudi Arabia</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Ministry of Education</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Jouf University</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Permanent Committee of Ethics</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Registered in 03/10/1434 H</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No. HAPO-13-S-001</w:t>
                    </w:r>
                    <w:r>
                      <w:rPr>
                        <w:rFonts w:cs="Times New Roman" w:ascii="Times New Roman" w:hAnsi="Times New Roman"/>
                        <w:b/>
                        <w:bCs/>
                        <w:color w:val="000000"/>
                        <w:sz w:val="24"/>
                        <w:szCs w:val="24"/>
                        <w:rtl w:val="true"/>
                      </w:rPr>
                      <w: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Roman"/>
      <w:lvlText w:val="%1."/>
      <w:lvlJc w:val="right"/>
      <w:pPr>
        <w:tabs>
          <w:tab w:val="num" w:pos="0"/>
        </w:tabs>
        <w:ind w:left="360" w:hanging="360"/>
      </w:pPr>
      <w:rPr>
        <w:sz w:val="28"/>
        <w:b/>
        <w:szCs w:val="28"/>
        <w:bCs/>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left="0" w:right="0"/>
      <w:jc w:val="left"/>
    </w:pPr>
    <w:rPr>
      <w:rFonts w:ascii="Calibri" w:hAnsi="Calibri" w:eastAsia="Calibri" w:cs="Arial"/>
      <w:color w:val="auto"/>
      <w:sz w:val="22"/>
      <w:szCs w:val="22"/>
      <w:lang w:val="en-US" w:bidi="ar-SA" w:eastAsia="zh-CN"/>
    </w:rPr>
  </w:style>
  <w:style w:type="paragraph" w:styleId="Heading1">
    <w:name w:val="Heading 1"/>
    <w:basedOn w:val="Normal"/>
    <w:next w:val="Normal"/>
    <w:qFormat/>
    <w:pPr>
      <w:keepNext w:val="true"/>
      <w:numPr>
        <w:ilvl w:val="0"/>
        <w:numId w:val="1"/>
      </w:numPr>
      <w:spacing w:before="240" w:after="60"/>
      <w:ind w:hanging="0" w:left="0" w:right="0"/>
      <w:jc w:val="left"/>
      <w:outlineLvl w:val="0"/>
    </w:pPr>
    <w:rPr>
      <w:rFonts w:ascii="Aptos Display;Arial" w:hAnsi="Aptos Display;Arial" w:eastAsia="Times New Roman" w:cs="Times New Roman"/>
      <w:b/>
      <w:bCs/>
      <w:kern w:val="2"/>
      <w:sz w:val="32"/>
      <w:szCs w:val="32"/>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Times New Roman" w:cs="Times New Roman"/>
      <w:b/>
      <w:bCs/>
      <w:color w:val="4F81BD"/>
      <w:sz w:val="26"/>
      <w:szCs w:val="26"/>
      <w:lang w:val="en-US"/>
    </w:rPr>
  </w:style>
  <w:style w:type="character" w:styleId="WW8Num1z0">
    <w:name w:val="WW8Num1z0"/>
    <w:qFormat/>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rFonts w:ascii="Wingdings" w:hAnsi="Wingdings"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z w:val="20"/>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style>
  <w:style w:type="character" w:styleId="WW8Num24z0">
    <w:name w:val="WW8Num24z0"/>
    <w:qFormat/>
    <w:rPr>
      <w:b/>
      <w:bCs/>
      <w:sz w:val="28"/>
      <w:szCs w:val="28"/>
    </w:rPr>
  </w:style>
  <w:style w:type="character" w:styleId="Style12">
    <w:name w:val="خط الفقرة الافتراضي"/>
    <w:qFormat/>
    <w:rPr/>
  </w:style>
  <w:style w:type="character" w:styleId="Char">
    <w:name w:val="رأس الصفحة Char"/>
    <w:basedOn w:val="Style12"/>
    <w:qFormat/>
    <w:rPr/>
  </w:style>
  <w:style w:type="character" w:styleId="Char1">
    <w:name w:val="تذييل الصفحة Char"/>
    <w:basedOn w:val="Style12"/>
    <w:qFormat/>
    <w:rPr/>
  </w:style>
  <w:style w:type="character" w:styleId="Char2">
    <w:name w:val="نص في بالون Char"/>
    <w:qFormat/>
    <w:rPr>
      <w:rFonts w:ascii="Tahoma" w:hAnsi="Tahoma" w:cs="Tahoma"/>
      <w:sz w:val="16"/>
      <w:szCs w:val="16"/>
    </w:rPr>
  </w:style>
  <w:style w:type="character" w:styleId="2Char">
    <w:name w:val="عنوان 2 Char"/>
    <w:qFormat/>
    <w:rPr>
      <w:rFonts w:ascii="Cambria" w:hAnsi="Cambria" w:eastAsia="Times New Roman" w:cs="Times New Roman"/>
      <w:b/>
      <w:bCs/>
      <w:color w:val="4F81BD"/>
      <w:sz w:val="26"/>
      <w:szCs w:val="26"/>
    </w:rPr>
  </w:style>
  <w:style w:type="character" w:styleId="1Char">
    <w:name w:val="العنوان 1 Char"/>
    <w:qFormat/>
    <w:rPr>
      <w:rFonts w:ascii="Aptos Display;Arial" w:hAnsi="Aptos Display;Arial" w:eastAsia="Times New Roman" w:cs="Times New Roman"/>
      <w:b/>
      <w:bCs/>
      <w:kern w:val="2"/>
      <w:sz w:val="32"/>
      <w:szCs w:val="32"/>
      <w:lang w:val="en-US"/>
    </w:rPr>
  </w:style>
  <w:style w:type="character" w:styleId="Hyperlink">
    <w:name w:val="Hyperlink"/>
    <w:rPr>
      <w:color w:val="0000FF"/>
      <w:u w:val="single"/>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3">
    <w:name w:val=" سرد الفقرات"/>
    <w:basedOn w:val="Normal"/>
    <w:qFormat/>
    <w:pPr>
      <w:spacing w:before="0" w:after="200"/>
      <w:ind w:hanging="0" w:left="720" w:right="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Style14">
    <w:name w:val="نص في بالون"/>
    <w:basedOn w:val="Normal"/>
    <w:qFormat/>
    <w:pPr>
      <w:spacing w:lineRule="auto" w:line="240" w:before="0" w:after="0"/>
    </w:pPr>
    <w:rPr>
      <w:rFonts w:ascii="Tahoma" w:hAnsi="Tahoma" w:cs="Times New Roman"/>
      <w:sz w:val="16"/>
      <w:szCs w:val="16"/>
      <w:lang w:val="en-US"/>
    </w:rPr>
  </w:style>
  <w:style w:type="paragraph" w:styleId="Style15">
    <w:name w:val="عادي (ويب)"/>
    <w:basedOn w:val="Normal"/>
    <w:qFormat/>
    <w:pPr>
      <w:bidi w:val="0"/>
      <w:spacing w:lineRule="auto" w:line="240" w:before="280" w:after="280"/>
      <w:jc w:val="left"/>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tel: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2018-02-12T16:25:00Z</dcterms:created>
  <dc:creator>xp</dc:creator>
  <dc:description/>
  <cp:keywords/>
  <dc:language>en-US</dc:language>
  <cp:lastModifiedBy>SULAIMAN AWADH ALI ALANAZI</cp:lastModifiedBy>
  <cp:lastPrinted>2021-01-20T17:00:00Z</cp:lastPrinted>
  <dcterms:modified xsi:type="dcterms:W3CDTF">2025-09-08T06:38:00Z</dcterms:modified>
  <cp:revision>60</cp:revision>
  <dc:subject/>
  <dc:title/>
</cp:coreProperties>
</file>