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8"/>
        </w:rPr>
        <w:t>Appendix G – Gantt Chart: Consent in Motion (12-month timeline from ethical approval)</w:t>
      </w:r>
    </w:p>
    <w:p>
      <w:r>
        <w:rPr>
          <w:rFonts w:ascii="Times New Roman" w:hAnsi="Times New Roman"/>
          <w:i/>
          <w:sz w:val="18"/>
        </w:rPr>
        <w:t>Shaded cells show the planned months of each activity. Timing matches Section 11 of the Research Protocol (Form 1). No data collection begins before written ethical approval. Principal investigator: Mutairah Alamlah Alshammari.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5386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Activity</w:t>
            </w:r>
          </w:p>
        </w:tc>
        <w:tc>
          <w:tcPr>
            <w:tcW w:type="dxa" w:w="907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M1</w:t>
            </w:r>
          </w:p>
        </w:tc>
        <w:tc>
          <w:tcPr>
            <w:tcW w:type="dxa" w:w="907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M2</w:t>
            </w:r>
          </w:p>
        </w:tc>
        <w:tc>
          <w:tcPr>
            <w:tcW w:type="dxa" w:w="907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M3</w:t>
            </w:r>
          </w:p>
        </w:tc>
        <w:tc>
          <w:tcPr>
            <w:tcW w:type="dxa" w:w="907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M4</w:t>
            </w:r>
          </w:p>
        </w:tc>
        <w:tc>
          <w:tcPr>
            <w:tcW w:type="dxa" w:w="907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M5</w:t>
            </w:r>
          </w:p>
        </w:tc>
        <w:tc>
          <w:tcPr>
            <w:tcW w:type="dxa" w:w="907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M6</w:t>
            </w:r>
          </w:p>
        </w:tc>
        <w:tc>
          <w:tcPr>
            <w:tcW w:type="dxa" w:w="907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M7</w:t>
            </w:r>
          </w:p>
        </w:tc>
        <w:tc>
          <w:tcPr>
            <w:tcW w:type="dxa" w:w="907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M8</w:t>
            </w:r>
          </w:p>
        </w:tc>
        <w:tc>
          <w:tcPr>
            <w:tcW w:type="dxa" w:w="907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M9</w:t>
            </w:r>
          </w:p>
        </w:tc>
        <w:tc>
          <w:tcPr>
            <w:tcW w:type="dxa" w:w="907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M10</w:t>
            </w:r>
          </w:p>
        </w:tc>
        <w:tc>
          <w:tcPr>
            <w:tcW w:type="dxa" w:w="907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M11</w:t>
            </w:r>
          </w:p>
        </w:tc>
        <w:tc>
          <w:tcPr>
            <w:tcW w:type="dxa" w:w="907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M12</w:t>
            </w:r>
          </w:p>
        </w:tc>
      </w:tr>
      <w:tr>
        <w:tc>
          <w:tcPr>
            <w:tcW w:type="dxa" w:w="5386"/>
          </w:tcPr>
          <w:p>
            <w:r>
              <w:rPr>
                <w:rFonts w:ascii="Times New Roman" w:hAnsi="Times New Roman"/>
                <w:sz w:val="17"/>
              </w:rPr>
              <w:t>Ethical approval (Jouf University Permanent Committee) and hospital permissions</w:t>
            </w:r>
          </w:p>
        </w:tc>
        <w:tc>
          <w:tcPr>
            <w:tcW w:type="dxa" w:w="907"/>
            <w:shd w:val="clear" w:color="auto" w:fill="A6A6A6"/>
          </w:tcPr>
          <w:p>
            <w:r/>
          </w:p>
        </w:tc>
        <w:tc>
          <w:tcPr>
            <w:tcW w:type="dxa" w:w="907"/>
            <w:shd w:val="clear" w:color="auto" w:fill="A6A6A6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5386"/>
          </w:tcPr>
          <w:p>
            <w:r>
              <w:rPr>
                <w:rFonts w:ascii="Times New Roman" w:hAnsi="Times New Roman"/>
                <w:sz w:val="17"/>
              </w:rPr>
              <w:t>Translation and back-translation of guides, invitations and consent forms</w:t>
            </w:r>
          </w:p>
        </w:tc>
        <w:tc>
          <w:tcPr>
            <w:tcW w:type="dxa" w:w="907"/>
            <w:shd w:val="clear" w:color="auto" w:fill="A6A6A6"/>
          </w:tcPr>
          <w:p>
            <w:r/>
          </w:p>
        </w:tc>
        <w:tc>
          <w:tcPr>
            <w:tcW w:type="dxa" w:w="907"/>
            <w:shd w:val="clear" w:color="auto" w:fill="A6A6A6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5386"/>
          </w:tcPr>
          <w:p>
            <w:r>
              <w:rPr>
                <w:rFonts w:ascii="Times New Roman" w:hAnsi="Times New Roman"/>
                <w:sz w:val="17"/>
              </w:rPr>
              <w:t>Pilot interviews (one woman, one nurse; excluded from sample) and guide refinement</w:t>
            </w:r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  <w:shd w:val="clear" w:color="auto" w:fill="A6A6A6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5386"/>
          </w:tcPr>
          <w:p>
            <w:r>
              <w:rPr>
                <w:rFonts w:ascii="Times New Roman" w:hAnsi="Times New Roman"/>
                <w:sz w:val="17"/>
              </w:rPr>
              <w:t>Recruitment of women and interviews (in person 24–72 h after first mobilisation; telephone within 14 days of discharge)</w:t>
            </w:r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  <w:shd w:val="clear" w:color="auto" w:fill="5B9BD5"/>
          </w:tcPr>
          <w:p>
            <w:r/>
          </w:p>
        </w:tc>
        <w:tc>
          <w:tcPr>
            <w:tcW w:type="dxa" w:w="907"/>
            <w:shd w:val="clear" w:color="auto" w:fill="5B9BD5"/>
          </w:tcPr>
          <w:p>
            <w:r/>
          </w:p>
        </w:tc>
        <w:tc>
          <w:tcPr>
            <w:tcW w:type="dxa" w:w="907"/>
            <w:shd w:val="clear" w:color="auto" w:fill="5B9BD5"/>
          </w:tcPr>
          <w:p>
            <w:r/>
          </w:p>
        </w:tc>
        <w:tc>
          <w:tcPr>
            <w:tcW w:type="dxa" w:w="907"/>
            <w:shd w:val="clear" w:color="auto" w:fill="5B9BD5"/>
          </w:tcPr>
          <w:p>
            <w:r/>
          </w:p>
        </w:tc>
        <w:tc>
          <w:tcPr>
            <w:tcW w:type="dxa" w:w="907"/>
            <w:shd w:val="clear" w:color="auto" w:fill="5B9BD5"/>
          </w:tcPr>
          <w:p>
            <w:r/>
          </w:p>
        </w:tc>
        <w:tc>
          <w:tcPr>
            <w:tcW w:type="dxa" w:w="907"/>
            <w:shd w:val="clear" w:color="auto" w:fill="5B9BD5"/>
          </w:tcPr>
          <w:p>
            <w:r/>
          </w:p>
        </w:tc>
        <w:tc>
          <w:tcPr>
            <w:tcW w:type="dxa" w:w="907"/>
            <w:shd w:val="clear" w:color="auto" w:fill="5B9BD5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5386"/>
          </w:tcPr>
          <w:p>
            <w:r>
              <w:rPr>
                <w:rFonts w:ascii="Times New Roman" w:hAnsi="Times New Roman"/>
                <w:sz w:val="17"/>
              </w:rPr>
              <w:t>Recruitment of nurses and physiotherapists and interviews</w:t>
            </w:r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  <w:shd w:val="clear" w:color="auto" w:fill="5B9BD5"/>
          </w:tcPr>
          <w:p>
            <w:r/>
          </w:p>
        </w:tc>
        <w:tc>
          <w:tcPr>
            <w:tcW w:type="dxa" w:w="907"/>
            <w:shd w:val="clear" w:color="auto" w:fill="5B9BD5"/>
          </w:tcPr>
          <w:p>
            <w:r/>
          </w:p>
        </w:tc>
        <w:tc>
          <w:tcPr>
            <w:tcW w:type="dxa" w:w="907"/>
            <w:shd w:val="clear" w:color="auto" w:fill="5B9BD5"/>
          </w:tcPr>
          <w:p>
            <w:r/>
          </w:p>
        </w:tc>
        <w:tc>
          <w:tcPr>
            <w:tcW w:type="dxa" w:w="907"/>
            <w:shd w:val="clear" w:color="auto" w:fill="5B9BD5"/>
          </w:tcPr>
          <w:p>
            <w:r/>
          </w:p>
        </w:tc>
        <w:tc>
          <w:tcPr>
            <w:tcW w:type="dxa" w:w="907"/>
            <w:shd w:val="clear" w:color="auto" w:fill="5B9BD5"/>
          </w:tcPr>
          <w:p>
            <w:r/>
          </w:p>
        </w:tc>
        <w:tc>
          <w:tcPr>
            <w:tcW w:type="dxa" w:w="907"/>
            <w:shd w:val="clear" w:color="auto" w:fill="5B9BD5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5386"/>
          </w:tcPr>
          <w:p>
            <w:r>
              <w:rPr>
                <w:rFonts w:ascii="Times New Roman" w:hAnsi="Times New Roman"/>
                <w:sz w:val="17"/>
              </w:rPr>
              <w:t>Verbatim transcription (within two weeks of each interview)</w:t>
            </w:r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  <w:shd w:val="clear" w:color="auto" w:fill="9DC3E6"/>
          </w:tcPr>
          <w:p>
            <w:r/>
          </w:p>
        </w:tc>
        <w:tc>
          <w:tcPr>
            <w:tcW w:type="dxa" w:w="907"/>
            <w:shd w:val="clear" w:color="auto" w:fill="9DC3E6"/>
          </w:tcPr>
          <w:p>
            <w:r/>
          </w:p>
        </w:tc>
        <w:tc>
          <w:tcPr>
            <w:tcW w:type="dxa" w:w="907"/>
            <w:shd w:val="clear" w:color="auto" w:fill="9DC3E6"/>
          </w:tcPr>
          <w:p>
            <w:r/>
          </w:p>
        </w:tc>
        <w:tc>
          <w:tcPr>
            <w:tcW w:type="dxa" w:w="907"/>
            <w:shd w:val="clear" w:color="auto" w:fill="9DC3E6"/>
          </w:tcPr>
          <w:p>
            <w:r/>
          </w:p>
        </w:tc>
        <w:tc>
          <w:tcPr>
            <w:tcW w:type="dxa" w:w="907"/>
            <w:shd w:val="clear" w:color="auto" w:fill="9DC3E6"/>
          </w:tcPr>
          <w:p>
            <w:r/>
          </w:p>
        </w:tc>
        <w:tc>
          <w:tcPr>
            <w:tcW w:type="dxa" w:w="907"/>
            <w:shd w:val="clear" w:color="auto" w:fill="9DC3E6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5386"/>
          </w:tcPr>
          <w:p>
            <w:r>
              <w:rPr>
                <w:rFonts w:ascii="Times New Roman" w:hAnsi="Times New Roman"/>
                <w:sz w:val="17"/>
              </w:rPr>
              <w:t>Concurrent contextual coding, memos and constant comparison (NVivo 14)</w:t>
            </w:r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  <w:shd w:val="clear" w:color="auto" w:fill="9DC3E6"/>
          </w:tcPr>
          <w:p>
            <w:r/>
          </w:p>
        </w:tc>
        <w:tc>
          <w:tcPr>
            <w:tcW w:type="dxa" w:w="907"/>
            <w:shd w:val="clear" w:color="auto" w:fill="9DC3E6"/>
          </w:tcPr>
          <w:p>
            <w:r/>
          </w:p>
        </w:tc>
        <w:tc>
          <w:tcPr>
            <w:tcW w:type="dxa" w:w="907"/>
            <w:shd w:val="clear" w:color="auto" w:fill="9DC3E6"/>
          </w:tcPr>
          <w:p>
            <w:r/>
          </w:p>
        </w:tc>
        <w:tc>
          <w:tcPr>
            <w:tcW w:type="dxa" w:w="907"/>
            <w:shd w:val="clear" w:color="auto" w:fill="9DC3E6"/>
          </w:tcPr>
          <w:p>
            <w:r/>
          </w:p>
        </w:tc>
        <w:tc>
          <w:tcPr>
            <w:tcW w:type="dxa" w:w="907"/>
            <w:shd w:val="clear" w:color="auto" w:fill="9DC3E6"/>
          </w:tcPr>
          <w:p>
            <w:r/>
          </w:p>
        </w:tc>
        <w:tc>
          <w:tcPr>
            <w:tcW w:type="dxa" w:w="907"/>
            <w:shd w:val="clear" w:color="auto" w:fill="9DC3E6"/>
          </w:tcPr>
          <w:p>
            <w:r/>
          </w:p>
        </w:tc>
        <w:tc>
          <w:tcPr>
            <w:tcW w:type="dxa" w:w="907"/>
            <w:shd w:val="clear" w:color="auto" w:fill="9DC3E6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5386"/>
          </w:tcPr>
          <w:p>
            <w:r>
              <w:rPr>
                <w:rFonts w:ascii="Times New Roman" w:hAnsi="Times New Roman"/>
                <w:sz w:val="17"/>
              </w:rPr>
              <w:t>Independent coding of six transcripts and quotation checking</w:t>
            </w:r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  <w:shd w:val="clear" w:color="auto" w:fill="FFC000"/>
          </w:tcPr>
          <w:p>
            <w:r/>
          </w:p>
        </w:tc>
        <w:tc>
          <w:tcPr>
            <w:tcW w:type="dxa" w:w="907"/>
            <w:shd w:val="clear" w:color="auto" w:fill="FFC000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5386"/>
          </w:tcPr>
          <w:p>
            <w:r>
              <w:rPr>
                <w:rFonts w:ascii="Times New Roman" w:hAnsi="Times New Roman"/>
                <w:sz w:val="17"/>
              </w:rPr>
              <w:t>Group-by-pattern and contextual matrices; discrepant-case analysis</w:t>
            </w:r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  <w:shd w:val="clear" w:color="auto" w:fill="A9D18E"/>
          </w:tcPr>
          <w:p>
            <w:r/>
          </w:p>
        </w:tc>
        <w:tc>
          <w:tcPr>
            <w:tcW w:type="dxa" w:w="907"/>
            <w:shd w:val="clear" w:color="auto" w:fill="A9D18E"/>
          </w:tcPr>
          <w:p>
            <w:r/>
          </w:p>
        </w:tc>
        <w:tc>
          <w:tcPr>
            <w:tcW w:type="dxa" w:w="907"/>
            <w:shd w:val="clear" w:color="auto" w:fill="A9D18E"/>
          </w:tcPr>
          <w:p>
            <w:r/>
          </w:p>
        </w:tc>
        <w:tc>
          <w:tcPr>
            <w:tcW w:type="dxa" w:w="907"/>
            <w:shd w:val="clear" w:color="auto" w:fill="A9D18E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5386"/>
          </w:tcPr>
          <w:p>
            <w:r>
              <w:rPr>
                <w:rFonts w:ascii="Times New Roman" w:hAnsi="Times New Roman"/>
                <w:sz w:val="17"/>
              </w:rPr>
              <w:t>Interpretation, theory development and integration with literature</w:t>
            </w:r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  <w:shd w:val="clear" w:color="auto" w:fill="A9D18E"/>
          </w:tcPr>
          <w:p>
            <w:r/>
          </w:p>
        </w:tc>
        <w:tc>
          <w:tcPr>
            <w:tcW w:type="dxa" w:w="907"/>
            <w:shd w:val="clear" w:color="auto" w:fill="A9D18E"/>
          </w:tcPr>
          <w:p>
            <w:r/>
          </w:p>
        </w:tc>
        <w:tc>
          <w:tcPr>
            <w:tcW w:type="dxa" w:w="907"/>
            <w:shd w:val="clear" w:color="auto" w:fill="A9D18E"/>
          </w:tcPr>
          <w:p>
            <w:r/>
          </w:p>
        </w:tc>
        <w:tc>
          <w:tcPr>
            <w:tcW w:type="dxa" w:w="907"/>
            <w:shd w:val="clear" w:color="auto" w:fill="A9D18E"/>
          </w:tcPr>
          <w:p>
            <w:r/>
          </w:p>
        </w:tc>
        <w:tc>
          <w:tcPr>
            <w:tcW w:type="dxa" w:w="907"/>
            <w:shd w:val="clear" w:color="auto" w:fill="A9D18E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5386"/>
          </w:tcPr>
          <w:p>
            <w:r>
              <w:rPr>
                <w:rFonts w:ascii="Times New Roman" w:hAnsi="Times New Roman"/>
                <w:sz w:val="17"/>
              </w:rPr>
              <w:t>Fortnightly analytic discussions and audit trail (ongoing)</w:t>
            </w:r>
          </w:p>
        </w:tc>
        <w:tc>
          <w:tcPr>
            <w:tcW w:type="dxa" w:w="907"/>
            <w:shd w:val="clear" w:color="auto" w:fill="D9D9D9"/>
          </w:tcPr>
          <w:p>
            <w:r/>
          </w:p>
        </w:tc>
        <w:tc>
          <w:tcPr>
            <w:tcW w:type="dxa" w:w="907"/>
            <w:shd w:val="clear" w:color="auto" w:fill="D9D9D9"/>
          </w:tcPr>
          <w:p>
            <w:r/>
          </w:p>
        </w:tc>
        <w:tc>
          <w:tcPr>
            <w:tcW w:type="dxa" w:w="907"/>
            <w:shd w:val="clear" w:color="auto" w:fill="D9D9D9"/>
          </w:tcPr>
          <w:p>
            <w:r/>
          </w:p>
        </w:tc>
        <w:tc>
          <w:tcPr>
            <w:tcW w:type="dxa" w:w="907"/>
            <w:shd w:val="clear" w:color="auto" w:fill="D9D9D9"/>
          </w:tcPr>
          <w:p>
            <w:r/>
          </w:p>
        </w:tc>
        <w:tc>
          <w:tcPr>
            <w:tcW w:type="dxa" w:w="907"/>
            <w:shd w:val="clear" w:color="auto" w:fill="D9D9D9"/>
          </w:tcPr>
          <w:p>
            <w:r/>
          </w:p>
        </w:tc>
        <w:tc>
          <w:tcPr>
            <w:tcW w:type="dxa" w:w="907"/>
            <w:shd w:val="clear" w:color="auto" w:fill="D9D9D9"/>
          </w:tcPr>
          <w:p>
            <w:r/>
          </w:p>
        </w:tc>
        <w:tc>
          <w:tcPr>
            <w:tcW w:type="dxa" w:w="907"/>
            <w:shd w:val="clear" w:color="auto" w:fill="D9D9D9"/>
          </w:tcPr>
          <w:p>
            <w:r/>
          </w:p>
        </w:tc>
        <w:tc>
          <w:tcPr>
            <w:tcW w:type="dxa" w:w="907"/>
            <w:shd w:val="clear" w:color="auto" w:fill="D9D9D9"/>
          </w:tcPr>
          <w:p>
            <w:r/>
          </w:p>
        </w:tc>
        <w:tc>
          <w:tcPr>
            <w:tcW w:type="dxa" w:w="907"/>
            <w:shd w:val="clear" w:color="auto" w:fill="D9D9D9"/>
          </w:tcPr>
          <w:p>
            <w:r/>
          </w:p>
        </w:tc>
        <w:tc>
          <w:tcPr>
            <w:tcW w:type="dxa" w:w="907"/>
            <w:shd w:val="clear" w:color="auto" w:fill="D9D9D9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5386"/>
          </w:tcPr>
          <w:p>
            <w:r>
              <w:rPr>
                <w:rFonts w:ascii="Times New Roman" w:hAnsi="Times New Roman"/>
                <w:sz w:val="17"/>
              </w:rPr>
              <w:t>Progress reports and adverse-event reporting to the Committee (ongoing)</w:t>
            </w:r>
          </w:p>
        </w:tc>
        <w:tc>
          <w:tcPr>
            <w:tcW w:type="dxa" w:w="907"/>
            <w:shd w:val="clear" w:color="auto" w:fill="D9D9D9"/>
          </w:tcPr>
          <w:p>
            <w:r/>
          </w:p>
        </w:tc>
        <w:tc>
          <w:tcPr>
            <w:tcW w:type="dxa" w:w="907"/>
            <w:shd w:val="clear" w:color="auto" w:fill="D9D9D9"/>
          </w:tcPr>
          <w:p>
            <w:r/>
          </w:p>
        </w:tc>
        <w:tc>
          <w:tcPr>
            <w:tcW w:type="dxa" w:w="907"/>
            <w:shd w:val="clear" w:color="auto" w:fill="D9D9D9"/>
          </w:tcPr>
          <w:p>
            <w:r/>
          </w:p>
        </w:tc>
        <w:tc>
          <w:tcPr>
            <w:tcW w:type="dxa" w:w="907"/>
            <w:shd w:val="clear" w:color="auto" w:fill="D9D9D9"/>
          </w:tcPr>
          <w:p>
            <w:r/>
          </w:p>
        </w:tc>
        <w:tc>
          <w:tcPr>
            <w:tcW w:type="dxa" w:w="907"/>
            <w:shd w:val="clear" w:color="auto" w:fill="D9D9D9"/>
          </w:tcPr>
          <w:p>
            <w:r/>
          </w:p>
        </w:tc>
        <w:tc>
          <w:tcPr>
            <w:tcW w:type="dxa" w:w="907"/>
            <w:shd w:val="clear" w:color="auto" w:fill="D9D9D9"/>
          </w:tcPr>
          <w:p>
            <w:r/>
          </w:p>
        </w:tc>
        <w:tc>
          <w:tcPr>
            <w:tcW w:type="dxa" w:w="907"/>
            <w:shd w:val="clear" w:color="auto" w:fill="D9D9D9"/>
          </w:tcPr>
          <w:p>
            <w:r/>
          </w:p>
        </w:tc>
        <w:tc>
          <w:tcPr>
            <w:tcW w:type="dxa" w:w="907"/>
            <w:shd w:val="clear" w:color="auto" w:fill="D9D9D9"/>
          </w:tcPr>
          <w:p>
            <w:r/>
          </w:p>
        </w:tc>
        <w:tc>
          <w:tcPr>
            <w:tcW w:type="dxa" w:w="907"/>
            <w:shd w:val="clear" w:color="auto" w:fill="D9D9D9"/>
          </w:tcPr>
          <w:p>
            <w:r/>
          </w:p>
        </w:tc>
        <w:tc>
          <w:tcPr>
            <w:tcW w:type="dxa" w:w="907"/>
            <w:shd w:val="clear" w:color="auto" w:fill="D9D9D9"/>
          </w:tcPr>
          <w:p>
            <w:r/>
          </w:p>
        </w:tc>
        <w:tc>
          <w:tcPr>
            <w:tcW w:type="dxa" w:w="907"/>
            <w:shd w:val="clear" w:color="auto" w:fill="D9D9D9"/>
          </w:tcPr>
          <w:p>
            <w:r/>
          </w:p>
        </w:tc>
        <w:tc>
          <w:tcPr>
            <w:tcW w:type="dxa" w:w="907"/>
            <w:shd w:val="clear" w:color="auto" w:fill="D9D9D9"/>
          </w:tcPr>
          <w:p>
            <w:r/>
          </w:p>
        </w:tc>
      </w:tr>
      <w:tr>
        <w:tc>
          <w:tcPr>
            <w:tcW w:type="dxa" w:w="5386"/>
          </w:tcPr>
          <w:p>
            <w:r>
              <w:rPr>
                <w:rFonts w:ascii="Times New Roman" w:hAnsi="Times New Roman"/>
                <w:sz w:val="17"/>
              </w:rPr>
              <w:t>Manuscript preparation and COREQ reporting</w:t>
            </w:r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  <w:shd w:val="clear" w:color="auto" w:fill="F4B183"/>
          </w:tcPr>
          <w:p>
            <w:r/>
          </w:p>
        </w:tc>
        <w:tc>
          <w:tcPr>
            <w:tcW w:type="dxa" w:w="907"/>
            <w:shd w:val="clear" w:color="auto" w:fill="F4B183"/>
          </w:tcPr>
          <w:p>
            <w:r/>
          </w:p>
        </w:tc>
        <w:tc>
          <w:tcPr>
            <w:tcW w:type="dxa" w:w="907"/>
          </w:tcPr>
          <w:p>
            <w:r/>
          </w:p>
        </w:tc>
      </w:tr>
      <w:tr>
        <w:tc>
          <w:tcPr>
            <w:tcW w:type="dxa" w:w="5386"/>
          </w:tcPr>
          <w:p>
            <w:r>
              <w:rPr>
                <w:rFonts w:ascii="Times New Roman" w:hAnsi="Times New Roman"/>
                <w:sz w:val="17"/>
              </w:rPr>
              <w:t>Submission, dissemination and aggregated feedback to hospitals (if approved)</w:t>
            </w:r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907"/>
            <w:shd w:val="clear" w:color="auto" w:fill="F4B183"/>
          </w:tcPr>
          <w:p>
            <w:r/>
          </w:p>
        </w:tc>
        <w:tc>
          <w:tcPr>
            <w:tcW w:type="dxa" w:w="907"/>
            <w:shd w:val="clear" w:color="auto" w:fill="F4B183"/>
          </w:tcPr>
          <w:p>
            <w:r/>
          </w:p>
        </w:tc>
      </w:tr>
    </w:tbl>
    <w:p>
      <w:pPr>
        <w:spacing w:before="160"/>
      </w:pPr>
      <w:r>
        <w:rPr>
          <w:rFonts w:ascii="Times New Roman" w:hAnsi="Times New Roman"/>
          <w:sz w:val="17"/>
        </w:rPr>
        <w:t>Key: grey = preparation and ongoing governance; blue = data generation; light blue = transcription and analysis; yellow = independent coding check; green = interpretation; orange = reporting and dissemination.</w:t>
      </w:r>
    </w:p>
    <w:sectPr w:rsidR="00FC693F" w:rsidRPr="0006063C" w:rsidSect="00034616">
      <w:pgSz w:w="16838" w:h="11906" w:orient="landscape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