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 xml:space="preserve">Systematic Review</w:t>
      </w:r>
    </w:p>
    <w:p>
      <w:pPr>
        <w:pStyle w:val="MDPI12title"/>
      </w:pPr>
      <w:r>
        <w:t xml:space="preserve">Assisted Performance or Unaided Learning? A Systematic Review of Speech and Braille Technologies for School-Age Learners with Disabilities</w:t>
      </w:r>
    </w:p>
    <w:p>
      <w:pPr>
        <w:pStyle w:val="MDPI13authornames"/>
      </w:pPr>
      <w:r>
        <w:t xml:space="preserve">Ashit Kumar Dutta </w:t>
      </w:r>
      <w:r>
        <w:rPr>
          <w:vertAlign w:val="superscript"/>
        </w:rPr>
        <w:t xml:space="preserve">1,2,</w:t>
      </w:r>
      <w:r>
        <w:t xml:space="preserve">*</w:t>
      </w:r>
      <w:r>
        <w:t xml:space="preserve"> and Nasser Ali Aljarallah </w:t>
      </w:r>
      <w:r>
        <w:rPr>
          <w:vertAlign w:val="superscript"/>
        </w:rPr>
        <w:t xml:space="preserve">2,3</w:t>
      </w:r>
    </w:p>
    <w:tbl>
      <w:tblPr>
        <w:tblpPr w:leftFromText="198" w:rightFromText="198" w:vertAnchor="page" w:horzAnchor="margin" w:tblpY="11500"/>
        <w:tblW w:w="2410" w:type="dxa"/>
        <w:tblLayout w:type="fixed"/>
        <w:tblCellMar>
          <w:left w:w="0" w:type="dxa"/>
          <w:right w:w="0" w:type="dxa"/>
        </w:tblCellMar>
        <w:tblLook w:val="04A0" w:firstRow="1" w:lastRow="0" w:firstColumn="1" w:lastColumn="0" w:noHBand="0" w:noVBand="1"/>
      </w:tblPr>
      <w:tblGrid>
        <w:gridCol w:w="2410"/>
      </w:tblGrid>
      <w:tr w:rsidR="00B46F8E" w:rsidRPr="00093A5B" w14:paraId="1FC2C978" w14:textId="77777777" w:rsidTr="000E60BC">
        <w:tc>
          <w:tcPr>
            <w:tcW w:w="2410" w:type="dxa"/>
          </w:tcPr>
          <w:p w14:paraId="45CD2A81" w14:textId="77777777" w:rsidR="00B46F8E" w:rsidRPr="00093A5B" w:rsidRDefault="00B46F8E" w:rsidP="000E60BC">
            <w:pPr>
              <w:pStyle w:val="MDPI15academiceditor"/>
              <w:spacing w:before="0" w:after="120"/>
            </w:pPr>
            <w:r w:rsidRPr="00093A5B">
              <w:t>Academic Editor: Firstname Lastname</w:t>
            </w:r>
          </w:p>
          <w:p w14:paraId="6AE461CA" w14:textId="77777777" w:rsidR="00B46F8E" w:rsidRPr="00093A5B" w:rsidRDefault="00B46F8E" w:rsidP="000E60BC">
            <w:pPr>
              <w:pStyle w:val="MDPI14history"/>
              <w:spacing w:before="120"/>
            </w:pPr>
            <w:r w:rsidRPr="00093A5B">
              <w:t>Received: date</w:t>
            </w:r>
          </w:p>
          <w:p w14:paraId="568874CC" w14:textId="77777777" w:rsidR="00B46F8E" w:rsidRPr="00093A5B" w:rsidRDefault="00B46F8E" w:rsidP="000E60BC">
            <w:pPr>
              <w:pStyle w:val="MDPI14history"/>
            </w:pPr>
            <w:r w:rsidRPr="00093A5B">
              <w:t>Revised: date</w:t>
            </w:r>
          </w:p>
          <w:p w14:paraId="4BF59E09" w14:textId="77777777" w:rsidR="00B46F8E" w:rsidRPr="00093A5B" w:rsidRDefault="00B46F8E" w:rsidP="000E60BC">
            <w:pPr>
              <w:pStyle w:val="MDPI14history"/>
            </w:pPr>
            <w:r w:rsidRPr="00093A5B">
              <w:t>Accepted: date</w:t>
            </w:r>
          </w:p>
          <w:p w14:paraId="28BC96A3" w14:textId="77777777" w:rsidR="00B46F8E" w:rsidRPr="00093A5B" w:rsidRDefault="00B46F8E" w:rsidP="000E60BC">
            <w:pPr>
              <w:pStyle w:val="MDPI14history"/>
              <w:spacing w:after="120"/>
            </w:pPr>
            <w:r w:rsidRPr="00093A5B">
              <w:t>Published: date</w:t>
            </w:r>
          </w:p>
          <w:p w14:paraId="65EBBD1C" w14:textId="77777777" w:rsidR="00B46F8E" w:rsidRPr="00093A5B" w:rsidRDefault="00B46F8E" w:rsidP="000E60BC">
            <w:pPr>
              <w:pStyle w:val="MDPI72copyright"/>
              <w:rPr>
                <w:rFonts w:eastAsia="等线"/>
                <w:noProof w:val="0"/>
                <w:lang w:val="en-US" w:bidi="en-US"/>
              </w:rPr>
            </w:pPr>
            <w:r w:rsidRPr="00093A5B">
              <w:rPr>
                <w:rFonts w:eastAsia="等线"/>
                <w:b/>
                <w:noProof w:val="0"/>
                <w:lang w:val="en-US" w:bidi="en-US"/>
              </w:rPr>
              <w:t>Copyright:</w:t>
            </w:r>
            <w:r w:rsidRPr="00093A5B">
              <w:rPr>
                <w:rFonts w:eastAsia="等线"/>
                <w:noProof w:val="0"/>
                <w:lang w:val="en-US" w:bidi="en-US"/>
              </w:rPr>
              <w:t xml:space="preserve"> © </w:t>
            </w:r>
            <w:r>
              <w:rPr>
                <w:rFonts w:eastAsia="等线"/>
                <w:noProof w:val="0"/>
                <w:lang w:val="en-US" w:bidi="en-US"/>
              </w:rPr>
              <w:t>2026</w:t>
            </w:r>
            <w:r w:rsidRPr="00093A5B">
              <w:rPr>
                <w:rFonts w:eastAsia="等线"/>
                <w:noProof w:val="0"/>
                <w:lang w:val="en-US" w:bidi="en-US"/>
              </w:rPr>
              <w:t xml:space="preserve"> by the authors. Submitted for possible open access publication under the terms and conditions of the </w:t>
            </w:r>
            <w:hyperlink r:id="rId8" w:history="1">
              <w:r w:rsidRPr="00B46F8E">
                <w:rPr>
                  <w:rStyle w:val="Hyperlink"/>
                  <w:rFonts w:eastAsia="等线"/>
                  <w:noProof w:val="0"/>
                  <w:u w:val="none"/>
                  <w:lang w:val="en-US" w:bidi="en-US"/>
                </w:rPr>
                <w:t>Creative Commons Attribution (CC BY) license</w:t>
              </w:r>
            </w:hyperlink>
            <w:r>
              <w:rPr>
                <w:rFonts w:eastAsia="等线"/>
                <w:noProof w:val="0"/>
                <w:lang w:val="en-US" w:bidi="en-US"/>
              </w:rPr>
              <w:t>.</w:t>
            </w:r>
          </w:p>
        </w:tc>
      </w:tr>
    </w:tbl>
    <w:p>
      <w:pPr>
        <w:pStyle w:val="MDPI16affiliation"/>
      </w:pPr>
      <w:r>
        <w:rPr>
          <w:vertAlign w:val="superscript"/>
        </w:rPr>
        <w:t>1</w:t>
      </w:r>
      <w:r>
        <w:tab/>
        <w:t xml:space="preserve">Department of Computer Science and Information Systems, College of Applied Sciences, AlMaarefa University, Riyadh, Saudi Arabia; adotta@um.edu.sa</w:t>
      </w:r>
    </w:p>
    <w:p>
      <w:pPr>
        <w:pStyle w:val="MDPI16affiliation"/>
      </w:pPr>
      <w:r>
        <w:rPr>
          <w:vertAlign w:val="superscript"/>
        </w:rPr>
        <w:t>2</w:t>
      </w:r>
      <w:r>
        <w:tab/>
        <w:t xml:space="preserve">King Salman Center for Disability Research, Riyadh, Saudi Arabia</w:t>
      </w:r>
    </w:p>
    <w:p>
      <w:pPr>
        <w:pStyle w:val="MDPI16affiliation"/>
      </w:pPr>
      <w:r>
        <w:rPr>
          <w:vertAlign w:val="superscript"/>
        </w:rPr>
        <w:t>3</w:t>
      </w:r>
      <w:r>
        <w:tab/>
        <w:t xml:space="preserve">Makkah National College (MNC), Makkah, Saudi Arabia; naljarallah@mnc.edu.sa</w:t>
      </w:r>
    </w:p>
    <w:p>
      <w:pPr>
        <w:pStyle w:val="MDPI16affiliation"/>
      </w:pPr>
      <w:r>
        <w:rPr>
          <w:b/>
        </w:rPr>
        <w:t>*</w:t>
      </w:r>
      <w:r>
        <w:tab/>
        <w:t xml:space="preserve">Correspondence: adotta@um.edu.sa</w:t>
      </w:r>
    </w:p>
    <w:p>
      <w:pPr>
        <w:pStyle w:val="MDPI17abstract"/>
        <w:spacing w:before="240" w:after="0"/>
      </w:pPr>
      <w:r>
        <w:rPr>
          <w:b/>
        </w:rPr>
        <w:t xml:space="preserve">Abstract:</w:t>
      </w:r>
      <w:r>
        <w:t xml:space="preserve"> </w:t>
      </w:r>
      <w:r>
        <w:t xml:space="preserve">Speech and Braille technologies are widely provided to school-age learners with disabilities, but better performance while a tool is in use does not show that a skill has been learned. This systematic review examined learner-level outcomes of speech-to-text (STT), text-to-speech (TTS), automatic captioning, adaptive Braille tutoring, and optical Braille recognition compared with usual instruction, an alternative accommodation, or baseline. PubMed, Web of Science, Scopus, and APA PsycInfo were searched in July 2026 and supplemented by ERIC, citation, and targeted searches in October 2026 (publication cutoff 23 July 2026). Narrative synthesis followed SWiM guidance and classified outcomes as assisted, unaided, or proximal. Forty-seven reports were included (32 TTS, 13 STT, one combined TTS/STT, one Braille tutor; 23 single-case designs). STT often increased written output, but accuracy and quality varied. TTS comprehension findings ranged from favorable to null or favoring the comparator. Controlled evidence of unaided learning was inconsistent, and one randomized experiment found poorer delayed orthographic learning after TTS than after independent reading. No eligible captioning or optical Braille recognition comparison was found. Small samples, multicomponent interventions, overlapping cohorts, and single-reviewer processes limit confidence. Educational teams should set and monitor access and learning goals separately. PROSPERO: CRD420261513927.</w:t>
      </w:r>
    </w:p>
    <w:p>
      <w:pPr>
        <w:pStyle w:val="MDPI18keywords"/>
      </w:pPr>
      <w:r>
        <w:rPr>
          <w:b/>
        </w:rPr>
        <w:t xml:space="preserve">Keywords:</w:t>
      </w:r>
      <w:r>
        <w:t xml:space="preserve"> </w:t>
      </w:r>
      <w:r>
        <w:t xml:space="preserve">assistive technology; text-to-speech; speech-to-text; Braille; dyslexia; learning disabilities; reading comprehension; written expression; accommodations; systematic review</w:t>
      </w:r>
    </w:p>
    <w:p>
      <w:pPr>
        <w:pStyle w:val="MDPI19line"/>
      </w:pPr>
    </w:p>
    <w:p>
      <w:pPr>
        <w:pStyle w:val="MDPI21heading1"/>
      </w:pPr>
      <w:r>
        <w:t xml:space="preserve">1. Introduction</w:t>
      </w:r>
    </w:p>
    <w:p>
      <w:pPr>
        <w:pStyle w:val="MDPI31text"/>
      </w:pPr>
      <w:r>
        <w:t xml:space="preserve">An estimated 240 million children worldwide live with disabilities (United Nations Children’s Fund, 2021). Access to written and spoken language is central to their participation in education, and international frameworks recognize accessible communication and assistive technology as conditions for that participation (United Nations, 2006; World Health Assembly, 2018; World Health Organization &amp; United Nations Children’s Fund, 2022). The International Classification of Functioning, Disability and Health distinguishes activities, participation, and environmental facilitators (World Health Organization, n.d.). Applied to educational technology, the distinction directs attention to what a learner can understand and produce, not only to how well a device performs. Decisions about provision and follow-up involve teachers, families, speech-language and rehabilitation professionals, and school health services, and availability alone does not ensure continued use (Council on School Health, 2016; Federici &amp; Borsci, 2016; World Health Organization &amp; United Nations Children’s Fund, 2022).</w:t>
      </w:r>
    </w:p>
    <w:p>
      <w:pPr>
        <w:pStyle w:val="MDPI31text"/>
      </w:pPr>
      <w:r>
        <w:t xml:space="preserve">Several technologies address different language-access barriers. Speech-to-text (STT) converts dictation into written language, and text-to-speech (TTS) converts written language into synthetic speech (Matre &amp; Cameron, 2024; Wood et al., 2018). Automatic captioning displays spoken language as text. Adaptive Braille tutors provide performance-responsive practice and feedback, and optical Braille recognition (OBR) converts images of embossed Braille into an accessible representation (Asfaw et al., 2024; Kausar et al., 2021; Kushalnagar et al., 2014; Latif et al., 2023; McCarthy et al., 2016). Technical accuracy or feasibility does not establish comprehension, writing quality, or classroom participation; captioning research illustrates why learner-centered evaluation is needed (Millett, 2021–2022).</w:t>
      </w:r>
    </w:p>
    <w:p>
      <w:pPr>
        <w:pStyle w:val="MDPI31text"/>
      </w:pPr>
      <w:r>
        <w:t xml:space="preserve">The central interpretive problem is that the same technology can be judged by different questions. A tool may compensate for a barrier while it is in use (an access, or accommodation, effect), it may support practice that changes a targeted skill (a proximal acquisition effect), or it may lead to better performance once it is removed (an unaided learning, or transfer, effect). These outcomes have different implications. An accommodation can be valuable even if unaided skill does not change, whereas an instructional claim requires evidence obtained without the tool. Reviews that combine these outcomes can overstate instructional effects and can also obscure genuine access benefits.</w:t>
      </w:r>
    </w:p>
    <w:p>
      <w:pPr>
        <w:pStyle w:val="MDPI31text"/>
      </w:pPr>
      <w:r>
        <w:t xml:space="preserve">Previous reviews have examined TTS and related read-aloud tools, STT for adolescents, technology for Braille literacy, and captioning alongside sign language (Hoskin et al., 2024; Matre &amp; Cameron, 2024; Pavani &amp; Leonetti, 2026; Wood et al., 2018). They report heterogeneous interventions and limited comparative evidence, but they were organized by technology rather than by the condition under which outcomes were measured. A meta-analysis of TTS and read-aloud tools, for example, estimated an average comprehension benefit during supported reading (Wood et al., 2018), which does not address whether reading skill changes when support is withdrawn.</w:t>
      </w:r>
    </w:p>
    <w:p>
      <w:pPr>
        <w:pStyle w:val="MDPI31text"/>
      </w:pPr>
      <w:r>
        <w:t xml:space="preserve">This review therefore asked: among school-age learners with disabilities, what learner-level outcomes are associated with STT, TTS, automatic captioning, adaptive Braille tutoring, and OBR, compared with usual instruction, an alternative accommodation, or a measured baseline? Its specific objectives were to (1) classify each outcome as assisted, unaided, or proximal; (2) synthesize findings within these categories by technology function; (3) appraise design and reporting limitations, including overlapping cohorts; and (4) derive implications for evaluating technology with individual learners. The contribution lies in this outcome framework and in a source-level re-examination of the evidence, rather than in being the first synthesis of these technologies.</w:t>
      </w:r>
    </w:p>
    <w:p>
      <w:pPr>
        <w:pStyle w:val="MDPI21heading1"/>
      </w:pPr>
      <w:r>
        <w:t xml:space="preserve">2. Materials and Methods</w:t>
      </w:r>
    </w:p>
    <w:p>
      <w:pPr>
        <w:pStyle w:val="MDPI22heading2"/>
      </w:pPr>
      <w:r>
        <w:t xml:space="preserve">2.1. Protocol, Registration, and Reporting</w:t>
      </w:r>
    </w:p>
    <w:p>
      <w:pPr>
        <w:pStyle w:val="MDPI31text"/>
      </w:pPr>
      <w:r>
        <w:t xml:space="preserve">The review was registered in PROSPERO (CRD420261513927) and is reported according to PRISMA 2020, the PRISMA-S extension for searches, and the Synthesis Without Meta-analysis (SWiM) guideline (Campbell et al., 2020; Page et al., 2021; Rethlefsen et al., 2021); completed checklists are provided as supplementary files. Several methods were changed after registration, some after data extraction had begun: operational clarification of eligibility, a supplementary search, the outcome classification, explicit linkage of related reports, and replacement of formal risk-of-bias ratings by structured critical appraisal. Each change and its reason are listed in Table S4. Because these decisions were made post hoc, the synthesis should not be read as fully prespecified. The review used published aggregate data only.</w:t>
      </w:r>
    </w:p>
    <w:p>
      <w:pPr>
        <w:pStyle w:val="MDPI22heading2"/>
      </w:pPr>
      <w:r>
        <w:t xml:space="preserve">2.2. Eligibility Criteria</w:t>
      </w:r>
    </w:p>
    <w:p>
      <w:pPr>
        <w:pStyle w:val="MDPI31text"/>
      </w:pPr>
      <w:r>
        <w:t xml:space="preserve">Participants attended primary or secondary education and had a disability affecting access to spoken or written classroom language, including sensory impairment, specific learning disability, intellectual disability, attention-deficit/hyperactivity disorder (ADHD), or another explicitly identified condition. Eligibility required a diagnosis, an individualized education program (IEP) or equivalent designation, or a standardized assessment with a stated selection threshold; descriptions such as “struggling” or “at risk” alone were insufficient. Where ages were reported, the mean or median had to be 5–18 years and no participant older than 19 years; younger school-enrolled children could be included within an otherwise eligible sample. Explicit primary or secondary school enrolment was accepted when ages were incompletely reported. Mixed samples were eligible only when findings for eligible learners could be extracted separately.</w:t>
      </w:r>
    </w:p>
    <w:p>
      <w:pPr>
        <w:pStyle w:val="MDPI31text"/>
      </w:pPr>
      <w:r>
        <w:t xml:space="preserve">Eligible interventions were automatic STT for writing or dictation, automatic speech recognition producing captions, synthesized TTS, adaptive Braille tutoring, and learner-facing OBR. Multicomponent packages were eligible when a target technology was central and the comparison evaluated that package or technology configuration. Comparators could be usual instruction, another accommodation, a different technology setting, or a measured baseline. Prerecorded human read-aloud, pronunciation verification without dictation, and handwriting recognition were outside scope, as were comparisons that held the technology constant and varied only other instruction.</w:t>
      </w:r>
    </w:p>
    <w:p>
      <w:pPr>
        <w:pStyle w:val="MDPI31text"/>
      </w:pPr>
      <w:r>
        <w:t xml:space="preserve">At least one learner-level outcome was required: reading or listening comprehension, reading rate or accuracy, written productivity or quality, spelling, curricular attainment, Braille acquisition, participation, engagement, independence, or task burden. Technical metrics alone were insufficient. Eligible designs were randomized and nonrandomized group comparisons, within-participant comparisons, single-case designs with repeated observations across phases, and comparative observational analyses of use versus nonuse, which were interpreted as associations. Simple A–B single-case designs were retained but interpreted descriptively. Uncontrolled group pre–post studies, descriptive surveys, qualitative-only studies, and uncontrolled usability evaluations were excluded.</w:t>
      </w:r>
    </w:p>
    <w:p>
      <w:pPr>
        <w:pStyle w:val="MDPI31text"/>
      </w:pPr>
      <w:r>
        <w:t xml:space="preserve">Reports had to be full-length, peer-reviewed, English-language journal articles published by 23 July 2026. Theses, conference papers, reviews, and protocols were not included as independent reports, although related theses or precursor reports could be used to check eligibility and cohort linkage; their numerical results were not attributed to a journal article. Journal articles accessible only as abstracts were included provisionally when eligibility was sufficiently supported, with extraction restricted accordingly. Reports lacking decisive eligibility information were classified as awaiting classification.</w:t>
      </w:r>
    </w:p>
    <w:p>
      <w:pPr>
        <w:pStyle w:val="MDPI22heading2"/>
      </w:pPr>
      <w:r>
        <w:t xml:space="preserve">2.3. Information Sources and Search Strategy</w:t>
      </w:r>
    </w:p>
    <w:p>
      <w:pPr>
        <w:pStyle w:val="MDPI31text"/>
      </w:pPr>
      <w:r>
        <w:t xml:space="preserve">The searches were conducted in two phases. In Phase 1, PubMed, Web of Science, and Scopus were searched on 22 July 2026 and APA PsycInfo on 23 July 2026, from inception. Strategies combined school-age and disability terms, technology terms, and design terms. Phase 1 was supplemented by screening the first 200 Google Scholar results (23 July 2026), backward and forward citation searching, publisher website searches, and verification searches. In Phase 2, ERIC was searched on 2 October 2026 through its public application programming interface, using technology and disability terms without the design block (267 records), and targeted searches of publishers, repositories, and related reports were used to resolve candidate reports. Phase 2 retained the 23 July 2026 publication cutoff. Full strategies, dates, and yields are given in Table S1.</w:t>
      </w:r>
    </w:p>
    <w:p>
      <w:pPr>
        <w:pStyle w:val="MDPI31text"/>
      </w:pPr>
      <w:r>
        <w:t xml:space="preserve">The PsycInfo host platform, the Web of Science collections, the original database exports, and complete query histories for the Phase 1 supplementary methods were not retained, so Phase 1 cannot be reproduced in every detail. IEEE Xplore, the ACM Digital Library, CINAHL, trial registries, and dissertation databases were not searched, and the strategies were not peer reviewed using PRESS.</w:t>
      </w:r>
    </w:p>
    <w:p>
      <w:pPr>
        <w:pStyle w:val="MDPI22heading2"/>
      </w:pPr>
      <w:r>
        <w:t xml:space="preserve">2.4. Selection Process</w:t>
      </w:r>
    </w:p>
    <w:p>
      <w:pPr>
        <w:pStyle w:val="MDPI31text"/>
      </w:pPr>
      <w:r>
        <w:t xml:space="preserve">In Phase 1, records were deduplicated and screened by title and abstract and then in full text by one reviewer (A.K.D.); decisions were checked by both authors, but screening was not performed independently in duplicate. Full-text exclusion reasons were classified as publication type or design, technical outcomes only, population or setting, intervention, comparator or phase structure, and insufficient information.</w:t>
      </w:r>
    </w:p>
    <w:p>
      <w:pPr>
        <w:pStyle w:val="MDPI31text"/>
      </w:pPr>
      <w:r>
        <w:t xml:space="preserve">In Phase 2, ERIC records were screened against the same criteria with the assistance of a generative artificial intelligence tool (Section 2.9), and decisions were recorded at record level. Duplicates within ERIC and records corresponding to reports already included in Phase 1 were identified separately. Candidate reports were assessed using the most complete primary source accessible; a bibliographic match alone was not sufficient. At the same time, every report included in Phase 1 was re-checked against its original source and the clarified criteria. Each excluded or unresolved candidate is listed with a reason in Table S6.</w:t>
      </w:r>
    </w:p>
    <w:p>
      <w:pPr>
        <w:pStyle w:val="MDPI31text"/>
      </w:pPr>
      <w:r>
        <w:t xml:space="preserve">Reports describing the same participants were linked using authors, sample characteristics, setting, design, and intervention. Linked reports were retained as separate sources of distinct comparisons but were not treated as independent replications (Table S5). A total number of unique participants was not calculated, because several cohorts may overlap and some reports provide student–item observations rather than participant-level denominators.</w:t>
      </w:r>
    </w:p>
    <w:p>
      <w:pPr>
        <w:pStyle w:val="MDPI22heading2"/>
      </w:pPr>
      <w:r>
        <w:t xml:space="preserve">2.5. Data Collection and Source Verification</w:t>
      </w:r>
    </w:p>
    <w:p>
      <w:pPr>
        <w:pStyle w:val="MDPI31text"/>
      </w:pPr>
      <w:r>
        <w:t xml:space="preserve">A.K.D. extracted data using a structured form covering citation, country, design, participants, eligibility evidence, technology and dose, comparator, outcome and measurement condition, time point, numerical findings, variability, attrition, and implementation. In Phase 2, extracted data for all included reports were compared with the most complete accessible primary source, and the depth of verification was recorded as full text or limited (publisher abstract, preview, figure, or linked primary document). Missing standard deviations were not imputed, graphs were not digitized, and effects were not reconstructed from incomplete statistics. Subgroup estimates were distinguished from pooled-sample results. When a source was internally inconsistent, the inconsistency was recorded, tabulated values were preferred to narrative summaries, and statistics that could not be interpreted reliably were omitted. Study authors were not contacted.</w:t>
      </w:r>
    </w:p>
    <w:p>
      <w:pPr>
        <w:pStyle w:val="MDPI22heading2"/>
      </w:pPr>
      <w:r>
        <w:t xml:space="preserve">2.6. Outcome Classification and Synthesis</w:t>
      </w:r>
    </w:p>
    <w:p>
      <w:pPr>
        <w:pStyle w:val="MDPI31text"/>
      </w:pPr>
      <w:r>
        <w:t xml:space="preserve">Outcomes were classified by the condition of measurement. Assisted outcomes were measured while the technology or accommodation was available. Unaided outcomes were measured without it; the passage of time alone did not establish unaided measurement. Proximal outcomes were curriculum-specific or trained-item measures of acquisition, such as mastery of targeted Braille contractions. Outcomes whose measurement condition could not be determined were classified as unclear. Reading efficiency, comprehension, writing accuracy, and participation were treated as distinct constructs.</w:t>
      </w:r>
    </w:p>
    <w:p>
      <w:pPr>
        <w:pStyle w:val="MDPI31text"/>
      </w:pPr>
      <w:r>
        <w:t xml:space="preserve">Reports were grouped by technology function, outcome category, and design, and synthesized narratively (Campbell et al., 2020; McKenzie &amp; Brennan, 2019). Reported means, contrasts, test statistics, measures of precision, and nonoverlap indices were retained where interpretable. Meta-analysis was not undertaken because the reports did not provide sufficiently comparable estimates with measures of precision across contrasts that addressed the same question. No common effect-size conversion, vote counting of favorable studies, sign test, or ranking of technologies was used. A significant result in one subgroup and a nonsignificant result in another was not interpreted as an interaction, and nonsignificance was not interpreted as equivalence. Observational associations, assisted within-person comparisons, and controlled unaided comparisons were interpreted separately.</w:t>
      </w:r>
    </w:p>
    <w:p>
      <w:pPr>
        <w:pStyle w:val="MDPI22heading2"/>
      </w:pPr>
      <w:r>
        <w:t xml:space="preserve">2.7. Critical Appraisal</w:t>
      </w:r>
    </w:p>
    <w:p>
      <w:pPr>
        <w:pStyle w:val="MDPI31text"/>
      </w:pPr>
      <w:r>
        <w:t xml:space="preserve">Appraisal was planned using RoB 2 for randomized comparisons, ROBINS-I for nonrandomized comparisons, and What Works Clearinghouse standards for single-case designs (Sterne et al., 2016, 2019; What Works Clearinghouse, 2022). On re-checking, the documentation supporting several overall judgments was incomplete or did not support the rating assigned, and complete result-level assessments were not available. Formal tool ratings are therefore not reported. Instead, a structured, source-based critical appraisal considered, for each report, allocation or phase control, confounding and co-interventions, missing observations, outcome measurement, reporting consistency, applicability, and the depth of source access (Table S3). Reports available only as abstracts were not assigned a judgment beyond the limitations evident in the accessible content.</w:t>
      </w:r>
    </w:p>
    <w:p>
      <w:pPr>
        <w:pStyle w:val="MDPI22heading2"/>
      </w:pPr>
      <w:r>
        <w:t xml:space="preserve">2.8. Confidence in the Evidence and Reporting Bias</w:t>
      </w:r>
    </w:p>
    <w:p>
      <w:pPr>
        <w:pStyle w:val="MDPI31text"/>
      </w:pPr>
      <w:r>
        <w:t xml:space="preserve">Confidence in each outcome-specific finding was judged qualitatively with reference to methodological limitations, inconsistency, indirectness, imprecision, and possible missing evidence (Guyatt et al., 2008); formal GRADE ratings were not assigned. Publication bias was not assessed quantitatively. The synthesis states where conclusions depend on abstract-level findings, multicomponent interventions, exploratory subgroups, or potentially overlapping cohorts.</w:t>
      </w:r>
    </w:p>
    <w:p>
      <w:pPr>
        <w:pStyle w:val="MDPI22heading2"/>
      </w:pPr>
      <w:r>
        <w:t xml:space="preserve">2.9. Use of Generative Artificial Intelligence</w:t>
      </w:r>
    </w:p>
    <w:p>
      <w:pPr>
        <w:pStyle w:val="MDPI31text"/>
      </w:pPr>
      <w:r>
        <w:t xml:space="preserve">During Phase 2, ChatGPT (OpenAI; model version not recorded; accessed up to 2 October 2026) assisted with the supplementary searching, screening of ERIC records, identification and checking of original sources, eligibility reassessment, data extraction, critical appraisal, synthesis, drafting, and preparation of tables and figures. This assistance was substantive and does not constitute independent human review. The authors reviewed all outputs and take responsibility for every eligibility decision, extracted value, and interpretation.</w:t>
      </w:r>
    </w:p>
    <w:p>
      <w:pPr>
        <w:pStyle w:val="MDPI21heading1"/>
      </w:pPr>
      <w:r>
        <w:t xml:space="preserve">3. Results</w:t>
      </w:r>
    </w:p>
    <w:p>
      <w:pPr>
        <w:pStyle w:val="MDPI22heading2"/>
      </w:pPr>
      <w:r>
        <w:t xml:space="preserve">3.1. Study Selection</w:t>
      </w:r>
    </w:p>
    <w:p>
      <w:pPr>
        <w:pStyle w:val="MDPI31text"/>
      </w:pPr>
      <w:r>
        <w:t xml:space="preserve">Phase 1 identified 4025 database records and 270 records from other methods (Figure 1). After removal of 1586 duplicates, 2709 records were screened and 2573 excluded. Of 136 reports sought, 8 could not be retrieved; 126 were assessed in full text and 2 from abstracts. Of these 128, 101 were excluded (publication type or design, 27; technical outcomes only, 28; population or setting, 19; intervention, 9; comparator or phase structure, 14; insufficient information, 4), and 27 reports were included (17 from databases and 10 from other methods). The citation-level list of these 101 exclusions was not retained (Table S6).</w:t>
      </w:r>
    </w:p>
    <w:p>
      <w:pPr>
        <w:pStyle w:val="MDPI31text"/>
      </w:pPr>
      <w:r>
        <w:t xml:space="preserve">When the Phase 1 reports were re-checked, Bonifacci et al. (2022) was excluded because its experimental audio consisted of human-recorded words presented to simulate synthesized speech, which falls under the prerecorded-speech exclusion. Two further reports with plausible relevance were confirmed as ineligible: one used prerecorded human speech (Schiavo et al., 2021) and one was a conference paper (Stodden et al., 2012).</w:t>
      </w:r>
    </w:p>
    <w:p>
      <w:pPr>
        <w:pStyle w:val="MDPI31text"/>
      </w:pPr>
      <w:r>
        <w:t xml:space="preserve">In Phase 2, of 267 ERIC records, 2 were duplicates within ERIC and 15 corresponded to reports already included in Phase 1; of the remaining 250, 219 were excluded at title and abstract screening and 31 proceeded to report assessment. Together with 6 candidates from targeted and citation searching, 37 unique candidate reports were assessed: 21 were included, 7 were excluded (Argyropoulos et al., 2009; Daley et al., 2020; Fasting &amp; Lyster, 2005; Felix et al., 2017; Haug &amp; Klein, 2018; Kambouri et al., 2023; Sulaimon et al., 2025), and 9 await classification because decisive population, intervention, or outcome information was not accessible (Douglas et al., 2009; Edeh et al., 2025; Higgins &amp; Raskind, 2004; Leong, 1995; Quinlan, 2004; Schmitt et al., 2011; Wei, 2025, 2026; Witmer &amp; Bouck, 2023). A Braille report published after the cutoff was not eligible (Alsalman, 2026). The review therefore includes 47 reports: 26 from Phase 1 and 21 from Phase 2. Because the Phase 1 record-level exports were not retained, the two phases could not be deduplicated against each other at record level and are shown as separate pathways.</w:t>
      </w:r>
    </w:p>
    <w:p>
      <w:pPr>
        <w:pStyle w:val="MDPI52figure"/>
        <w:keepNext/>
      </w:pPr>
      <w:r>
        <w:rPr>
          <w:noProof/>
        </w:rPr>
        <w:drawing>
          <wp:inline distT="0" distB="0" distL="0" distR="0">
            <wp:extent cx="5300000" cy="8512696"/>
            <wp:effectExtent l="0" t="0" r="0" b="0"/>
            <wp:docPr id="9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1.png"/>
                    <pic:cNvPicPr/>
                  </pic:nvPicPr>
                  <pic:blipFill>
                    <a:blip r:embed="rIdFig1"/>
                    <a:stretch>
                      <a:fillRect/>
                    </a:stretch>
                  </pic:blipFill>
                  <pic:spPr>
                    <a:xfrm>
                      <a:off x="0" y="0"/>
                      <a:ext cx="5300000" cy="8512696"/>
                    </a:xfrm>
                    <a:prstGeom prst="rect">
                      <a:avLst/>
                    </a:prstGeom>
                  </pic:spPr>
                </pic:pic>
              </a:graphicData>
            </a:graphic>
          </wp:inline>
        </w:drawing>
      </w:r>
    </w:p>
    <w:p>
      <w:pPr>
        <w:pStyle w:val="MDPI51figurecaption"/>
        <w:ind w:left="0"/>
      </w:pPr>
      <w:r>
        <w:rPr>
          <w:b/>
        </w:rPr>
        <w:t xml:space="preserve">Figure 1.</w:t>
      </w:r>
      <w:r>
        <w:t xml:space="preserve"> PRISMA 2020 flow diagram. Phase 1 comprised the database searches and supplementary searching in July 2026; 2 of the 101 database reports assessed for eligibility were assessed from abstracts. Phase 2 comprised the ERIC and targeted searches in October 2026, with the July publication cutoff retained, and the re-checking of all Phase 1 reports. The two phases are shown separately because Phase 1 record-level exports were not available for cross-phase deduplication.</w:t>
      </w:r>
    </w:p>
    <w:p>
      <w:pPr>
        <w:pStyle w:val="MDPI22heading2"/>
      </w:pPr>
      <w:r>
        <w:t xml:space="preserve">3.2. Characteristics of Included Reports</w:t>
      </w:r>
    </w:p>
    <w:p>
      <w:pPr>
        <w:pStyle w:val="MDPI31text"/>
      </w:pPr>
      <w:r>
        <w:t xml:space="preserve">Table 1 summarizes the 47 reports, published between 1999 and 2026 (23 since 2020). Thirty-two evaluated TTS (including one reading pen and one TTS/word-prediction writing study), 13 evaluated STT, one evaluated combined TTS/STT training, and one evaluated an adaptive Braille tutor. Designs comprised 23 single-case designs, 12 within-participant group experiments, 4 randomized group comparisons, 5 nonrandomized group comparisons, 1 group comparison with unverified allocation, and 2 observational analyses of national assessment data. Samples ranged from a single learner to approximately 2790 students. Most participants had reading, writing, or specific learning disabilities, including dyslexia; other reports involved intellectual disability, ADHD, visual impairment, autism, cerebral palsy, traumatic brain injury, and other physical disabilities. The primary outcome was assisted in 34 reports, unaided in 6, proximal in 3, and of unclear measurement condition in 4. Extracted data were verified against the full journal article for 24 reports; for 23, verification was limited to an abstract, preview, figure, or linked primary document. Detailed characteristics and findings are given in Table S2.</w:t>
      </w:r>
    </w:p>
    <w:p>
      <w:pPr>
        <w:pStyle w:val="MDPI31text"/>
      </w:pPr>
      <w:r>
        <w:t xml:space="preserve">Several publications are not independent replications. Raskind and Higgins (1999) and Higgins and Raskind (2000) share 39 participants. Keelor et al. (2018, 2023) are linked to the same 29-child experiment, and overlap with Keelor et al. (2020) is unresolved. Wei (2024) and Ogut et al. (2025) analyzed overlapping 2017 National Assessment of Educational Progress (NAEP) cohorts. Possible overlap among four Swedish reports on learners with intellectual disability, and between the two reports by Meyer and Bouck, also remains unresolved (Table S5).</w:t>
      </w:r>
    </w:p>
    <w:p>
      <w:pPr>
        <w:pStyle w:val="MDPI41tablecaption"/>
        <w:keepNext/>
        <w:ind w:left="0"/>
      </w:pPr>
      <w:r>
        <w:rPr>
          <w:b/>
        </w:rPr>
        <w:t xml:space="preserve">Table 1.</w:t>
      </w:r>
      <w:r>
        <w:t xml:space="preserve"> Characteristics of the 47 included reports, grouped by design.</w:t>
      </w:r>
    </w:p>
    <w:tbl>
      <w:tblPr>
        <w:tblW w:w="10466" w:type="dxa"/>
        <w:tblInd w:w="0" w:type="dxa"/>
        <w:tblBorders>
          <w:top w:val="single" w:sz="8" w:space="0" w:color="auto"/>
          <w:bottom w:val="single" w:sz="8" w:space="0" w:color="auto"/>
        </w:tblBorders>
        <w:tblLayout w:type="fixed"/>
        <w:tblCellMar>
          <w:left w:w="57" w:type="dxa"/>
          <w:right w:w="57" w:type="dxa"/>
        </w:tblCellMar>
        <w:tblLook w:val="04A0" w:firstRow="1" w:lastRow="0" w:firstColumn="1" w:lastColumn="0" w:noHBand="0" w:noVBand="1"/>
      </w:tblPr>
      <w:tblGrid>
        <w:gridCol w:w="1700"/>
        <w:gridCol w:w="1700"/>
        <w:gridCol w:w="1000"/>
        <w:gridCol w:w="1850"/>
        <w:gridCol w:w="2766"/>
        <w:gridCol w:w="650"/>
        <w:gridCol w:w="800"/>
      </w:tblGrid>
      <w:tr>
        <w:trPr>
          <w:tblHeader/>
          <w:cantSplit/>
        </w:trPr>
        <w:tc>
          <w:tcPr>
            <w:tcW w:w="1700" w:type="dxa"/>
            <w:tcBorders>
              <w:bottom w:val="single" w:sz="4" w:space="0" w:color="auto"/>
            </w:tcBorders>
          </w:tcPr>
          <w:p>
            <w:pPr>
              <w:pStyle w:val="MDPI42tablebody"/>
              <w:spacing w:line="220" w:lineRule="atLeast"/>
              <w:jc w:val="left"/>
            </w:pPr>
            <w:r>
              <w:rPr>
                <w:b/>
                <w:sz w:val="15"/>
                <w:szCs w:val="15"/>
              </w:rPr>
              <w:t xml:space="preserve">Report</w:t>
            </w:r>
          </w:p>
        </w:tc>
        <w:tc>
          <w:tcPr>
            <w:tcW w:w="1700" w:type="dxa"/>
            <w:tcBorders>
              <w:bottom w:val="single" w:sz="4" w:space="0" w:color="auto"/>
            </w:tcBorders>
          </w:tcPr>
          <w:p>
            <w:pPr>
              <w:pStyle w:val="MDPI42tablebody"/>
              <w:spacing w:line="220" w:lineRule="atLeast"/>
              <w:jc w:val="left"/>
            </w:pPr>
            <w:r>
              <w:rPr>
                <w:b/>
                <w:sz w:val="15"/>
                <w:szCs w:val="15"/>
              </w:rPr>
              <w:t xml:space="preserve">Design</w:t>
            </w:r>
          </w:p>
        </w:tc>
        <w:tc>
          <w:tcPr>
            <w:tcW w:w="1000" w:type="dxa"/>
            <w:tcBorders>
              <w:bottom w:val="single" w:sz="4" w:space="0" w:color="auto"/>
            </w:tcBorders>
          </w:tcPr>
          <w:p>
            <w:pPr>
              <w:pStyle w:val="MDPI42tablebody"/>
              <w:spacing w:line="220" w:lineRule="atLeast"/>
              <w:jc w:val="left"/>
            </w:pPr>
            <w:r>
              <w:rPr>
                <w:b/>
                <w:sz w:val="15"/>
                <w:szCs w:val="15"/>
              </w:rPr>
              <w:t xml:space="preserve">n</w:t>
            </w:r>
          </w:p>
        </w:tc>
        <w:tc>
          <w:tcPr>
            <w:tcW w:w="1850" w:type="dxa"/>
            <w:tcBorders>
              <w:bottom w:val="single" w:sz="4" w:space="0" w:color="auto"/>
            </w:tcBorders>
          </w:tcPr>
          <w:p>
            <w:pPr>
              <w:pStyle w:val="MDPI42tablebody"/>
              <w:spacing w:line="220" w:lineRule="atLeast"/>
              <w:jc w:val="left"/>
            </w:pPr>
            <w:r>
              <w:rPr>
                <w:b/>
                <w:sz w:val="15"/>
                <w:szCs w:val="15"/>
              </w:rPr>
              <w:t xml:space="preserve">Participants</w:t>
            </w:r>
          </w:p>
        </w:tc>
        <w:tc>
          <w:tcPr>
            <w:tcW w:w="2766" w:type="dxa"/>
            <w:tcBorders>
              <w:bottom w:val="single" w:sz="4" w:space="0" w:color="auto"/>
            </w:tcBorders>
          </w:tcPr>
          <w:p>
            <w:pPr>
              <w:pStyle w:val="MDPI42tablebody"/>
              <w:spacing w:line="220" w:lineRule="atLeast"/>
              <w:jc w:val="left"/>
            </w:pPr>
            <w:r>
              <w:rPr>
                <w:b/>
                <w:sz w:val="15"/>
                <w:szCs w:val="15"/>
              </w:rPr>
              <w:t xml:space="preserve">Technology: contrast</w:t>
            </w:r>
          </w:p>
        </w:tc>
        <w:tc>
          <w:tcPr>
            <w:tcW w:w="650" w:type="dxa"/>
            <w:tcBorders>
              <w:bottom w:val="single" w:sz="4" w:space="0" w:color="auto"/>
            </w:tcBorders>
          </w:tcPr>
          <w:p>
            <w:pPr>
              <w:pStyle w:val="MDPI42tablebody"/>
              <w:spacing w:line="220" w:lineRule="atLeast"/>
              <w:jc w:val="left"/>
            </w:pPr>
            <w:r>
              <w:rPr>
                <w:b/>
                <w:sz w:val="15"/>
                <w:szCs w:val="15"/>
              </w:rPr>
              <w:t xml:space="preserve">Out-come</w:t>
            </w:r>
          </w:p>
        </w:tc>
        <w:tc>
          <w:tcPr>
            <w:tcW w:w="800" w:type="dxa"/>
            <w:tcBorders>
              <w:bottom w:val="single" w:sz="4" w:space="0" w:color="auto"/>
            </w:tcBorders>
          </w:tcPr>
          <w:p>
            <w:pPr>
              <w:pStyle w:val="MDPI42tablebody"/>
              <w:spacing w:line="220" w:lineRule="atLeast"/>
              <w:jc w:val="left"/>
            </w:pPr>
            <w:r>
              <w:rPr>
                <w:b/>
                <w:sz w:val="15"/>
                <w:szCs w:val="15"/>
              </w:rPr>
              <w:t xml:space="preserve">Phase/</w:t>
            </w:r>
          </w:p>
          <w:p>
            <w:pPr>
              <w:pStyle w:val="MDPI42tablebody"/>
              <w:spacing w:line="220" w:lineRule="atLeast"/>
              <w:jc w:val="left"/>
            </w:pPr>
            <w:r>
              <w:rPr>
                <w:b/>
                <w:sz w:val="15"/>
                <w:szCs w:val="15"/>
              </w:rPr>
              <w:t xml:space="preserve">source</w:t>
            </w:r>
          </w:p>
        </w:tc>
      </w:tr>
      <w:tr>
        <w:trPr>
          <w:cantSplit/>
        </w:trPr>
        <w:tc>
          <w:tcPr>
            <w:tcW w:w="10466" w:type="dxa"/>
            <w:gridSpan w:val="7"/>
            <w:shd w:val="clear" w:color="auto" w:fill="EDEDED"/>
          </w:tcPr>
          <w:p>
            <w:pPr>
              <w:pStyle w:val="MDPI42tablebody"/>
              <w:jc w:val="left"/>
            </w:pPr>
            <w:r>
              <w:rPr>
                <w:b/>
                <w:sz w:val="15"/>
                <w:szCs w:val="15"/>
              </w:rPr>
              <w:t xml:space="preserve">Randomized group comparisons (</w:t>
            </w:r>
            <w:r>
              <w:rPr>
                <w:b/>
                <w:i/>
                <w:sz w:val="15"/>
                <w:szCs w:val="15"/>
              </w:rPr>
              <w:t xml:space="preserve">n</w:t>
            </w:r>
            <w:r>
              <w:rPr>
                <w:b/>
                <w:sz w:val="15"/>
                <w:szCs w:val="15"/>
              </w:rPr>
              <w:t xml:space="preserve"> = 4)</w:t>
            </w:r>
          </w:p>
        </w:tc>
      </w:tr>
      <w:tr>
        <w:trPr>
          <w:cantSplit/>
        </w:trPr>
        <w:tc>
          <w:tcPr>
            <w:tcW w:w="1700" w:type="dxa"/>
          </w:tcPr>
          <w:p>
            <w:pPr>
              <w:pStyle w:val="MDPI42tablebody"/>
              <w:spacing w:line="220" w:lineRule="atLeast"/>
              <w:jc w:val="left"/>
            </w:pPr>
            <w:r>
              <w:rPr>
                <w:sz w:val="15"/>
                <w:szCs w:val="15"/>
              </w:rPr>
              <w:t xml:space="preserve">Ahlgrim-Delzell et al., 2016</w:t>
            </w:r>
          </w:p>
        </w:tc>
        <w:tc>
          <w:tcPr>
            <w:tcW w:w="1700" w:type="dxa"/>
          </w:tcPr>
          <w:p>
            <w:pPr>
              <w:pStyle w:val="MDPI42tablebody"/>
              <w:spacing w:line="220" w:lineRule="atLeast"/>
              <w:jc w:val="left"/>
            </w:pPr>
            <w:r>
              <w:rPr>
                <w:sz w:val="15"/>
                <w:szCs w:val="15"/>
              </w:rPr>
              <w:t xml:space="preserve">Randomized trial (blocked by teacher)</w:t>
            </w:r>
          </w:p>
        </w:tc>
        <w:tc>
          <w:tcPr>
            <w:tcW w:w="1000" w:type="dxa"/>
          </w:tcPr>
          <w:p>
            <w:pPr>
              <w:pStyle w:val="MDPI42tablebody"/>
              <w:spacing w:line="220" w:lineRule="atLeast"/>
              <w:jc w:val="left"/>
            </w:pPr>
            <w:r>
              <w:rPr>
                <w:sz w:val="15"/>
                <w:szCs w:val="15"/>
              </w:rPr>
              <w:t xml:space="preserve">31</w:t>
            </w:r>
          </w:p>
        </w:tc>
        <w:tc>
          <w:tcPr>
            <w:tcW w:w="1850" w:type="dxa"/>
          </w:tcPr>
          <w:p>
            <w:pPr>
              <w:pStyle w:val="MDPI42tablebody"/>
              <w:spacing w:line="220" w:lineRule="atLeast"/>
              <w:jc w:val="left"/>
            </w:pPr>
            <w:r>
              <w:rPr>
                <w:sz w:val="15"/>
                <w:szCs w:val="15"/>
              </w:rPr>
              <w:t xml:space="preserve">Developmental disabilities, AAC users; K–8</w:t>
            </w:r>
          </w:p>
        </w:tc>
        <w:tc>
          <w:tcPr>
            <w:tcW w:w="2766" w:type="dxa"/>
          </w:tcPr>
          <w:p>
            <w:pPr>
              <w:pStyle w:val="MDPI42tablebody"/>
              <w:spacing w:line="220" w:lineRule="atLeast"/>
              <w:jc w:val="left"/>
            </w:pPr>
            <w:r>
              <w:rPr>
                <w:sz w:val="15"/>
                <w:szCs w:val="15"/>
              </w:rPr>
              <w:t xml:space="preserve">TTS: TTS-supported phonics package vs. structured sight-word instruction</w:t>
            </w:r>
          </w:p>
        </w:tc>
        <w:tc>
          <w:tcPr>
            <w:tcW w:w="650" w:type="dxa"/>
          </w:tcPr>
          <w:p>
            <w:pPr>
              <w:pStyle w:val="MDPI42tablebody"/>
              <w:spacing w:line="220" w:lineRule="atLeast"/>
              <w:jc w:val="left"/>
            </w:pPr>
            <w:r>
              <w:rPr>
                <w:sz w:val="15"/>
                <w:szCs w:val="15"/>
              </w:rPr>
              <w:t xml:space="preserve">P</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Bhola, 2022</w:t>
            </w:r>
          </w:p>
        </w:tc>
        <w:tc>
          <w:tcPr>
            <w:tcW w:w="1700" w:type="dxa"/>
          </w:tcPr>
          <w:p>
            <w:pPr>
              <w:pStyle w:val="MDPI42tablebody"/>
              <w:spacing w:line="220" w:lineRule="atLeast"/>
              <w:jc w:val="left"/>
            </w:pPr>
            <w:r>
              <w:rPr>
                <w:sz w:val="15"/>
                <w:szCs w:val="15"/>
              </w:rPr>
              <w:t xml:space="preserve">Randomized pre–post (as reported)</w:t>
            </w:r>
          </w:p>
        </w:tc>
        <w:tc>
          <w:tcPr>
            <w:tcW w:w="1000" w:type="dxa"/>
          </w:tcPr>
          <w:p>
            <w:pPr>
              <w:pStyle w:val="MDPI42tablebody"/>
              <w:spacing w:line="220" w:lineRule="atLeast"/>
              <w:jc w:val="left"/>
            </w:pPr>
            <w:r>
              <w:rPr>
                <w:sz w:val="15"/>
                <w:szCs w:val="15"/>
              </w:rPr>
              <w:t xml:space="preserve">20</w:t>
            </w:r>
          </w:p>
        </w:tc>
        <w:tc>
          <w:tcPr>
            <w:tcW w:w="1850" w:type="dxa"/>
          </w:tcPr>
          <w:p>
            <w:pPr>
              <w:pStyle w:val="MDPI42tablebody"/>
              <w:spacing w:line="220" w:lineRule="atLeast"/>
              <w:jc w:val="left"/>
            </w:pPr>
            <w:r>
              <w:rPr>
                <w:sz w:val="15"/>
                <w:szCs w:val="15"/>
              </w:rPr>
              <w:t xml:space="preserve">Dyslexia; 6–12 y</w:t>
            </w:r>
          </w:p>
        </w:tc>
        <w:tc>
          <w:tcPr>
            <w:tcW w:w="2766" w:type="dxa"/>
          </w:tcPr>
          <w:p>
            <w:pPr>
              <w:pStyle w:val="MDPI42tablebody"/>
              <w:spacing w:line="220" w:lineRule="atLeast"/>
              <w:jc w:val="left"/>
            </w:pPr>
            <w:r>
              <w:rPr>
                <w:sz w:val="15"/>
                <w:szCs w:val="15"/>
              </w:rPr>
              <w:t xml:space="preserve">TTS: TTS-supported teaching vs. conventional teaching</w:t>
            </w:r>
          </w:p>
        </w:tc>
        <w:tc>
          <w:tcPr>
            <w:tcW w:w="650" w:type="dxa"/>
          </w:tcPr>
          <w:p>
            <w:pPr>
              <w:pStyle w:val="MDPI42tablebody"/>
              <w:spacing w:line="220" w:lineRule="atLeast"/>
              <w:jc w:val="left"/>
            </w:pPr>
            <w:r>
              <w:rPr>
                <w:sz w:val="15"/>
                <w:szCs w:val="15"/>
              </w:rPr>
              <w:t xml:space="preserve">X</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Camardese et al., 2014</w:t>
            </w:r>
          </w:p>
        </w:tc>
        <w:tc>
          <w:tcPr>
            <w:tcW w:w="1700" w:type="dxa"/>
          </w:tcPr>
          <w:p>
            <w:pPr>
              <w:pStyle w:val="MDPI42tablebody"/>
              <w:spacing w:line="220" w:lineRule="atLeast"/>
              <w:jc w:val="left"/>
            </w:pPr>
            <w:r>
              <w:rPr>
                <w:sz w:val="15"/>
                <w:szCs w:val="15"/>
              </w:rPr>
              <w:t xml:space="preserve">Randomized group comparison</w:t>
            </w:r>
          </w:p>
        </w:tc>
        <w:tc>
          <w:tcPr>
            <w:tcW w:w="1000" w:type="dxa"/>
          </w:tcPr>
          <w:p>
            <w:pPr>
              <w:pStyle w:val="MDPI42tablebody"/>
              <w:spacing w:line="220" w:lineRule="atLeast"/>
              <w:jc w:val="left"/>
            </w:pPr>
            <w:r>
              <w:rPr>
                <w:sz w:val="15"/>
                <w:szCs w:val="15"/>
              </w:rPr>
              <w:t xml:space="preserve">60</w:t>
            </w:r>
          </w:p>
        </w:tc>
        <w:tc>
          <w:tcPr>
            <w:tcW w:w="1850" w:type="dxa"/>
          </w:tcPr>
          <w:p>
            <w:pPr>
              <w:pStyle w:val="MDPI42tablebody"/>
              <w:spacing w:line="220" w:lineRule="atLeast"/>
              <w:jc w:val="left"/>
            </w:pPr>
            <w:r>
              <w:rPr>
                <w:sz w:val="15"/>
                <w:szCs w:val="15"/>
              </w:rPr>
              <w:t xml:space="preserve">IEP reading goals; grades 5–8</w:t>
            </w:r>
          </w:p>
        </w:tc>
        <w:tc>
          <w:tcPr>
            <w:tcW w:w="2766" w:type="dxa"/>
          </w:tcPr>
          <w:p>
            <w:pPr>
              <w:pStyle w:val="MDPI42tablebody"/>
              <w:spacing w:line="220" w:lineRule="atLeast"/>
              <w:jc w:val="left"/>
            </w:pPr>
            <w:r>
              <w:rPr>
                <w:sz w:val="15"/>
                <w:szCs w:val="15"/>
              </w:rPr>
              <w:t xml:space="preserve">TTS: E-reader with TTS, font and dictionary vs. print</w:t>
            </w:r>
          </w:p>
        </w:tc>
        <w:tc>
          <w:tcPr>
            <w:tcW w:w="650" w:type="dxa"/>
          </w:tcPr>
          <w:p>
            <w:pPr>
              <w:pStyle w:val="MDPI42tablebody"/>
              <w:spacing w:line="220" w:lineRule="atLeast"/>
              <w:jc w:val="left"/>
            </w:pPr>
            <w:r>
              <w:rPr>
                <w:sz w:val="15"/>
                <w:szCs w:val="15"/>
              </w:rPr>
              <w:t xml:space="preserve">X</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Staels &amp; Van den Broeck, 2015</w:t>
            </w:r>
          </w:p>
        </w:tc>
        <w:tc>
          <w:tcPr>
            <w:tcW w:w="1700" w:type="dxa"/>
          </w:tcPr>
          <w:p>
            <w:pPr>
              <w:pStyle w:val="MDPI42tablebody"/>
              <w:spacing w:line="220" w:lineRule="atLeast"/>
              <w:jc w:val="left"/>
            </w:pPr>
            <w:r>
              <w:rPr>
                <w:sz w:val="15"/>
                <w:szCs w:val="15"/>
              </w:rPr>
              <w:t xml:space="preserve">Randomized 2 × 2 factorial</w:t>
            </w:r>
          </w:p>
        </w:tc>
        <w:tc>
          <w:tcPr>
            <w:tcW w:w="1000" w:type="dxa"/>
          </w:tcPr>
          <w:p>
            <w:pPr>
              <w:pStyle w:val="MDPI42tablebody"/>
              <w:spacing w:line="220" w:lineRule="atLeast"/>
              <w:jc w:val="left"/>
            </w:pPr>
            <w:r>
              <w:rPr>
                <w:sz w:val="15"/>
                <w:szCs w:val="15"/>
              </w:rPr>
              <w:t xml:space="preserve">65</w:t>
            </w:r>
          </w:p>
        </w:tc>
        <w:tc>
          <w:tcPr>
            <w:tcW w:w="1850" w:type="dxa"/>
          </w:tcPr>
          <w:p>
            <w:pPr>
              <w:pStyle w:val="MDPI42tablebody"/>
              <w:spacing w:line="220" w:lineRule="atLeast"/>
              <w:jc w:val="left"/>
            </w:pPr>
            <w:r>
              <w:rPr>
                <w:sz w:val="15"/>
                <w:szCs w:val="15"/>
              </w:rPr>
              <w:t xml:space="preserve">Dyslexia or reading difficulty below threshold; grades 4–5</w:t>
            </w:r>
          </w:p>
        </w:tc>
        <w:tc>
          <w:tcPr>
            <w:tcW w:w="2766" w:type="dxa"/>
          </w:tcPr>
          <w:p>
            <w:pPr>
              <w:pStyle w:val="MDPI42tablebody"/>
              <w:spacing w:line="220" w:lineRule="atLeast"/>
              <w:jc w:val="left"/>
            </w:pPr>
            <w:r>
              <w:rPr>
                <w:sz w:val="15"/>
                <w:szCs w:val="15"/>
              </w:rPr>
              <w:t xml:space="preserve">TTS: TTS vs. independent silent reading</w:t>
            </w:r>
          </w:p>
        </w:tc>
        <w:tc>
          <w:tcPr>
            <w:tcW w:w="650" w:type="dxa"/>
          </w:tcPr>
          <w:p>
            <w:pPr>
              <w:pStyle w:val="MDPI42tablebody"/>
              <w:spacing w:line="220" w:lineRule="atLeast"/>
              <w:jc w:val="left"/>
            </w:pPr>
            <w:r>
              <w:rPr>
                <w:sz w:val="15"/>
                <w:szCs w:val="15"/>
              </w:rPr>
              <w:t xml:space="preserve">U</w:t>
            </w:r>
          </w:p>
        </w:tc>
        <w:tc>
          <w:tcPr>
            <w:tcW w:w="800" w:type="dxa"/>
          </w:tcPr>
          <w:p>
            <w:pPr>
              <w:pStyle w:val="MDPI42tablebody"/>
              <w:spacing w:line="220" w:lineRule="atLeast"/>
              <w:jc w:val="left"/>
            </w:pPr>
            <w:r>
              <w:rPr>
                <w:sz w:val="15"/>
                <w:szCs w:val="15"/>
              </w:rPr>
              <w:t xml:space="preserve">2/F</w:t>
            </w:r>
          </w:p>
        </w:tc>
      </w:tr>
      <w:tr>
        <w:trPr>
          <w:cantSplit/>
        </w:trPr>
        <w:tc>
          <w:tcPr>
            <w:tcW w:w="10466" w:type="dxa"/>
            <w:gridSpan w:val="7"/>
            <w:shd w:val="clear" w:color="auto" w:fill="EDEDED"/>
          </w:tcPr>
          <w:p>
            <w:pPr>
              <w:pStyle w:val="MDPI42tablebody"/>
              <w:jc w:val="left"/>
            </w:pPr>
            <w:r>
              <w:rPr>
                <w:b/>
                <w:sz w:val="15"/>
                <w:szCs w:val="15"/>
              </w:rPr>
              <w:t xml:space="preserve">Nonrandomized group comparisons (</w:t>
            </w:r>
            <w:r>
              <w:rPr>
                <w:b/>
                <w:i/>
                <w:sz w:val="15"/>
                <w:szCs w:val="15"/>
              </w:rPr>
              <w:t xml:space="preserve">n</w:t>
            </w:r>
            <w:r>
              <w:rPr>
                <w:b/>
                <w:sz w:val="15"/>
                <w:szCs w:val="15"/>
              </w:rPr>
              <w:t xml:space="preserve"> = 5)</w:t>
            </w:r>
          </w:p>
        </w:tc>
      </w:tr>
      <w:tr>
        <w:trPr>
          <w:cantSplit/>
        </w:trPr>
        <w:tc>
          <w:tcPr>
            <w:tcW w:w="1700" w:type="dxa"/>
          </w:tcPr>
          <w:p>
            <w:pPr>
              <w:pStyle w:val="MDPI42tablebody"/>
              <w:spacing w:line="220" w:lineRule="atLeast"/>
              <w:jc w:val="left"/>
            </w:pPr>
            <w:r>
              <w:rPr>
                <w:sz w:val="15"/>
                <w:szCs w:val="15"/>
              </w:rPr>
              <w:t xml:space="preserve">Ebajay &amp; Malabo, 2026</w:t>
            </w:r>
          </w:p>
        </w:tc>
        <w:tc>
          <w:tcPr>
            <w:tcW w:w="1700" w:type="dxa"/>
          </w:tcPr>
          <w:p>
            <w:pPr>
              <w:pStyle w:val="MDPI42tablebody"/>
              <w:spacing w:line="220" w:lineRule="atLeast"/>
              <w:jc w:val="left"/>
            </w:pPr>
            <w:r>
              <w:rPr>
                <w:sz w:val="15"/>
                <w:szCs w:val="15"/>
              </w:rPr>
              <w:t xml:space="preserve">Nonequivalent matched groups, pre–post</w:t>
            </w:r>
          </w:p>
        </w:tc>
        <w:tc>
          <w:tcPr>
            <w:tcW w:w="1000" w:type="dxa"/>
          </w:tcPr>
          <w:p>
            <w:pPr>
              <w:pStyle w:val="MDPI42tablebody"/>
              <w:spacing w:line="220" w:lineRule="atLeast"/>
              <w:jc w:val="left"/>
            </w:pPr>
            <w:r>
              <w:rPr>
                <w:sz w:val="15"/>
                <w:szCs w:val="15"/>
              </w:rPr>
              <w:t xml:space="preserve">20</w:t>
            </w:r>
          </w:p>
        </w:tc>
        <w:tc>
          <w:tcPr>
            <w:tcW w:w="1850" w:type="dxa"/>
          </w:tcPr>
          <w:p>
            <w:pPr>
              <w:pStyle w:val="MDPI42tablebody"/>
              <w:spacing w:line="220" w:lineRule="atLeast"/>
              <w:jc w:val="left"/>
            </w:pPr>
            <w:r>
              <w:rPr>
                <w:sz w:val="15"/>
                <w:szCs w:val="15"/>
              </w:rPr>
              <w:t xml:space="preserve">Specific learning disabilities; grades 1–5</w:t>
            </w:r>
          </w:p>
        </w:tc>
        <w:tc>
          <w:tcPr>
            <w:tcW w:w="2766" w:type="dxa"/>
          </w:tcPr>
          <w:p>
            <w:pPr>
              <w:pStyle w:val="MDPI42tablebody"/>
              <w:spacing w:line="220" w:lineRule="atLeast"/>
              <w:jc w:val="left"/>
            </w:pPr>
            <w:r>
              <w:rPr>
                <w:sz w:val="15"/>
                <w:szCs w:val="15"/>
              </w:rPr>
              <w:t xml:space="preserve">TTS: TTS-assisted mathematics instruction vs. conventional</w:t>
            </w:r>
          </w:p>
        </w:tc>
        <w:tc>
          <w:tcPr>
            <w:tcW w:w="650" w:type="dxa"/>
          </w:tcPr>
          <w:p>
            <w:pPr>
              <w:pStyle w:val="MDPI42tablebody"/>
              <w:spacing w:line="220" w:lineRule="atLeast"/>
              <w:jc w:val="left"/>
            </w:pPr>
            <w:r>
              <w:rPr>
                <w:sz w:val="15"/>
                <w:szCs w:val="15"/>
              </w:rPr>
              <w:t xml:space="preserve">X</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Flütsch Keravec et al., 2026</w:t>
            </w:r>
          </w:p>
        </w:tc>
        <w:tc>
          <w:tcPr>
            <w:tcW w:w="1700" w:type="dxa"/>
          </w:tcPr>
          <w:p>
            <w:pPr>
              <w:pStyle w:val="MDPI42tablebody"/>
              <w:spacing w:line="220" w:lineRule="atLeast"/>
              <w:jc w:val="left"/>
            </w:pPr>
            <w:r>
              <w:rPr>
                <w:sz w:val="15"/>
                <w:szCs w:val="15"/>
              </w:rPr>
              <w:t xml:space="preserve">Nonrandomized three-group pre–post + paired modality comparison</w:t>
            </w:r>
          </w:p>
        </w:tc>
        <w:tc>
          <w:tcPr>
            <w:tcW w:w="1000" w:type="dxa"/>
          </w:tcPr>
          <w:p>
            <w:pPr>
              <w:pStyle w:val="MDPI42tablebody"/>
              <w:spacing w:line="220" w:lineRule="atLeast"/>
              <w:jc w:val="left"/>
            </w:pPr>
            <w:r>
              <w:rPr>
                <w:sz w:val="15"/>
                <w:szCs w:val="15"/>
              </w:rPr>
              <w:t xml:space="preserve">107 analyzed</w:t>
            </w:r>
          </w:p>
        </w:tc>
        <w:tc>
          <w:tcPr>
            <w:tcW w:w="1850" w:type="dxa"/>
          </w:tcPr>
          <w:p>
            <w:pPr>
              <w:pStyle w:val="MDPI42tablebody"/>
              <w:spacing w:line="220" w:lineRule="atLeast"/>
              <w:jc w:val="left"/>
            </w:pPr>
            <w:r>
              <w:rPr>
                <w:sz w:val="15"/>
                <w:szCs w:val="15"/>
              </w:rPr>
              <w:t xml:space="preserve">Dyslexia; grade 5</w:t>
            </w:r>
          </w:p>
        </w:tc>
        <w:tc>
          <w:tcPr>
            <w:tcW w:w="2766" w:type="dxa"/>
          </w:tcPr>
          <w:p>
            <w:pPr>
              <w:pStyle w:val="MDPI42tablebody"/>
              <w:spacing w:line="220" w:lineRule="atLeast"/>
              <w:jc w:val="left"/>
            </w:pPr>
            <w:r>
              <w:rPr>
                <w:sz w:val="15"/>
                <w:szCs w:val="15"/>
              </w:rPr>
              <w:t xml:space="preserve">STT: STT + writing instruction vs. handwriting + instruction vs. usual instruction</w:t>
            </w:r>
          </w:p>
        </w:tc>
        <w:tc>
          <w:tcPr>
            <w:tcW w:w="650" w:type="dxa"/>
          </w:tcPr>
          <w:p>
            <w:pPr>
              <w:pStyle w:val="MDPI42tablebody"/>
              <w:spacing w:line="220" w:lineRule="atLeast"/>
              <w:jc w:val="left"/>
            </w:pPr>
            <w:r>
              <w:rPr>
                <w:sz w:val="15"/>
                <w:szCs w:val="15"/>
              </w:rPr>
              <w:t xml:space="preserve">U</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Higgins &amp; Raskind, 2000</w:t>
            </w:r>
          </w:p>
        </w:tc>
        <w:tc>
          <w:tcPr>
            <w:tcW w:w="1700" w:type="dxa"/>
          </w:tcPr>
          <w:p>
            <w:pPr>
              <w:pStyle w:val="MDPI42tablebody"/>
              <w:spacing w:line="220" w:lineRule="atLeast"/>
              <w:jc w:val="left"/>
            </w:pPr>
            <w:r>
              <w:rPr>
                <w:sz w:val="15"/>
                <w:szCs w:val="15"/>
              </w:rPr>
              <w:t xml:space="preserve">Nonrandomized three-group comparison</w:t>
            </w:r>
          </w:p>
        </w:tc>
        <w:tc>
          <w:tcPr>
            <w:tcW w:w="1000" w:type="dxa"/>
          </w:tcPr>
          <w:p>
            <w:pPr>
              <w:pStyle w:val="MDPI42tablebody"/>
              <w:spacing w:line="220" w:lineRule="atLeast"/>
              <w:jc w:val="left"/>
            </w:pPr>
            <w:r>
              <w:rPr>
                <w:sz w:val="15"/>
                <w:szCs w:val="15"/>
              </w:rPr>
              <w:t xml:space="preserve">52 (39 shared)</w:t>
            </w:r>
          </w:p>
        </w:tc>
        <w:tc>
          <w:tcPr>
            <w:tcW w:w="1850" w:type="dxa"/>
          </w:tcPr>
          <w:p>
            <w:pPr>
              <w:pStyle w:val="MDPI42tablebody"/>
              <w:spacing w:line="220" w:lineRule="atLeast"/>
              <w:jc w:val="left"/>
            </w:pPr>
            <w:r>
              <w:rPr>
                <w:sz w:val="15"/>
                <w:szCs w:val="15"/>
              </w:rPr>
              <w:t xml:space="preserve">Learning disabilities; 9–18 y</w:t>
            </w:r>
          </w:p>
        </w:tc>
        <w:tc>
          <w:tcPr>
            <w:tcW w:w="2766" w:type="dxa"/>
          </w:tcPr>
          <w:p>
            <w:pPr>
              <w:pStyle w:val="MDPI42tablebody"/>
              <w:spacing w:line="220" w:lineRule="atLeast"/>
              <w:jc w:val="left"/>
            </w:pPr>
            <w:r>
              <w:rPr>
                <w:sz w:val="15"/>
                <w:szCs w:val="15"/>
              </w:rPr>
              <w:t xml:space="preserve">STT: Continuous vs. discrete STT vs. computer instruction</w:t>
            </w:r>
          </w:p>
        </w:tc>
        <w:tc>
          <w:tcPr>
            <w:tcW w:w="650" w:type="dxa"/>
          </w:tcPr>
          <w:p>
            <w:pPr>
              <w:pStyle w:val="MDPI42tablebody"/>
              <w:spacing w:line="220" w:lineRule="atLeast"/>
              <w:jc w:val="left"/>
            </w:pPr>
            <w:r>
              <w:rPr>
                <w:sz w:val="15"/>
                <w:szCs w:val="15"/>
              </w:rPr>
              <w:t xml:space="preserve">U</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Raskind &amp; Higgins, 1999</w:t>
            </w:r>
          </w:p>
        </w:tc>
        <w:tc>
          <w:tcPr>
            <w:tcW w:w="1700" w:type="dxa"/>
          </w:tcPr>
          <w:p>
            <w:pPr>
              <w:pStyle w:val="MDPI42tablebody"/>
              <w:spacing w:line="220" w:lineRule="atLeast"/>
              <w:jc w:val="left"/>
            </w:pPr>
            <w:r>
              <w:rPr>
                <w:sz w:val="15"/>
                <w:szCs w:val="15"/>
              </w:rPr>
              <w:t xml:space="preserve">Nonrandomized controlled pre–post</w:t>
            </w:r>
          </w:p>
        </w:tc>
        <w:tc>
          <w:tcPr>
            <w:tcW w:w="1000" w:type="dxa"/>
          </w:tcPr>
          <w:p>
            <w:pPr>
              <w:pStyle w:val="MDPI42tablebody"/>
              <w:spacing w:line="220" w:lineRule="atLeast"/>
              <w:jc w:val="left"/>
            </w:pPr>
            <w:r>
              <w:rPr>
                <w:sz w:val="15"/>
                <w:szCs w:val="15"/>
              </w:rPr>
              <w:t xml:space="preserve">39</w:t>
            </w:r>
          </w:p>
        </w:tc>
        <w:tc>
          <w:tcPr>
            <w:tcW w:w="1850" w:type="dxa"/>
          </w:tcPr>
          <w:p>
            <w:pPr>
              <w:pStyle w:val="MDPI42tablebody"/>
              <w:spacing w:line="220" w:lineRule="atLeast"/>
              <w:jc w:val="left"/>
            </w:pPr>
            <w:r>
              <w:rPr>
                <w:sz w:val="15"/>
                <w:szCs w:val="15"/>
              </w:rPr>
              <w:t xml:space="preserve">Learning disabilities; 9–18 y</w:t>
            </w:r>
          </w:p>
        </w:tc>
        <w:tc>
          <w:tcPr>
            <w:tcW w:w="2766" w:type="dxa"/>
          </w:tcPr>
          <w:p>
            <w:pPr>
              <w:pStyle w:val="MDPI42tablebody"/>
              <w:spacing w:line="220" w:lineRule="atLeast"/>
              <w:jc w:val="left"/>
            </w:pPr>
            <w:r>
              <w:rPr>
                <w:sz w:val="15"/>
                <w:szCs w:val="15"/>
              </w:rPr>
              <w:t xml:space="preserve">STT: STT writing practice vs. computer instruction</w:t>
            </w:r>
          </w:p>
        </w:tc>
        <w:tc>
          <w:tcPr>
            <w:tcW w:w="650" w:type="dxa"/>
          </w:tcPr>
          <w:p>
            <w:pPr>
              <w:pStyle w:val="MDPI42tablebody"/>
              <w:spacing w:line="220" w:lineRule="atLeast"/>
              <w:jc w:val="left"/>
            </w:pPr>
            <w:r>
              <w:rPr>
                <w:sz w:val="15"/>
                <w:szCs w:val="15"/>
              </w:rPr>
              <w:t xml:space="preserve">U</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Svensson et al., 2021</w:t>
            </w:r>
          </w:p>
        </w:tc>
        <w:tc>
          <w:tcPr>
            <w:tcW w:w="1700" w:type="dxa"/>
          </w:tcPr>
          <w:p>
            <w:pPr>
              <w:pStyle w:val="MDPI42tablebody"/>
              <w:spacing w:line="220" w:lineRule="atLeast"/>
              <w:jc w:val="left"/>
            </w:pPr>
            <w:r>
              <w:rPr>
                <w:sz w:val="15"/>
                <w:szCs w:val="15"/>
              </w:rPr>
              <w:t xml:space="preserve">Nonrandomized controlled longitudinal</w:t>
            </w:r>
          </w:p>
        </w:tc>
        <w:tc>
          <w:tcPr>
            <w:tcW w:w="1000" w:type="dxa"/>
          </w:tcPr>
          <w:p>
            <w:pPr>
              <w:pStyle w:val="MDPI42tablebody"/>
              <w:spacing w:line="220" w:lineRule="atLeast"/>
              <w:jc w:val="left"/>
            </w:pPr>
            <w:r>
              <w:rPr>
                <w:sz w:val="15"/>
                <w:szCs w:val="15"/>
              </w:rPr>
              <w:t xml:space="preserve">149</w:t>
            </w:r>
          </w:p>
        </w:tc>
        <w:tc>
          <w:tcPr>
            <w:tcW w:w="1850" w:type="dxa"/>
          </w:tcPr>
          <w:p>
            <w:pPr>
              <w:pStyle w:val="MDPI42tablebody"/>
              <w:spacing w:line="220" w:lineRule="atLeast"/>
              <w:jc w:val="left"/>
            </w:pPr>
            <w:r>
              <w:rPr>
                <w:sz w:val="15"/>
                <w:szCs w:val="15"/>
              </w:rPr>
              <w:t xml:space="preserve">Severe reading/writing difficulties; grades 4, 8, and upper secondary</w:t>
            </w:r>
          </w:p>
        </w:tc>
        <w:tc>
          <w:tcPr>
            <w:tcW w:w="2766" w:type="dxa"/>
          </w:tcPr>
          <w:p>
            <w:pPr>
              <w:pStyle w:val="MDPI42tablebody"/>
              <w:spacing w:line="220" w:lineRule="atLeast"/>
              <w:jc w:val="left"/>
            </w:pPr>
            <w:r>
              <w:rPr>
                <w:sz w:val="15"/>
                <w:szCs w:val="15"/>
              </w:rPr>
              <w:t xml:space="preserve">TTS+STT: TTS/STT application training vs. usual support</w:t>
            </w:r>
          </w:p>
        </w:tc>
        <w:tc>
          <w:tcPr>
            <w:tcW w:w="650" w:type="dxa"/>
          </w:tcPr>
          <w:p>
            <w:pPr>
              <w:pStyle w:val="MDPI42tablebody"/>
              <w:spacing w:line="220" w:lineRule="atLeast"/>
              <w:jc w:val="left"/>
            </w:pPr>
            <w:r>
              <w:rPr>
                <w:sz w:val="15"/>
                <w:szCs w:val="15"/>
              </w:rPr>
              <w:t xml:space="preserve">U</w:t>
            </w:r>
          </w:p>
        </w:tc>
        <w:tc>
          <w:tcPr>
            <w:tcW w:w="800" w:type="dxa"/>
          </w:tcPr>
          <w:p>
            <w:pPr>
              <w:pStyle w:val="MDPI42tablebody"/>
              <w:spacing w:line="220" w:lineRule="atLeast"/>
              <w:jc w:val="left"/>
            </w:pPr>
            <w:r>
              <w:rPr>
                <w:sz w:val="15"/>
                <w:szCs w:val="15"/>
              </w:rPr>
              <w:t xml:space="preserve">1/F</w:t>
            </w:r>
          </w:p>
        </w:tc>
      </w:tr>
      <w:tr>
        <w:trPr>
          <w:cantSplit/>
        </w:trPr>
        <w:tc>
          <w:tcPr>
            <w:tcW w:w="10466" w:type="dxa"/>
            <w:gridSpan w:val="7"/>
            <w:shd w:val="clear" w:color="auto" w:fill="EDEDED"/>
          </w:tcPr>
          <w:p>
            <w:pPr>
              <w:pStyle w:val="MDPI42tablebody"/>
              <w:jc w:val="left"/>
            </w:pPr>
            <w:r>
              <w:rPr>
                <w:b/>
                <w:sz w:val="15"/>
                <w:szCs w:val="15"/>
              </w:rPr>
              <w:t xml:space="preserve">Group comparison, allocation unverified (</w:t>
            </w:r>
            <w:r>
              <w:rPr>
                <w:b/>
                <w:i/>
                <w:sz w:val="15"/>
                <w:szCs w:val="15"/>
              </w:rPr>
              <w:t xml:space="preserve">n</w:t>
            </w:r>
            <w:r>
              <w:rPr>
                <w:b/>
                <w:sz w:val="15"/>
                <w:szCs w:val="15"/>
              </w:rPr>
              <w:t xml:space="preserve"> = 1)</w:t>
            </w:r>
          </w:p>
        </w:tc>
      </w:tr>
      <w:tr>
        <w:trPr>
          <w:cantSplit/>
        </w:trPr>
        <w:tc>
          <w:tcPr>
            <w:tcW w:w="1700" w:type="dxa"/>
          </w:tcPr>
          <w:p>
            <w:pPr>
              <w:pStyle w:val="MDPI42tablebody"/>
              <w:spacing w:line="220" w:lineRule="atLeast"/>
              <w:jc w:val="left"/>
            </w:pPr>
            <w:r>
              <w:rPr>
                <w:sz w:val="15"/>
                <w:szCs w:val="15"/>
              </w:rPr>
              <w:t xml:space="preserve">Park et al., 2017</w:t>
            </w:r>
          </w:p>
        </w:tc>
        <w:tc>
          <w:tcPr>
            <w:tcW w:w="1700" w:type="dxa"/>
          </w:tcPr>
          <w:p>
            <w:pPr>
              <w:pStyle w:val="MDPI42tablebody"/>
              <w:spacing w:line="220" w:lineRule="atLeast"/>
              <w:jc w:val="left"/>
            </w:pPr>
            <w:r>
              <w:rPr>
                <w:sz w:val="15"/>
                <w:szCs w:val="15"/>
              </w:rPr>
              <w:t xml:space="preserve">Comparative group study (allocation details unverified)</w:t>
            </w:r>
          </w:p>
        </w:tc>
        <w:tc>
          <w:tcPr>
            <w:tcW w:w="1000" w:type="dxa"/>
          </w:tcPr>
          <w:p>
            <w:pPr>
              <w:pStyle w:val="MDPI42tablebody"/>
              <w:spacing w:line="220" w:lineRule="atLeast"/>
              <w:jc w:val="left"/>
            </w:pPr>
            <w:r>
              <w:rPr>
                <w:sz w:val="15"/>
                <w:szCs w:val="15"/>
              </w:rPr>
              <w:t xml:space="preserve">164</w:t>
            </w:r>
          </w:p>
        </w:tc>
        <w:tc>
          <w:tcPr>
            <w:tcW w:w="1850" w:type="dxa"/>
          </w:tcPr>
          <w:p>
            <w:pPr>
              <w:pStyle w:val="MDPI42tablebody"/>
              <w:spacing w:line="220" w:lineRule="atLeast"/>
              <w:jc w:val="left"/>
            </w:pPr>
            <w:r>
              <w:rPr>
                <w:sz w:val="15"/>
                <w:szCs w:val="15"/>
              </w:rPr>
              <w:t xml:space="preserve">Below reading threshold; grade 9</w:t>
            </w:r>
          </w:p>
        </w:tc>
        <w:tc>
          <w:tcPr>
            <w:tcW w:w="2766" w:type="dxa"/>
          </w:tcPr>
          <w:p>
            <w:pPr>
              <w:pStyle w:val="MDPI42tablebody"/>
              <w:spacing w:line="220" w:lineRule="atLeast"/>
              <w:jc w:val="left"/>
            </w:pPr>
            <w:r>
              <w:rPr>
                <w:sz w:val="15"/>
                <w:szCs w:val="15"/>
              </w:rPr>
              <w:t xml:space="preserve">TTS: TTS software (about 10 weeks) vs. control</w:t>
            </w:r>
          </w:p>
        </w:tc>
        <w:tc>
          <w:tcPr>
            <w:tcW w:w="650" w:type="dxa"/>
          </w:tcPr>
          <w:p>
            <w:pPr>
              <w:pStyle w:val="MDPI42tablebody"/>
              <w:spacing w:line="220" w:lineRule="atLeast"/>
              <w:jc w:val="left"/>
            </w:pPr>
            <w:r>
              <w:rPr>
                <w:sz w:val="15"/>
                <w:szCs w:val="15"/>
              </w:rPr>
              <w:t xml:space="preserve">U</w:t>
            </w:r>
          </w:p>
        </w:tc>
        <w:tc>
          <w:tcPr>
            <w:tcW w:w="800" w:type="dxa"/>
          </w:tcPr>
          <w:p>
            <w:pPr>
              <w:pStyle w:val="MDPI42tablebody"/>
              <w:spacing w:line="220" w:lineRule="atLeast"/>
              <w:jc w:val="left"/>
            </w:pPr>
            <w:r>
              <w:rPr>
                <w:sz w:val="15"/>
                <w:szCs w:val="15"/>
              </w:rPr>
              <w:t xml:space="preserve">2/L</w:t>
            </w:r>
          </w:p>
        </w:tc>
      </w:tr>
      <w:tr>
        <w:trPr>
          <w:cantSplit/>
        </w:trPr>
        <w:tc>
          <w:tcPr>
            <w:tcW w:w="10466" w:type="dxa"/>
            <w:gridSpan w:val="7"/>
            <w:shd w:val="clear" w:color="auto" w:fill="EDEDED"/>
          </w:tcPr>
          <w:p>
            <w:pPr>
              <w:pStyle w:val="MDPI42tablebody"/>
              <w:jc w:val="left"/>
            </w:pPr>
            <w:r>
              <w:rPr>
                <w:b/>
                <w:sz w:val="15"/>
                <w:szCs w:val="15"/>
              </w:rPr>
              <w:t xml:space="preserve">Within-participant group experiments (</w:t>
            </w:r>
            <w:r>
              <w:rPr>
                <w:b/>
                <w:i/>
                <w:sz w:val="15"/>
                <w:szCs w:val="15"/>
              </w:rPr>
              <w:t xml:space="preserve">n</w:t>
            </w:r>
            <w:r>
              <w:rPr>
                <w:b/>
                <w:sz w:val="15"/>
                <w:szCs w:val="15"/>
              </w:rPr>
              <w:t xml:space="preserve"> = 12)</w:t>
            </w:r>
          </w:p>
        </w:tc>
      </w:tr>
      <w:tr>
        <w:trPr>
          <w:cantSplit/>
        </w:trPr>
        <w:tc>
          <w:tcPr>
            <w:tcW w:w="1700" w:type="dxa"/>
          </w:tcPr>
          <w:p>
            <w:pPr>
              <w:pStyle w:val="MDPI42tablebody"/>
              <w:spacing w:line="220" w:lineRule="atLeast"/>
              <w:jc w:val="left"/>
            </w:pPr>
            <w:r>
              <w:rPr>
                <w:sz w:val="15"/>
                <w:szCs w:val="15"/>
              </w:rPr>
              <w:t xml:space="preserve">Chen et al., 2026</w:t>
            </w:r>
          </w:p>
        </w:tc>
        <w:tc>
          <w:tcPr>
            <w:tcW w:w="1700" w:type="dxa"/>
          </w:tcPr>
          <w:p>
            <w:pPr>
              <w:pStyle w:val="MDPI42tablebody"/>
              <w:spacing w:line="220" w:lineRule="atLeast"/>
              <w:jc w:val="left"/>
            </w:pPr>
            <w:r>
              <w:rPr>
                <w:sz w:val="15"/>
                <w:szCs w:val="15"/>
              </w:rPr>
              <w:t xml:space="preserve">Counterbalanced mixed-factorial experiment</w:t>
            </w:r>
          </w:p>
        </w:tc>
        <w:tc>
          <w:tcPr>
            <w:tcW w:w="1000" w:type="dxa"/>
          </w:tcPr>
          <w:p>
            <w:pPr>
              <w:pStyle w:val="MDPI42tablebody"/>
              <w:spacing w:line="220" w:lineRule="atLeast"/>
              <w:jc w:val="left"/>
            </w:pPr>
            <w:r>
              <w:rPr>
                <w:sz w:val="15"/>
                <w:szCs w:val="15"/>
              </w:rPr>
              <w:t xml:space="preserve">59 (eye tracking 47)</w:t>
            </w:r>
          </w:p>
        </w:tc>
        <w:tc>
          <w:tcPr>
            <w:tcW w:w="1850" w:type="dxa"/>
          </w:tcPr>
          <w:p>
            <w:pPr>
              <w:pStyle w:val="MDPI42tablebody"/>
              <w:spacing w:line="220" w:lineRule="atLeast"/>
              <w:jc w:val="left"/>
            </w:pPr>
            <w:r>
              <w:rPr>
                <w:sz w:val="15"/>
                <w:szCs w:val="15"/>
              </w:rPr>
              <w:t xml:space="preserve">Dyslexia, ADHD, typical readers; junior high</w:t>
            </w:r>
          </w:p>
        </w:tc>
        <w:tc>
          <w:tcPr>
            <w:tcW w:w="2766" w:type="dxa"/>
          </w:tcPr>
          <w:p>
            <w:pPr>
              <w:pStyle w:val="MDPI42tablebody"/>
              <w:spacing w:line="220" w:lineRule="atLeast"/>
              <w:jc w:val="left"/>
            </w:pPr>
            <w:r>
              <w:rPr>
                <w:sz w:val="15"/>
                <w:szCs w:val="15"/>
              </w:rPr>
              <w:t xml:space="preserve">TTS: TTS vs. silent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Dolan et al., 2005</w:t>
            </w:r>
          </w:p>
        </w:tc>
        <w:tc>
          <w:tcPr>
            <w:tcW w:w="1700" w:type="dxa"/>
          </w:tcPr>
          <w:p>
            <w:pPr>
              <w:pStyle w:val="MDPI42tablebody"/>
              <w:spacing w:line="220" w:lineRule="atLeast"/>
              <w:jc w:val="left"/>
            </w:pPr>
            <w:r>
              <w:rPr>
                <w:sz w:val="15"/>
                <w:szCs w:val="15"/>
              </w:rPr>
              <w:t xml:space="preserve">Counterbalanced crossover</w:t>
            </w:r>
          </w:p>
        </w:tc>
        <w:tc>
          <w:tcPr>
            <w:tcW w:w="1000" w:type="dxa"/>
          </w:tcPr>
          <w:p>
            <w:pPr>
              <w:pStyle w:val="MDPI42tablebody"/>
              <w:spacing w:line="220" w:lineRule="atLeast"/>
              <w:jc w:val="left"/>
            </w:pPr>
            <w:r>
              <w:rPr>
                <w:sz w:val="15"/>
                <w:szCs w:val="15"/>
              </w:rPr>
              <w:t xml:space="preserve">10 (as reported)</w:t>
            </w:r>
          </w:p>
        </w:tc>
        <w:tc>
          <w:tcPr>
            <w:tcW w:w="1850" w:type="dxa"/>
          </w:tcPr>
          <w:p>
            <w:pPr>
              <w:pStyle w:val="MDPI42tablebody"/>
              <w:spacing w:line="220" w:lineRule="atLeast"/>
              <w:jc w:val="left"/>
            </w:pPr>
            <w:r>
              <w:rPr>
                <w:sz w:val="15"/>
                <w:szCs w:val="15"/>
              </w:rPr>
              <w:t xml:space="preserve">Learning disabilities (IEP); grades 11–12</w:t>
            </w:r>
          </w:p>
        </w:tc>
        <w:tc>
          <w:tcPr>
            <w:tcW w:w="2766" w:type="dxa"/>
          </w:tcPr>
          <w:p>
            <w:pPr>
              <w:pStyle w:val="MDPI42tablebody"/>
              <w:spacing w:line="220" w:lineRule="atLeast"/>
              <w:jc w:val="left"/>
            </w:pPr>
            <w:r>
              <w:rPr>
                <w:sz w:val="15"/>
                <w:szCs w:val="15"/>
              </w:rPr>
              <w:t xml:space="preserve">TTS: Computer-based test with TTS vs. paper test</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Frankel &amp; Brownstein, 2016</w:t>
            </w:r>
          </w:p>
        </w:tc>
        <w:tc>
          <w:tcPr>
            <w:tcW w:w="1700" w:type="dxa"/>
          </w:tcPr>
          <w:p>
            <w:pPr>
              <w:pStyle w:val="MDPI42tablebody"/>
              <w:spacing w:line="220" w:lineRule="atLeast"/>
              <w:jc w:val="left"/>
            </w:pPr>
            <w:r>
              <w:rPr>
                <w:sz w:val="15"/>
                <w:szCs w:val="15"/>
              </w:rPr>
              <w:t xml:space="preserve">Within-participant, randomized order</w:t>
            </w:r>
          </w:p>
        </w:tc>
        <w:tc>
          <w:tcPr>
            <w:tcW w:w="1000" w:type="dxa"/>
          </w:tcPr>
          <w:p>
            <w:pPr>
              <w:pStyle w:val="MDPI42tablebody"/>
              <w:spacing w:line="220" w:lineRule="atLeast"/>
              <w:jc w:val="left"/>
            </w:pPr>
            <w:r>
              <w:rPr>
                <w:sz w:val="15"/>
                <w:szCs w:val="15"/>
              </w:rPr>
              <w:t xml:space="preserve">22</w:t>
            </w:r>
          </w:p>
        </w:tc>
        <w:tc>
          <w:tcPr>
            <w:tcW w:w="1850" w:type="dxa"/>
          </w:tcPr>
          <w:p>
            <w:pPr>
              <w:pStyle w:val="MDPI42tablebody"/>
              <w:spacing w:line="220" w:lineRule="atLeast"/>
              <w:jc w:val="left"/>
            </w:pPr>
            <w:r>
              <w:rPr>
                <w:sz w:val="15"/>
                <w:szCs w:val="15"/>
              </w:rPr>
              <w:t xml:space="preserve">Blindness or low vision; grades 8–12</w:t>
            </w:r>
          </w:p>
        </w:tc>
        <w:tc>
          <w:tcPr>
            <w:tcW w:w="2766" w:type="dxa"/>
          </w:tcPr>
          <w:p>
            <w:pPr>
              <w:pStyle w:val="MDPI42tablebody"/>
              <w:spacing w:line="220" w:lineRule="atLeast"/>
              <w:jc w:val="left"/>
            </w:pPr>
            <w:r>
              <w:rPr>
                <w:sz w:val="15"/>
                <w:szCs w:val="15"/>
              </w:rPr>
              <w:t xml:space="preserve">TTS: Alternative synthetic math-speech configurations</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Gonzalez, 2014</w:t>
            </w:r>
          </w:p>
        </w:tc>
        <w:tc>
          <w:tcPr>
            <w:tcW w:w="1700" w:type="dxa"/>
          </w:tcPr>
          <w:p>
            <w:pPr>
              <w:pStyle w:val="MDPI42tablebody"/>
              <w:spacing w:line="220" w:lineRule="atLeast"/>
              <w:jc w:val="left"/>
            </w:pPr>
            <w:r>
              <w:rPr>
                <w:sz w:val="15"/>
                <w:szCs w:val="15"/>
              </w:rPr>
              <w:t xml:space="preserve">Within-participant, randomized order</w:t>
            </w:r>
          </w:p>
        </w:tc>
        <w:tc>
          <w:tcPr>
            <w:tcW w:w="1000" w:type="dxa"/>
          </w:tcPr>
          <w:p>
            <w:pPr>
              <w:pStyle w:val="MDPI42tablebody"/>
              <w:spacing w:line="220" w:lineRule="atLeast"/>
              <w:jc w:val="left"/>
            </w:pPr>
            <w:r>
              <w:rPr>
                <w:sz w:val="15"/>
                <w:szCs w:val="15"/>
              </w:rPr>
              <w:t xml:space="preserve">17</w:t>
            </w:r>
          </w:p>
        </w:tc>
        <w:tc>
          <w:tcPr>
            <w:tcW w:w="1850" w:type="dxa"/>
          </w:tcPr>
          <w:p>
            <w:pPr>
              <w:pStyle w:val="MDPI42tablebody"/>
              <w:spacing w:line="220" w:lineRule="atLeast"/>
              <w:jc w:val="left"/>
            </w:pPr>
            <w:r>
              <w:rPr>
                <w:sz w:val="15"/>
                <w:szCs w:val="15"/>
              </w:rPr>
              <w:t xml:space="preserve">Reading disabilities (IEP); grades 3–4</w:t>
            </w:r>
          </w:p>
        </w:tc>
        <w:tc>
          <w:tcPr>
            <w:tcW w:w="2766" w:type="dxa"/>
          </w:tcPr>
          <w:p>
            <w:pPr>
              <w:pStyle w:val="MDPI42tablebody"/>
              <w:spacing w:line="220" w:lineRule="atLeast"/>
              <w:jc w:val="left"/>
            </w:pPr>
            <w:r>
              <w:rPr>
                <w:sz w:val="15"/>
                <w:szCs w:val="15"/>
              </w:rPr>
              <w:t xml:space="preserve">TTS: Full-text TTS vs. print vs. selective vocabulary support</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Grunér et al., 2018</w:t>
            </w:r>
          </w:p>
        </w:tc>
        <w:tc>
          <w:tcPr>
            <w:tcW w:w="1700" w:type="dxa"/>
          </w:tcPr>
          <w:p>
            <w:pPr>
              <w:pStyle w:val="MDPI42tablebody"/>
              <w:spacing w:line="220" w:lineRule="atLeast"/>
              <w:jc w:val="left"/>
            </w:pPr>
            <w:r>
              <w:rPr>
                <w:sz w:val="15"/>
                <w:szCs w:val="15"/>
              </w:rPr>
              <w:t xml:space="preserve">Randomized two-period crossover</w:t>
            </w:r>
          </w:p>
        </w:tc>
        <w:tc>
          <w:tcPr>
            <w:tcW w:w="1000" w:type="dxa"/>
          </w:tcPr>
          <w:p>
            <w:pPr>
              <w:pStyle w:val="MDPI42tablebody"/>
              <w:spacing w:line="220" w:lineRule="atLeast"/>
              <w:jc w:val="left"/>
            </w:pPr>
            <w:r>
              <w:rPr>
                <w:sz w:val="15"/>
                <w:szCs w:val="15"/>
              </w:rPr>
              <w:t xml:space="preserve">49</w:t>
            </w:r>
          </w:p>
        </w:tc>
        <w:tc>
          <w:tcPr>
            <w:tcW w:w="1850" w:type="dxa"/>
          </w:tcPr>
          <w:p>
            <w:pPr>
              <w:pStyle w:val="MDPI42tablebody"/>
              <w:spacing w:line="220" w:lineRule="atLeast"/>
              <w:jc w:val="left"/>
            </w:pPr>
            <w:r>
              <w:rPr>
                <w:sz w:val="15"/>
                <w:szCs w:val="15"/>
              </w:rPr>
              <w:t xml:space="preserve">Reading disability; grades 3–9</w:t>
            </w:r>
          </w:p>
        </w:tc>
        <w:tc>
          <w:tcPr>
            <w:tcW w:w="2766" w:type="dxa"/>
          </w:tcPr>
          <w:p>
            <w:pPr>
              <w:pStyle w:val="MDPI42tablebody"/>
              <w:spacing w:line="220" w:lineRule="atLeast"/>
              <w:jc w:val="left"/>
            </w:pPr>
            <w:r>
              <w:rPr>
                <w:sz w:val="15"/>
                <w:szCs w:val="15"/>
              </w:rPr>
              <w:t xml:space="preserve">TTS: TTS vs. independent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Higgins &amp; Raskind, 2005</w:t>
            </w:r>
          </w:p>
        </w:tc>
        <w:tc>
          <w:tcPr>
            <w:tcW w:w="1700" w:type="dxa"/>
          </w:tcPr>
          <w:p>
            <w:pPr>
              <w:pStyle w:val="MDPI42tablebody"/>
              <w:spacing w:line="220" w:lineRule="atLeast"/>
              <w:jc w:val="left"/>
            </w:pPr>
            <w:r>
              <w:rPr>
                <w:sz w:val="15"/>
                <w:szCs w:val="15"/>
              </w:rPr>
              <w:t xml:space="preserve">Paired aided vs. unaided comparison</w:t>
            </w:r>
          </w:p>
        </w:tc>
        <w:tc>
          <w:tcPr>
            <w:tcW w:w="1000" w:type="dxa"/>
          </w:tcPr>
          <w:p>
            <w:pPr>
              <w:pStyle w:val="MDPI42tablebody"/>
              <w:spacing w:line="220" w:lineRule="atLeast"/>
              <w:jc w:val="left"/>
            </w:pPr>
            <w:r>
              <w:rPr>
                <w:sz w:val="15"/>
                <w:szCs w:val="15"/>
              </w:rPr>
              <w:t xml:space="preserve">30</w:t>
            </w:r>
          </w:p>
        </w:tc>
        <w:tc>
          <w:tcPr>
            <w:tcW w:w="1850" w:type="dxa"/>
          </w:tcPr>
          <w:p>
            <w:pPr>
              <w:pStyle w:val="MDPI42tablebody"/>
              <w:spacing w:line="220" w:lineRule="atLeast"/>
              <w:jc w:val="left"/>
            </w:pPr>
            <w:r>
              <w:rPr>
                <w:sz w:val="15"/>
                <w:szCs w:val="15"/>
              </w:rPr>
              <w:t xml:space="preserve">Reading disabilities; 10–18 y</w:t>
            </w:r>
          </w:p>
        </w:tc>
        <w:tc>
          <w:tcPr>
            <w:tcW w:w="2766" w:type="dxa"/>
          </w:tcPr>
          <w:p>
            <w:pPr>
              <w:pStyle w:val="MDPI42tablebody"/>
              <w:spacing w:line="220" w:lineRule="atLeast"/>
              <w:jc w:val="left"/>
            </w:pPr>
            <w:r>
              <w:rPr>
                <w:sz w:val="15"/>
                <w:szCs w:val="15"/>
              </w:rPr>
              <w:t xml:space="preserve">TTS: Reading pen (OCR + speech) vs. unaided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Keelor et al., 2018</w:t>
            </w:r>
          </w:p>
        </w:tc>
        <w:tc>
          <w:tcPr>
            <w:tcW w:w="1700" w:type="dxa"/>
          </w:tcPr>
          <w:p>
            <w:pPr>
              <w:pStyle w:val="MDPI42tablebody"/>
              <w:spacing w:line="220" w:lineRule="atLeast"/>
              <w:jc w:val="left"/>
            </w:pPr>
            <w:r>
              <w:rPr>
                <w:sz w:val="15"/>
                <w:szCs w:val="15"/>
              </w:rPr>
              <w:t xml:space="preserve">Five-condition experiment; predictor analysis</w:t>
            </w:r>
          </w:p>
        </w:tc>
        <w:tc>
          <w:tcPr>
            <w:tcW w:w="1000" w:type="dxa"/>
          </w:tcPr>
          <w:p>
            <w:pPr>
              <w:pStyle w:val="MDPI42tablebody"/>
              <w:spacing w:line="220" w:lineRule="atLeast"/>
              <w:jc w:val="left"/>
            </w:pPr>
            <w:r>
              <w:rPr>
                <w:sz w:val="15"/>
                <w:szCs w:val="15"/>
              </w:rPr>
              <w:t xml:space="preserve">29 (shared cohort)</w:t>
            </w:r>
          </w:p>
        </w:tc>
        <w:tc>
          <w:tcPr>
            <w:tcW w:w="1850" w:type="dxa"/>
          </w:tcPr>
          <w:p>
            <w:pPr>
              <w:pStyle w:val="MDPI42tablebody"/>
              <w:spacing w:line="220" w:lineRule="atLeast"/>
              <w:jc w:val="left"/>
            </w:pPr>
            <w:r>
              <w:rPr>
                <w:sz w:val="15"/>
                <w:szCs w:val="15"/>
              </w:rPr>
              <w:t xml:space="preserve">Reading difficulties; 8–12 y</w:t>
            </w:r>
          </w:p>
        </w:tc>
        <w:tc>
          <w:tcPr>
            <w:tcW w:w="2766" w:type="dxa"/>
          </w:tcPr>
          <w:p>
            <w:pPr>
              <w:pStyle w:val="MDPI42tablebody"/>
              <w:spacing w:line="220" w:lineRule="atLeast"/>
              <w:jc w:val="left"/>
            </w:pPr>
            <w:r>
              <w:rPr>
                <w:sz w:val="15"/>
                <w:szCs w:val="15"/>
              </w:rPr>
              <w:t xml:space="preserve">TTS: TTS ± highlighting vs. silent, oral, listen-only</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Keelor et al., 2020</w:t>
            </w:r>
          </w:p>
        </w:tc>
        <w:tc>
          <w:tcPr>
            <w:tcW w:w="1700" w:type="dxa"/>
          </w:tcPr>
          <w:p>
            <w:pPr>
              <w:pStyle w:val="MDPI42tablebody"/>
              <w:spacing w:line="220" w:lineRule="atLeast"/>
              <w:jc w:val="left"/>
            </w:pPr>
            <w:r>
              <w:rPr>
                <w:sz w:val="15"/>
                <w:szCs w:val="15"/>
              </w:rPr>
              <w:t xml:space="preserve">Six-condition comparison</w:t>
            </w:r>
          </w:p>
        </w:tc>
        <w:tc>
          <w:tcPr>
            <w:tcW w:w="1000" w:type="dxa"/>
          </w:tcPr>
          <w:p>
            <w:pPr>
              <w:pStyle w:val="MDPI42tablebody"/>
              <w:spacing w:line="220" w:lineRule="atLeast"/>
              <w:jc w:val="left"/>
            </w:pPr>
            <w:r>
              <w:rPr>
                <w:sz w:val="15"/>
                <w:szCs w:val="15"/>
              </w:rPr>
              <w:t xml:space="preserve">10</w:t>
            </w:r>
          </w:p>
        </w:tc>
        <w:tc>
          <w:tcPr>
            <w:tcW w:w="1850" w:type="dxa"/>
          </w:tcPr>
          <w:p>
            <w:pPr>
              <w:pStyle w:val="MDPI42tablebody"/>
              <w:spacing w:line="220" w:lineRule="atLeast"/>
              <w:jc w:val="left"/>
            </w:pPr>
            <w:r>
              <w:rPr>
                <w:sz w:val="15"/>
                <w:szCs w:val="15"/>
              </w:rPr>
              <w:t xml:space="preserve">Reading difficulty; 8–11 y</w:t>
            </w:r>
          </w:p>
        </w:tc>
        <w:tc>
          <w:tcPr>
            <w:tcW w:w="2766" w:type="dxa"/>
          </w:tcPr>
          <w:p>
            <w:pPr>
              <w:pStyle w:val="MDPI42tablebody"/>
              <w:spacing w:line="220" w:lineRule="atLeast"/>
              <w:jc w:val="left"/>
            </w:pPr>
            <w:r>
              <w:rPr>
                <w:sz w:val="15"/>
                <w:szCs w:val="15"/>
              </w:rPr>
              <w:t xml:space="preserve">TTS: TTS (± highlighting, two rates) vs. silent/oral reading, audio only</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Keelor et al., 2023</w:t>
            </w:r>
          </w:p>
        </w:tc>
        <w:tc>
          <w:tcPr>
            <w:tcW w:w="1700" w:type="dxa"/>
          </w:tcPr>
          <w:p>
            <w:pPr>
              <w:pStyle w:val="MDPI42tablebody"/>
              <w:spacing w:line="220" w:lineRule="atLeast"/>
              <w:jc w:val="left"/>
            </w:pPr>
            <w:r>
              <w:rPr>
                <w:sz w:val="15"/>
                <w:szCs w:val="15"/>
              </w:rPr>
              <w:t xml:space="preserve">Counterbalanced five-condition experiment</w:t>
            </w:r>
          </w:p>
        </w:tc>
        <w:tc>
          <w:tcPr>
            <w:tcW w:w="1000" w:type="dxa"/>
          </w:tcPr>
          <w:p>
            <w:pPr>
              <w:pStyle w:val="MDPI42tablebody"/>
              <w:spacing w:line="220" w:lineRule="atLeast"/>
              <w:jc w:val="left"/>
            </w:pPr>
            <w:r>
              <w:rPr>
                <w:sz w:val="15"/>
                <w:szCs w:val="15"/>
              </w:rPr>
              <w:t xml:space="preserve">29</w:t>
            </w:r>
          </w:p>
        </w:tc>
        <w:tc>
          <w:tcPr>
            <w:tcW w:w="1850" w:type="dxa"/>
          </w:tcPr>
          <w:p>
            <w:pPr>
              <w:pStyle w:val="MDPI42tablebody"/>
              <w:spacing w:line="220" w:lineRule="atLeast"/>
              <w:jc w:val="left"/>
            </w:pPr>
            <w:r>
              <w:rPr>
                <w:sz w:val="15"/>
                <w:szCs w:val="15"/>
              </w:rPr>
              <w:t xml:space="preserve">Reading and language difficulties; 8–12 y</w:t>
            </w:r>
          </w:p>
        </w:tc>
        <w:tc>
          <w:tcPr>
            <w:tcW w:w="2766" w:type="dxa"/>
          </w:tcPr>
          <w:p>
            <w:pPr>
              <w:pStyle w:val="MDPI42tablebody"/>
              <w:spacing w:line="220" w:lineRule="atLeast"/>
              <w:jc w:val="left"/>
            </w:pPr>
            <w:r>
              <w:rPr>
                <w:sz w:val="15"/>
                <w:szCs w:val="15"/>
              </w:rPr>
              <w:t xml:space="preserve">TTS: TTS ± highlighting vs. silent, oral, listen-only</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Kraft, 2023</w:t>
            </w:r>
          </w:p>
        </w:tc>
        <w:tc>
          <w:tcPr>
            <w:tcW w:w="1700" w:type="dxa"/>
          </w:tcPr>
          <w:p>
            <w:pPr>
              <w:pStyle w:val="MDPI42tablebody"/>
              <w:spacing w:line="220" w:lineRule="atLeast"/>
              <w:jc w:val="left"/>
            </w:pPr>
            <w:r>
              <w:rPr>
                <w:sz w:val="15"/>
                <w:szCs w:val="15"/>
              </w:rPr>
              <w:t xml:space="preserve">Counterbalanced within-participant</w:t>
            </w:r>
          </w:p>
        </w:tc>
        <w:tc>
          <w:tcPr>
            <w:tcW w:w="1000" w:type="dxa"/>
          </w:tcPr>
          <w:p>
            <w:pPr>
              <w:pStyle w:val="MDPI42tablebody"/>
              <w:spacing w:line="220" w:lineRule="atLeast"/>
              <w:jc w:val="left"/>
            </w:pPr>
            <w:r>
              <w:rPr>
                <w:sz w:val="15"/>
                <w:szCs w:val="15"/>
              </w:rPr>
              <w:t xml:space="preserve">16 eligible (of 28)</w:t>
            </w:r>
          </w:p>
        </w:tc>
        <w:tc>
          <w:tcPr>
            <w:tcW w:w="1850" w:type="dxa"/>
          </w:tcPr>
          <w:p>
            <w:pPr>
              <w:pStyle w:val="MDPI42tablebody"/>
              <w:spacing w:line="220" w:lineRule="atLeast"/>
              <w:jc w:val="left"/>
            </w:pPr>
            <w:r>
              <w:rPr>
                <w:sz w:val="15"/>
                <w:szCs w:val="15"/>
              </w:rPr>
              <w:t xml:space="preserve">Reading/writing difficulties; 10–13 y</w:t>
            </w:r>
          </w:p>
        </w:tc>
        <w:tc>
          <w:tcPr>
            <w:tcW w:w="2766" w:type="dxa"/>
          </w:tcPr>
          <w:p>
            <w:pPr>
              <w:pStyle w:val="MDPI42tablebody"/>
              <w:spacing w:line="220" w:lineRule="atLeast"/>
              <w:jc w:val="left"/>
            </w:pPr>
            <w:r>
              <w:rPr>
                <w:sz w:val="15"/>
                <w:szCs w:val="15"/>
              </w:rPr>
              <w:t xml:space="preserve">STT: STT vs. keyboarding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MacArthur &amp; Cavalier, 2004</w:t>
            </w:r>
          </w:p>
        </w:tc>
        <w:tc>
          <w:tcPr>
            <w:tcW w:w="1700" w:type="dxa"/>
          </w:tcPr>
          <w:p>
            <w:pPr>
              <w:pStyle w:val="MDPI42tablebody"/>
              <w:spacing w:line="220" w:lineRule="atLeast"/>
              <w:jc w:val="left"/>
            </w:pPr>
            <w:r>
              <w:rPr>
                <w:sz w:val="15"/>
                <w:szCs w:val="15"/>
              </w:rPr>
              <w:t xml:space="preserve">Counterbalanced within-participant</w:t>
            </w:r>
          </w:p>
        </w:tc>
        <w:tc>
          <w:tcPr>
            <w:tcW w:w="1000" w:type="dxa"/>
          </w:tcPr>
          <w:p>
            <w:pPr>
              <w:pStyle w:val="MDPI42tablebody"/>
              <w:spacing w:line="220" w:lineRule="atLeast"/>
              <w:jc w:val="left"/>
            </w:pPr>
            <w:r>
              <w:rPr>
                <w:sz w:val="15"/>
                <w:szCs w:val="15"/>
              </w:rPr>
              <w:t xml:space="preserve">21 eligible (of 31)</w:t>
            </w:r>
          </w:p>
        </w:tc>
        <w:tc>
          <w:tcPr>
            <w:tcW w:w="1850" w:type="dxa"/>
          </w:tcPr>
          <w:p>
            <w:pPr>
              <w:pStyle w:val="MDPI42tablebody"/>
              <w:spacing w:line="220" w:lineRule="atLeast"/>
              <w:jc w:val="left"/>
            </w:pPr>
            <w:r>
              <w:rPr>
                <w:sz w:val="15"/>
                <w:szCs w:val="15"/>
              </w:rPr>
              <w:t xml:space="preserve">Learning disabilities; high school</w:t>
            </w:r>
          </w:p>
        </w:tc>
        <w:tc>
          <w:tcPr>
            <w:tcW w:w="2766" w:type="dxa"/>
          </w:tcPr>
          <w:p>
            <w:pPr>
              <w:pStyle w:val="MDPI42tablebody"/>
              <w:spacing w:line="220" w:lineRule="atLeast"/>
              <w:jc w:val="left"/>
            </w:pPr>
            <w:r>
              <w:rPr>
                <w:sz w:val="15"/>
                <w:szCs w:val="15"/>
              </w:rPr>
              <w:t xml:space="preserve">STT: STT vs. handwriting vs. human scribe</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Silvestri et al., 2022</w:t>
            </w:r>
          </w:p>
        </w:tc>
        <w:tc>
          <w:tcPr>
            <w:tcW w:w="1700" w:type="dxa"/>
          </w:tcPr>
          <w:p>
            <w:pPr>
              <w:pStyle w:val="MDPI42tablebody"/>
              <w:spacing w:line="220" w:lineRule="atLeast"/>
              <w:jc w:val="left"/>
            </w:pPr>
            <w:r>
              <w:rPr>
                <w:sz w:val="15"/>
                <w:szCs w:val="15"/>
              </w:rPr>
              <w:t xml:space="preserve">Counterbalanced within-participant</w:t>
            </w:r>
          </w:p>
        </w:tc>
        <w:tc>
          <w:tcPr>
            <w:tcW w:w="1000" w:type="dxa"/>
          </w:tcPr>
          <w:p>
            <w:pPr>
              <w:pStyle w:val="MDPI42tablebody"/>
              <w:spacing w:line="220" w:lineRule="atLeast"/>
              <w:jc w:val="left"/>
            </w:pPr>
            <w:r>
              <w:rPr>
                <w:sz w:val="15"/>
                <w:szCs w:val="15"/>
              </w:rPr>
              <w:t xml:space="preserve">94</w:t>
            </w:r>
          </w:p>
        </w:tc>
        <w:tc>
          <w:tcPr>
            <w:tcW w:w="1850" w:type="dxa"/>
          </w:tcPr>
          <w:p>
            <w:pPr>
              <w:pStyle w:val="MDPI42tablebody"/>
              <w:spacing w:line="220" w:lineRule="atLeast"/>
              <w:jc w:val="left"/>
            </w:pPr>
            <w:r>
              <w:rPr>
                <w:sz w:val="15"/>
                <w:szCs w:val="15"/>
              </w:rPr>
              <w:t xml:space="preserve">Reading difficulties; grade 8</w:t>
            </w:r>
          </w:p>
        </w:tc>
        <w:tc>
          <w:tcPr>
            <w:tcW w:w="2766" w:type="dxa"/>
          </w:tcPr>
          <w:p>
            <w:pPr>
              <w:pStyle w:val="MDPI42tablebody"/>
              <w:spacing w:line="220" w:lineRule="atLeast"/>
              <w:jc w:val="left"/>
            </w:pPr>
            <w:r>
              <w:rPr>
                <w:sz w:val="15"/>
                <w:szCs w:val="15"/>
              </w:rPr>
              <w:t xml:space="preserve">TTS: Reading with vs. without TTS</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0466" w:type="dxa"/>
            <w:gridSpan w:val="7"/>
            <w:shd w:val="clear" w:color="auto" w:fill="EDEDED"/>
          </w:tcPr>
          <w:p>
            <w:pPr>
              <w:pStyle w:val="MDPI42tablebody"/>
              <w:jc w:val="left"/>
            </w:pPr>
            <w:r>
              <w:rPr>
                <w:b/>
                <w:sz w:val="15"/>
                <w:szCs w:val="15"/>
              </w:rPr>
              <w:t xml:space="preserve">Single-case designs (</w:t>
            </w:r>
            <w:r>
              <w:rPr>
                <w:b/>
                <w:i/>
                <w:sz w:val="15"/>
                <w:szCs w:val="15"/>
              </w:rPr>
              <w:t xml:space="preserve">n</w:t>
            </w:r>
            <w:r>
              <w:rPr>
                <w:b/>
                <w:sz w:val="15"/>
                <w:szCs w:val="15"/>
              </w:rPr>
              <w:t xml:space="preserve"> = 23)</w:t>
            </w:r>
          </w:p>
        </w:tc>
      </w:tr>
      <w:tr>
        <w:trPr>
          <w:cantSplit/>
        </w:trPr>
        <w:tc>
          <w:tcPr>
            <w:tcW w:w="1700" w:type="dxa"/>
          </w:tcPr>
          <w:p>
            <w:pPr>
              <w:pStyle w:val="MDPI42tablebody"/>
              <w:spacing w:line="220" w:lineRule="atLeast"/>
              <w:jc w:val="left"/>
            </w:pPr>
            <w:r>
              <w:rPr>
                <w:sz w:val="15"/>
                <w:szCs w:val="15"/>
              </w:rPr>
              <w:t xml:space="preserve">Almgren Bäck et al., 2024</w:t>
            </w:r>
          </w:p>
        </w:tc>
        <w:tc>
          <w:tcPr>
            <w:tcW w:w="1700" w:type="dxa"/>
          </w:tcPr>
          <w:p>
            <w:pPr>
              <w:pStyle w:val="MDPI42tablebody"/>
              <w:spacing w:line="220" w:lineRule="atLeast"/>
              <w:jc w:val="left"/>
            </w:pPr>
            <w:r>
              <w:rPr>
                <w:sz w:val="15"/>
                <w:szCs w:val="15"/>
              </w:rPr>
              <w:t xml:space="preserve">Multiple baseline</w:t>
            </w:r>
          </w:p>
        </w:tc>
        <w:tc>
          <w:tcPr>
            <w:tcW w:w="1000" w:type="dxa"/>
          </w:tcPr>
          <w:p>
            <w:pPr>
              <w:pStyle w:val="MDPI42tablebody"/>
              <w:spacing w:line="220" w:lineRule="atLeast"/>
              <w:jc w:val="left"/>
            </w:pPr>
            <w:r>
              <w:rPr>
                <w:sz w:val="15"/>
                <w:szCs w:val="15"/>
              </w:rPr>
              <w:t xml:space="preserve">8</w:t>
            </w:r>
          </w:p>
        </w:tc>
        <w:tc>
          <w:tcPr>
            <w:tcW w:w="1850" w:type="dxa"/>
          </w:tcPr>
          <w:p>
            <w:pPr>
              <w:pStyle w:val="MDPI42tablebody"/>
              <w:spacing w:line="220" w:lineRule="atLeast"/>
              <w:jc w:val="left"/>
            </w:pPr>
            <w:r>
              <w:rPr>
                <w:sz w:val="15"/>
                <w:szCs w:val="15"/>
              </w:rPr>
              <w:t xml:space="preserve">Severe reading/writing difficulties</w:t>
            </w:r>
          </w:p>
        </w:tc>
        <w:tc>
          <w:tcPr>
            <w:tcW w:w="2766" w:type="dxa"/>
          </w:tcPr>
          <w:p>
            <w:pPr>
              <w:pStyle w:val="MDPI42tablebody"/>
              <w:spacing w:line="220" w:lineRule="atLeast"/>
              <w:jc w:val="left"/>
            </w:pPr>
            <w:r>
              <w:rPr>
                <w:sz w:val="15"/>
                <w:szCs w:val="15"/>
              </w:rPr>
              <w:t xml:space="preserve">STT: STT instruction (TTS for revision) vs. keyboard baseline</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Alqahtani, 2023</w:t>
            </w:r>
          </w:p>
        </w:tc>
        <w:tc>
          <w:tcPr>
            <w:tcW w:w="1700" w:type="dxa"/>
          </w:tcPr>
          <w:p>
            <w:pPr>
              <w:pStyle w:val="MDPI42tablebody"/>
              <w:spacing w:line="220" w:lineRule="atLeast"/>
              <w:jc w:val="left"/>
            </w:pPr>
            <w:r>
              <w:rPr>
                <w:sz w:val="15"/>
                <w:szCs w:val="15"/>
              </w:rPr>
              <w:t xml:space="preserve">Multiple baseline + alternating treatments</w:t>
            </w:r>
          </w:p>
        </w:tc>
        <w:tc>
          <w:tcPr>
            <w:tcW w:w="1000" w:type="dxa"/>
          </w:tcPr>
          <w:p>
            <w:pPr>
              <w:pStyle w:val="MDPI42tablebody"/>
              <w:spacing w:line="220" w:lineRule="atLeast"/>
              <w:jc w:val="left"/>
            </w:pPr>
            <w:r>
              <w:rPr>
                <w:sz w:val="15"/>
                <w:szCs w:val="15"/>
              </w:rPr>
              <w:t xml:space="preserve">3</w:t>
            </w:r>
          </w:p>
        </w:tc>
        <w:tc>
          <w:tcPr>
            <w:tcW w:w="1850" w:type="dxa"/>
          </w:tcPr>
          <w:p>
            <w:pPr>
              <w:pStyle w:val="MDPI42tablebody"/>
              <w:spacing w:line="220" w:lineRule="atLeast"/>
              <w:jc w:val="left"/>
            </w:pPr>
            <w:r>
              <w:rPr>
                <w:sz w:val="15"/>
                <w:szCs w:val="15"/>
              </w:rPr>
              <w:t xml:space="preserve">Reading difficulties/SLD; grades 3–4</w:t>
            </w:r>
          </w:p>
        </w:tc>
        <w:tc>
          <w:tcPr>
            <w:tcW w:w="2766" w:type="dxa"/>
          </w:tcPr>
          <w:p>
            <w:pPr>
              <w:pStyle w:val="MDPI42tablebody"/>
              <w:spacing w:line="220" w:lineRule="atLeast"/>
              <w:jc w:val="left"/>
            </w:pPr>
            <w:r>
              <w:rPr>
                <w:sz w:val="15"/>
                <w:szCs w:val="15"/>
              </w:rPr>
              <w:t xml:space="preserve">TTS: TTS + question generation vs. repeated reading + question generation</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Brunow &amp; Cullen, 2021</w:t>
            </w:r>
          </w:p>
        </w:tc>
        <w:tc>
          <w:tcPr>
            <w:tcW w:w="1700" w:type="dxa"/>
          </w:tcPr>
          <w:p>
            <w:pPr>
              <w:pStyle w:val="MDPI42tablebody"/>
              <w:spacing w:line="220" w:lineRule="atLeast"/>
              <w:jc w:val="left"/>
            </w:pPr>
            <w:r>
              <w:rPr>
                <w:sz w:val="15"/>
                <w:szCs w:val="15"/>
              </w:rPr>
              <w:t xml:space="preserve">Alternating treatments</w:t>
            </w:r>
          </w:p>
        </w:tc>
        <w:tc>
          <w:tcPr>
            <w:tcW w:w="1000" w:type="dxa"/>
          </w:tcPr>
          <w:p>
            <w:pPr>
              <w:pStyle w:val="MDPI42tablebody"/>
              <w:spacing w:line="220" w:lineRule="atLeast"/>
              <w:jc w:val="left"/>
            </w:pPr>
            <w:r>
              <w:rPr>
                <w:sz w:val="15"/>
                <w:szCs w:val="15"/>
              </w:rPr>
              <w:t xml:space="preserve">4</w:t>
            </w:r>
          </w:p>
        </w:tc>
        <w:tc>
          <w:tcPr>
            <w:tcW w:w="1850" w:type="dxa"/>
          </w:tcPr>
          <w:p>
            <w:pPr>
              <w:pStyle w:val="MDPI42tablebody"/>
              <w:spacing w:line="220" w:lineRule="atLeast"/>
              <w:jc w:val="left"/>
            </w:pPr>
            <w:r>
              <w:rPr>
                <w:sz w:val="15"/>
                <w:szCs w:val="15"/>
              </w:rPr>
              <w:t xml:space="preserve">Learning disabilities; 16–17 y</w:t>
            </w:r>
          </w:p>
        </w:tc>
        <w:tc>
          <w:tcPr>
            <w:tcW w:w="2766" w:type="dxa"/>
          </w:tcPr>
          <w:p>
            <w:pPr>
              <w:pStyle w:val="MDPI42tablebody"/>
              <w:spacing w:line="220" w:lineRule="atLeast"/>
              <w:jc w:val="left"/>
            </w:pPr>
            <w:r>
              <w:rPr>
                <w:sz w:val="15"/>
                <w:szCs w:val="15"/>
              </w:rPr>
              <w:t xml:space="preserve">TTS: TTS vs. human reader</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Cuifolo et al., 2025</w:t>
            </w:r>
          </w:p>
        </w:tc>
        <w:tc>
          <w:tcPr>
            <w:tcW w:w="1700" w:type="dxa"/>
          </w:tcPr>
          <w:p>
            <w:pPr>
              <w:pStyle w:val="MDPI42tablebody"/>
              <w:spacing w:line="220" w:lineRule="atLeast"/>
              <w:jc w:val="left"/>
            </w:pPr>
            <w:r>
              <w:rPr>
                <w:sz w:val="15"/>
                <w:szCs w:val="15"/>
              </w:rPr>
              <w:t xml:space="preserve">Brief experimental analysis</w:t>
            </w:r>
          </w:p>
        </w:tc>
        <w:tc>
          <w:tcPr>
            <w:tcW w:w="1000" w:type="dxa"/>
          </w:tcPr>
          <w:p>
            <w:pPr>
              <w:pStyle w:val="MDPI42tablebody"/>
              <w:spacing w:line="220" w:lineRule="atLeast"/>
              <w:jc w:val="left"/>
            </w:pPr>
            <w:r>
              <w:rPr>
                <w:sz w:val="15"/>
                <w:szCs w:val="15"/>
              </w:rPr>
              <w:t xml:space="preserve">1</w:t>
            </w:r>
          </w:p>
        </w:tc>
        <w:tc>
          <w:tcPr>
            <w:tcW w:w="1850" w:type="dxa"/>
          </w:tcPr>
          <w:p>
            <w:pPr>
              <w:pStyle w:val="MDPI42tablebody"/>
              <w:spacing w:line="220" w:lineRule="atLeast"/>
              <w:jc w:val="left"/>
            </w:pPr>
            <w:r>
              <w:rPr>
                <w:sz w:val="15"/>
                <w:szCs w:val="15"/>
              </w:rPr>
              <w:t xml:space="preserve">Traumatic brain injury; high school</w:t>
            </w:r>
          </w:p>
        </w:tc>
        <w:tc>
          <w:tcPr>
            <w:tcW w:w="2766" w:type="dxa"/>
          </w:tcPr>
          <w:p>
            <w:pPr>
              <w:pStyle w:val="MDPI42tablebody"/>
              <w:spacing w:line="220" w:lineRule="atLeast"/>
              <w:jc w:val="left"/>
            </w:pPr>
            <w:r>
              <w:rPr>
                <w:sz w:val="15"/>
                <w:szCs w:val="15"/>
              </w:rPr>
              <w:t xml:space="preserve">STT: STT ± graphic organizer vs. handwriting ± organizer</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Fälth, Björklund, et al., 2025</w:t>
            </w:r>
          </w:p>
        </w:tc>
        <w:tc>
          <w:tcPr>
            <w:tcW w:w="1700" w:type="dxa"/>
          </w:tcPr>
          <w:p>
            <w:pPr>
              <w:pStyle w:val="MDPI42tablebody"/>
              <w:spacing w:line="220" w:lineRule="atLeast"/>
              <w:jc w:val="left"/>
            </w:pPr>
            <w:r>
              <w:rPr>
                <w:sz w:val="15"/>
                <w:szCs w:val="15"/>
              </w:rPr>
              <w:t xml:space="preserve">A–B design</w:t>
            </w:r>
          </w:p>
        </w:tc>
        <w:tc>
          <w:tcPr>
            <w:tcW w:w="1000" w:type="dxa"/>
          </w:tcPr>
          <w:p>
            <w:pPr>
              <w:pStyle w:val="MDPI42tablebody"/>
              <w:spacing w:line="220" w:lineRule="atLeast"/>
              <w:jc w:val="left"/>
            </w:pPr>
            <w:r>
              <w:rPr>
                <w:sz w:val="15"/>
                <w:szCs w:val="15"/>
              </w:rPr>
              <w:t xml:space="preserve">7</w:t>
            </w:r>
          </w:p>
        </w:tc>
        <w:tc>
          <w:tcPr>
            <w:tcW w:w="1850" w:type="dxa"/>
          </w:tcPr>
          <w:p>
            <w:pPr>
              <w:pStyle w:val="MDPI42tablebody"/>
              <w:spacing w:line="220" w:lineRule="atLeast"/>
              <w:jc w:val="left"/>
            </w:pPr>
            <w:r>
              <w:rPr>
                <w:sz w:val="15"/>
                <w:szCs w:val="15"/>
              </w:rPr>
              <w:t xml:space="preserve">Mild intellectual disability; 10–13 y</w:t>
            </w:r>
          </w:p>
        </w:tc>
        <w:tc>
          <w:tcPr>
            <w:tcW w:w="2766" w:type="dxa"/>
          </w:tcPr>
          <w:p>
            <w:pPr>
              <w:pStyle w:val="MDPI42tablebody"/>
              <w:spacing w:line="220" w:lineRule="atLeast"/>
              <w:jc w:val="left"/>
            </w:pPr>
            <w:r>
              <w:rPr>
                <w:sz w:val="15"/>
                <w:szCs w:val="15"/>
              </w:rPr>
              <w:t xml:space="preserve">STT: STT + writing instruction vs. keyboard baseline</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Fälth, Nilsson, et al., 2025</w:t>
            </w:r>
          </w:p>
        </w:tc>
        <w:tc>
          <w:tcPr>
            <w:tcW w:w="1700" w:type="dxa"/>
          </w:tcPr>
          <w:p>
            <w:pPr>
              <w:pStyle w:val="MDPI42tablebody"/>
              <w:spacing w:line="220" w:lineRule="atLeast"/>
              <w:jc w:val="left"/>
            </w:pPr>
            <w:r>
              <w:rPr>
                <w:sz w:val="15"/>
                <w:szCs w:val="15"/>
              </w:rPr>
              <w:t xml:space="preserve">Two-condition comparison</w:t>
            </w:r>
          </w:p>
        </w:tc>
        <w:tc>
          <w:tcPr>
            <w:tcW w:w="1000" w:type="dxa"/>
          </w:tcPr>
          <w:p>
            <w:pPr>
              <w:pStyle w:val="MDPI42tablebody"/>
              <w:spacing w:line="220" w:lineRule="atLeast"/>
              <w:jc w:val="left"/>
            </w:pPr>
            <w:r>
              <w:rPr>
                <w:sz w:val="15"/>
                <w:szCs w:val="15"/>
              </w:rPr>
              <w:t xml:space="preserve">5</w:t>
            </w:r>
          </w:p>
        </w:tc>
        <w:tc>
          <w:tcPr>
            <w:tcW w:w="1850" w:type="dxa"/>
          </w:tcPr>
          <w:p>
            <w:pPr>
              <w:pStyle w:val="MDPI42tablebody"/>
              <w:spacing w:line="220" w:lineRule="atLeast"/>
              <w:jc w:val="left"/>
            </w:pPr>
            <w:r>
              <w:rPr>
                <w:sz w:val="15"/>
                <w:szCs w:val="15"/>
              </w:rPr>
              <w:t xml:space="preserve">Mild intellectual disability</w:t>
            </w:r>
          </w:p>
        </w:tc>
        <w:tc>
          <w:tcPr>
            <w:tcW w:w="2766" w:type="dxa"/>
          </w:tcPr>
          <w:p>
            <w:pPr>
              <w:pStyle w:val="MDPI42tablebody"/>
              <w:spacing w:line="220" w:lineRule="atLeast"/>
              <w:jc w:val="left"/>
            </w:pPr>
            <w:r>
              <w:rPr>
                <w:sz w:val="15"/>
                <w:szCs w:val="15"/>
              </w:rPr>
              <w:t xml:space="preserve">TTS: Listening with TTS vs. independent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Franklin et al., 2026</w:t>
            </w:r>
          </w:p>
        </w:tc>
        <w:tc>
          <w:tcPr>
            <w:tcW w:w="1700" w:type="dxa"/>
          </w:tcPr>
          <w:p>
            <w:pPr>
              <w:pStyle w:val="MDPI42tablebody"/>
              <w:spacing w:line="220" w:lineRule="atLeast"/>
              <w:jc w:val="left"/>
            </w:pPr>
            <w:r>
              <w:rPr>
                <w:sz w:val="15"/>
                <w:szCs w:val="15"/>
              </w:rPr>
              <w:t xml:space="preserve">Alternating treatments</w:t>
            </w:r>
          </w:p>
        </w:tc>
        <w:tc>
          <w:tcPr>
            <w:tcW w:w="1000" w:type="dxa"/>
          </w:tcPr>
          <w:p>
            <w:pPr>
              <w:pStyle w:val="MDPI42tablebody"/>
              <w:spacing w:line="220" w:lineRule="atLeast"/>
              <w:jc w:val="left"/>
            </w:pPr>
            <w:r>
              <w:rPr>
                <w:sz w:val="15"/>
                <w:szCs w:val="15"/>
              </w:rPr>
              <w:t xml:space="preserve">3</w:t>
            </w:r>
          </w:p>
        </w:tc>
        <w:tc>
          <w:tcPr>
            <w:tcW w:w="1850" w:type="dxa"/>
          </w:tcPr>
          <w:p>
            <w:pPr>
              <w:pStyle w:val="MDPI42tablebody"/>
              <w:spacing w:line="220" w:lineRule="atLeast"/>
              <w:jc w:val="left"/>
            </w:pPr>
            <w:r>
              <w:rPr>
                <w:sz w:val="15"/>
                <w:szCs w:val="15"/>
              </w:rPr>
              <w:t xml:space="preserve">Cerebral palsy; adolescents</w:t>
            </w:r>
          </w:p>
        </w:tc>
        <w:tc>
          <w:tcPr>
            <w:tcW w:w="2766" w:type="dxa"/>
          </w:tcPr>
          <w:p>
            <w:pPr>
              <w:pStyle w:val="MDPI42tablebody"/>
              <w:spacing w:line="220" w:lineRule="atLeast"/>
              <w:jc w:val="left"/>
            </w:pPr>
            <w:r>
              <w:rPr>
                <w:sz w:val="15"/>
                <w:szCs w:val="15"/>
              </w:rPr>
              <w:t xml:space="preserve">STT: STT vs. handwriting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Garrett et al., 2011</w:t>
            </w:r>
          </w:p>
        </w:tc>
        <w:tc>
          <w:tcPr>
            <w:tcW w:w="1700" w:type="dxa"/>
          </w:tcPr>
          <w:p>
            <w:pPr>
              <w:pStyle w:val="MDPI42tablebody"/>
              <w:spacing w:line="220" w:lineRule="atLeast"/>
              <w:jc w:val="left"/>
            </w:pPr>
            <w:r>
              <w:rPr>
                <w:sz w:val="15"/>
                <w:szCs w:val="15"/>
              </w:rPr>
              <w:t xml:space="preserve">Alternating treatments</w:t>
            </w:r>
          </w:p>
        </w:tc>
        <w:tc>
          <w:tcPr>
            <w:tcW w:w="1000" w:type="dxa"/>
          </w:tcPr>
          <w:p>
            <w:pPr>
              <w:pStyle w:val="MDPI42tablebody"/>
              <w:spacing w:line="220" w:lineRule="atLeast"/>
              <w:jc w:val="left"/>
            </w:pPr>
            <w:r>
              <w:rPr>
                <w:sz w:val="15"/>
                <w:szCs w:val="15"/>
              </w:rPr>
              <w:t xml:space="preserve">5 (thesis)</w:t>
            </w:r>
          </w:p>
        </w:tc>
        <w:tc>
          <w:tcPr>
            <w:tcW w:w="1850" w:type="dxa"/>
          </w:tcPr>
          <w:p>
            <w:pPr>
              <w:pStyle w:val="MDPI42tablebody"/>
              <w:spacing w:line="220" w:lineRule="atLeast"/>
              <w:jc w:val="left"/>
            </w:pPr>
            <w:r>
              <w:rPr>
                <w:sz w:val="15"/>
                <w:szCs w:val="15"/>
              </w:rPr>
              <w:t xml:space="preserve">Physical disabilities; grades 9–12</w:t>
            </w:r>
          </w:p>
        </w:tc>
        <w:tc>
          <w:tcPr>
            <w:tcW w:w="2766" w:type="dxa"/>
          </w:tcPr>
          <w:p>
            <w:pPr>
              <w:pStyle w:val="MDPI42tablebody"/>
              <w:spacing w:line="220" w:lineRule="atLeast"/>
              <w:jc w:val="left"/>
            </w:pPr>
            <w:r>
              <w:rPr>
                <w:sz w:val="15"/>
                <w:szCs w:val="15"/>
              </w:rPr>
              <w:t xml:space="preserve">STT: STT vs. word processing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Izzo et al., 2009</w:t>
            </w:r>
          </w:p>
        </w:tc>
        <w:tc>
          <w:tcPr>
            <w:tcW w:w="1700" w:type="dxa"/>
          </w:tcPr>
          <w:p>
            <w:pPr>
              <w:pStyle w:val="MDPI42tablebody"/>
              <w:spacing w:line="220" w:lineRule="atLeast"/>
              <w:jc w:val="left"/>
            </w:pPr>
            <w:r>
              <w:rPr>
                <w:sz w:val="15"/>
                <w:szCs w:val="15"/>
              </w:rPr>
              <w:t xml:space="preserve">Repeated-phase withdrawal</w:t>
            </w:r>
          </w:p>
        </w:tc>
        <w:tc>
          <w:tcPr>
            <w:tcW w:w="1000" w:type="dxa"/>
          </w:tcPr>
          <w:p>
            <w:pPr>
              <w:pStyle w:val="MDPI42tablebody"/>
              <w:spacing w:line="220" w:lineRule="atLeast"/>
              <w:jc w:val="left"/>
            </w:pPr>
            <w:r>
              <w:rPr>
                <w:sz w:val="15"/>
                <w:szCs w:val="15"/>
              </w:rPr>
              <w:t xml:space="preserve">7 analyzed (9 enrolled)</w:t>
            </w:r>
          </w:p>
        </w:tc>
        <w:tc>
          <w:tcPr>
            <w:tcW w:w="1850" w:type="dxa"/>
          </w:tcPr>
          <w:p>
            <w:pPr>
              <w:pStyle w:val="MDPI42tablebody"/>
              <w:spacing w:line="220" w:lineRule="atLeast"/>
              <w:jc w:val="left"/>
            </w:pPr>
            <w:r>
              <w:rPr>
                <w:sz w:val="15"/>
                <w:szCs w:val="15"/>
              </w:rPr>
              <w:t xml:space="preserve">Mixed disabilities; grades 9–12</w:t>
            </w:r>
          </w:p>
        </w:tc>
        <w:tc>
          <w:tcPr>
            <w:tcW w:w="2766" w:type="dxa"/>
          </w:tcPr>
          <w:p>
            <w:pPr>
              <w:pStyle w:val="MDPI42tablebody"/>
              <w:spacing w:line="220" w:lineRule="atLeast"/>
              <w:jc w:val="left"/>
            </w:pPr>
            <w:r>
              <w:rPr>
                <w:sz w:val="15"/>
                <w:szCs w:val="15"/>
              </w:rPr>
              <w:t xml:space="preserve">TTS: TTS vs. same curriculum without TTS</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McCarthy et al., 2016</w:t>
            </w:r>
          </w:p>
        </w:tc>
        <w:tc>
          <w:tcPr>
            <w:tcW w:w="1700" w:type="dxa"/>
          </w:tcPr>
          <w:p>
            <w:pPr>
              <w:pStyle w:val="MDPI42tablebody"/>
              <w:spacing w:line="220" w:lineRule="atLeast"/>
              <w:jc w:val="left"/>
            </w:pPr>
            <w:r>
              <w:rPr>
                <w:sz w:val="15"/>
                <w:szCs w:val="15"/>
              </w:rPr>
              <w:t xml:space="preserve">Adapted alternating treatments</w:t>
            </w:r>
          </w:p>
        </w:tc>
        <w:tc>
          <w:tcPr>
            <w:tcW w:w="1000" w:type="dxa"/>
          </w:tcPr>
          <w:p>
            <w:pPr>
              <w:pStyle w:val="MDPI42tablebody"/>
              <w:spacing w:line="220" w:lineRule="atLeast"/>
              <w:jc w:val="left"/>
            </w:pPr>
            <w:r>
              <w:rPr>
                <w:sz w:val="15"/>
                <w:szCs w:val="15"/>
              </w:rPr>
              <w:t xml:space="preserve">10</w:t>
            </w:r>
          </w:p>
        </w:tc>
        <w:tc>
          <w:tcPr>
            <w:tcW w:w="1850" w:type="dxa"/>
          </w:tcPr>
          <w:p>
            <w:pPr>
              <w:pStyle w:val="MDPI42tablebody"/>
              <w:spacing w:line="220" w:lineRule="atLeast"/>
              <w:jc w:val="left"/>
            </w:pPr>
            <w:r>
              <w:rPr>
                <w:sz w:val="15"/>
                <w:szCs w:val="15"/>
              </w:rPr>
              <w:t xml:space="preserve">Visual impairment, Braille learners; 4 y 11 m–14 y 11 m</w:t>
            </w:r>
          </w:p>
        </w:tc>
        <w:tc>
          <w:tcPr>
            <w:tcW w:w="2766" w:type="dxa"/>
          </w:tcPr>
          <w:p>
            <w:pPr>
              <w:pStyle w:val="MDPI42tablebody"/>
              <w:spacing w:line="220" w:lineRule="atLeast"/>
              <w:jc w:val="left"/>
            </w:pPr>
            <w:r>
              <w:rPr>
                <w:sz w:val="15"/>
                <w:szCs w:val="15"/>
              </w:rPr>
              <w:t xml:space="preserve">BRL: Adaptive Braille tutor + teacher vs. teacher only</w:t>
            </w:r>
          </w:p>
        </w:tc>
        <w:tc>
          <w:tcPr>
            <w:tcW w:w="650" w:type="dxa"/>
          </w:tcPr>
          <w:p>
            <w:pPr>
              <w:pStyle w:val="MDPI42tablebody"/>
              <w:spacing w:line="220" w:lineRule="atLeast"/>
              <w:jc w:val="left"/>
            </w:pPr>
            <w:r>
              <w:rPr>
                <w:sz w:val="15"/>
                <w:szCs w:val="15"/>
              </w:rPr>
              <w:t xml:space="preserve">P</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Meyer &amp; Bouck, 2014</w:t>
            </w:r>
          </w:p>
        </w:tc>
        <w:tc>
          <w:tcPr>
            <w:tcW w:w="1700" w:type="dxa"/>
          </w:tcPr>
          <w:p>
            <w:pPr>
              <w:pStyle w:val="MDPI42tablebody"/>
              <w:spacing w:line="220" w:lineRule="atLeast"/>
              <w:jc w:val="left"/>
            </w:pPr>
            <w:r>
              <w:rPr>
                <w:sz w:val="15"/>
                <w:szCs w:val="15"/>
              </w:rPr>
              <w:t xml:space="preserve">Multiple baseline</w:t>
            </w:r>
          </w:p>
        </w:tc>
        <w:tc>
          <w:tcPr>
            <w:tcW w:w="1000" w:type="dxa"/>
          </w:tcPr>
          <w:p>
            <w:pPr>
              <w:pStyle w:val="MDPI42tablebody"/>
              <w:spacing w:line="220" w:lineRule="atLeast"/>
              <w:jc w:val="left"/>
            </w:pPr>
            <w:r>
              <w:rPr>
                <w:sz w:val="15"/>
                <w:szCs w:val="15"/>
              </w:rPr>
              <w:t xml:space="preserve">3</w:t>
            </w:r>
          </w:p>
        </w:tc>
        <w:tc>
          <w:tcPr>
            <w:tcW w:w="1850" w:type="dxa"/>
          </w:tcPr>
          <w:p>
            <w:pPr>
              <w:pStyle w:val="MDPI42tablebody"/>
              <w:spacing w:line="220" w:lineRule="atLeast"/>
              <w:jc w:val="left"/>
            </w:pPr>
            <w:r>
              <w:rPr>
                <w:sz w:val="15"/>
                <w:szCs w:val="15"/>
              </w:rPr>
              <w:t xml:space="preserve">Reading disabilities; junior high</w:t>
            </w:r>
          </w:p>
        </w:tc>
        <w:tc>
          <w:tcPr>
            <w:tcW w:w="2766" w:type="dxa"/>
          </w:tcPr>
          <w:p>
            <w:pPr>
              <w:pStyle w:val="MDPI42tablebody"/>
              <w:spacing w:line="220" w:lineRule="atLeast"/>
              <w:jc w:val="left"/>
            </w:pPr>
            <w:r>
              <w:rPr>
                <w:sz w:val="15"/>
                <w:szCs w:val="15"/>
              </w:rPr>
              <w:t xml:space="preserve">TTS: TTS vs. unsupported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Meyer &amp; Bouck, 2017</w:t>
            </w:r>
          </w:p>
        </w:tc>
        <w:tc>
          <w:tcPr>
            <w:tcW w:w="1700" w:type="dxa"/>
          </w:tcPr>
          <w:p>
            <w:pPr>
              <w:pStyle w:val="MDPI42tablebody"/>
              <w:spacing w:line="220" w:lineRule="atLeast"/>
              <w:jc w:val="left"/>
            </w:pPr>
            <w:r>
              <w:rPr>
                <w:sz w:val="15"/>
                <w:szCs w:val="15"/>
              </w:rPr>
              <w:t xml:space="preserve">Alternating treatments</w:t>
            </w:r>
          </w:p>
        </w:tc>
        <w:tc>
          <w:tcPr>
            <w:tcW w:w="1000" w:type="dxa"/>
          </w:tcPr>
          <w:p>
            <w:pPr>
              <w:pStyle w:val="MDPI42tablebody"/>
              <w:spacing w:line="220" w:lineRule="atLeast"/>
              <w:jc w:val="left"/>
            </w:pPr>
            <w:r>
              <w:rPr>
                <w:sz w:val="15"/>
                <w:szCs w:val="15"/>
              </w:rPr>
              <w:t xml:space="preserve">4</w:t>
            </w:r>
          </w:p>
        </w:tc>
        <w:tc>
          <w:tcPr>
            <w:tcW w:w="1850" w:type="dxa"/>
          </w:tcPr>
          <w:p>
            <w:pPr>
              <w:pStyle w:val="MDPI42tablebody"/>
              <w:spacing w:line="220" w:lineRule="atLeast"/>
              <w:jc w:val="left"/>
            </w:pPr>
            <w:r>
              <w:rPr>
                <w:sz w:val="15"/>
                <w:szCs w:val="15"/>
              </w:rPr>
              <w:t xml:space="preserve">Reading learning disabilities; secondary</w:t>
            </w:r>
          </w:p>
        </w:tc>
        <w:tc>
          <w:tcPr>
            <w:tcW w:w="2766" w:type="dxa"/>
          </w:tcPr>
          <w:p>
            <w:pPr>
              <w:pStyle w:val="MDPI42tablebody"/>
              <w:spacing w:line="220" w:lineRule="atLeast"/>
              <w:jc w:val="left"/>
            </w:pPr>
            <w:r>
              <w:rPr>
                <w:sz w:val="15"/>
                <w:szCs w:val="15"/>
              </w:rPr>
              <w:t xml:space="preserve">TTS: TTS vs. live read-aloud vs. independent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Moorman et al., 2010</w:t>
            </w:r>
          </w:p>
        </w:tc>
        <w:tc>
          <w:tcPr>
            <w:tcW w:w="1700" w:type="dxa"/>
          </w:tcPr>
          <w:p>
            <w:pPr>
              <w:pStyle w:val="MDPI42tablebody"/>
              <w:spacing w:line="220" w:lineRule="atLeast"/>
              <w:jc w:val="left"/>
            </w:pPr>
            <w:r>
              <w:rPr>
                <w:sz w:val="15"/>
                <w:szCs w:val="15"/>
              </w:rPr>
              <w:t xml:space="preserve">A–B–A–B withdrawal</w:t>
            </w:r>
          </w:p>
        </w:tc>
        <w:tc>
          <w:tcPr>
            <w:tcW w:w="1000" w:type="dxa"/>
          </w:tcPr>
          <w:p>
            <w:pPr>
              <w:pStyle w:val="MDPI42tablebody"/>
              <w:spacing w:line="220" w:lineRule="atLeast"/>
              <w:jc w:val="left"/>
            </w:pPr>
            <w:r>
              <w:rPr>
                <w:sz w:val="15"/>
                <w:szCs w:val="15"/>
              </w:rPr>
              <w:t xml:space="preserve">2</w:t>
            </w:r>
          </w:p>
        </w:tc>
        <w:tc>
          <w:tcPr>
            <w:tcW w:w="1850" w:type="dxa"/>
          </w:tcPr>
          <w:p>
            <w:pPr>
              <w:pStyle w:val="MDPI42tablebody"/>
              <w:spacing w:line="220" w:lineRule="atLeast"/>
              <w:jc w:val="left"/>
            </w:pPr>
            <w:r>
              <w:rPr>
                <w:sz w:val="15"/>
                <w:szCs w:val="15"/>
              </w:rPr>
              <w:t xml:space="preserve">Specific learning disabilities; high school</w:t>
            </w:r>
          </w:p>
        </w:tc>
        <w:tc>
          <w:tcPr>
            <w:tcW w:w="2766" w:type="dxa"/>
          </w:tcPr>
          <w:p>
            <w:pPr>
              <w:pStyle w:val="MDPI42tablebody"/>
              <w:spacing w:line="220" w:lineRule="atLeast"/>
              <w:jc w:val="left"/>
            </w:pPr>
            <w:r>
              <w:rPr>
                <w:sz w:val="15"/>
                <w:szCs w:val="15"/>
              </w:rPr>
              <w:t xml:space="preserve">TTS: TTS vs. unsupported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Noakes et al., 2019</w:t>
            </w:r>
          </w:p>
        </w:tc>
        <w:tc>
          <w:tcPr>
            <w:tcW w:w="1700" w:type="dxa"/>
          </w:tcPr>
          <w:p>
            <w:pPr>
              <w:pStyle w:val="MDPI42tablebody"/>
              <w:spacing w:line="220" w:lineRule="atLeast"/>
              <w:jc w:val="left"/>
            </w:pPr>
            <w:r>
              <w:rPr>
                <w:sz w:val="15"/>
                <w:szCs w:val="15"/>
              </w:rPr>
              <w:t xml:space="preserve">Single-case comparison</w:t>
            </w:r>
          </w:p>
        </w:tc>
        <w:tc>
          <w:tcPr>
            <w:tcW w:w="1000" w:type="dxa"/>
          </w:tcPr>
          <w:p>
            <w:pPr>
              <w:pStyle w:val="MDPI42tablebody"/>
              <w:spacing w:line="220" w:lineRule="atLeast"/>
              <w:jc w:val="left"/>
            </w:pPr>
            <w:r>
              <w:rPr>
                <w:sz w:val="15"/>
                <w:szCs w:val="15"/>
              </w:rPr>
              <w:t xml:space="preserve">3</w:t>
            </w:r>
          </w:p>
        </w:tc>
        <w:tc>
          <w:tcPr>
            <w:tcW w:w="1850" w:type="dxa"/>
          </w:tcPr>
          <w:p>
            <w:pPr>
              <w:pStyle w:val="MDPI42tablebody"/>
              <w:spacing w:line="220" w:lineRule="atLeast"/>
              <w:jc w:val="left"/>
            </w:pPr>
            <w:r>
              <w:rPr>
                <w:sz w:val="15"/>
                <w:szCs w:val="15"/>
              </w:rPr>
              <w:t xml:space="preserve">Traumatic brain injury; grades 4–9</w:t>
            </w:r>
          </w:p>
        </w:tc>
        <w:tc>
          <w:tcPr>
            <w:tcW w:w="2766" w:type="dxa"/>
          </w:tcPr>
          <w:p>
            <w:pPr>
              <w:pStyle w:val="MDPI42tablebody"/>
              <w:spacing w:line="220" w:lineRule="atLeast"/>
              <w:jc w:val="left"/>
            </w:pPr>
            <w:r>
              <w:rPr>
                <w:sz w:val="15"/>
                <w:szCs w:val="15"/>
              </w:rPr>
              <w:t xml:space="preserve">STT: STT vs. handwriting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Nuraini Herawati et al., 2022</w:t>
            </w:r>
          </w:p>
        </w:tc>
        <w:tc>
          <w:tcPr>
            <w:tcW w:w="1700" w:type="dxa"/>
          </w:tcPr>
          <w:p>
            <w:pPr>
              <w:pStyle w:val="MDPI42tablebody"/>
              <w:spacing w:line="220" w:lineRule="atLeast"/>
              <w:jc w:val="left"/>
            </w:pPr>
            <w:r>
              <w:rPr>
                <w:sz w:val="15"/>
                <w:szCs w:val="15"/>
              </w:rPr>
              <w:t xml:space="preserve">A–B–A design</w:t>
            </w:r>
          </w:p>
        </w:tc>
        <w:tc>
          <w:tcPr>
            <w:tcW w:w="1000" w:type="dxa"/>
          </w:tcPr>
          <w:p>
            <w:pPr>
              <w:pStyle w:val="MDPI42tablebody"/>
              <w:spacing w:line="220" w:lineRule="atLeast"/>
              <w:jc w:val="left"/>
            </w:pPr>
            <w:r>
              <w:rPr>
                <w:sz w:val="15"/>
                <w:szCs w:val="15"/>
              </w:rPr>
              <w:t xml:space="preserve">2</w:t>
            </w:r>
          </w:p>
        </w:tc>
        <w:tc>
          <w:tcPr>
            <w:tcW w:w="1850" w:type="dxa"/>
          </w:tcPr>
          <w:p>
            <w:pPr>
              <w:pStyle w:val="MDPI42tablebody"/>
              <w:spacing w:line="220" w:lineRule="atLeast"/>
              <w:jc w:val="left"/>
            </w:pPr>
            <w:r>
              <w:rPr>
                <w:sz w:val="15"/>
                <w:szCs w:val="15"/>
              </w:rPr>
              <w:t xml:space="preserve">ADHD; grade 2</w:t>
            </w:r>
          </w:p>
        </w:tc>
        <w:tc>
          <w:tcPr>
            <w:tcW w:w="2766" w:type="dxa"/>
          </w:tcPr>
          <w:p>
            <w:pPr>
              <w:pStyle w:val="MDPI42tablebody"/>
              <w:spacing w:line="220" w:lineRule="atLeast"/>
              <w:jc w:val="left"/>
            </w:pPr>
            <w:r>
              <w:rPr>
                <w:sz w:val="15"/>
                <w:szCs w:val="15"/>
              </w:rPr>
              <w:t xml:space="preserve">TTS: TTS-supported e-learning vs. baseline</w:t>
            </w:r>
          </w:p>
        </w:tc>
        <w:tc>
          <w:tcPr>
            <w:tcW w:w="650" w:type="dxa"/>
          </w:tcPr>
          <w:p>
            <w:pPr>
              <w:pStyle w:val="MDPI42tablebody"/>
              <w:spacing w:line="220" w:lineRule="atLeast"/>
              <w:jc w:val="left"/>
            </w:pPr>
            <w:r>
              <w:rPr>
                <w:sz w:val="15"/>
                <w:szCs w:val="15"/>
              </w:rPr>
              <w:t xml:space="preserve">X</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Sand et al., 2025</w:t>
            </w:r>
          </w:p>
        </w:tc>
        <w:tc>
          <w:tcPr>
            <w:tcW w:w="1700" w:type="dxa"/>
          </w:tcPr>
          <w:p>
            <w:pPr>
              <w:pStyle w:val="MDPI42tablebody"/>
              <w:spacing w:line="220" w:lineRule="atLeast"/>
              <w:jc w:val="left"/>
            </w:pPr>
            <w:r>
              <w:rPr>
                <w:sz w:val="15"/>
                <w:szCs w:val="15"/>
              </w:rPr>
              <w:t xml:space="preserve">A–B design with maintenance</w:t>
            </w:r>
          </w:p>
        </w:tc>
        <w:tc>
          <w:tcPr>
            <w:tcW w:w="1000" w:type="dxa"/>
          </w:tcPr>
          <w:p>
            <w:pPr>
              <w:pStyle w:val="MDPI42tablebody"/>
              <w:spacing w:line="220" w:lineRule="atLeast"/>
              <w:jc w:val="left"/>
            </w:pPr>
            <w:r>
              <w:rPr>
                <w:sz w:val="15"/>
                <w:szCs w:val="15"/>
              </w:rPr>
              <w:t xml:space="preserve">4</w:t>
            </w:r>
          </w:p>
        </w:tc>
        <w:tc>
          <w:tcPr>
            <w:tcW w:w="1850" w:type="dxa"/>
          </w:tcPr>
          <w:p>
            <w:pPr>
              <w:pStyle w:val="MDPI42tablebody"/>
              <w:spacing w:line="220" w:lineRule="atLeast"/>
              <w:jc w:val="left"/>
            </w:pPr>
            <w:r>
              <w:rPr>
                <w:sz w:val="15"/>
                <w:szCs w:val="15"/>
              </w:rPr>
              <w:t xml:space="preserve">Mild intellectual disability; 10–13 y</w:t>
            </w:r>
          </w:p>
        </w:tc>
        <w:tc>
          <w:tcPr>
            <w:tcW w:w="2766" w:type="dxa"/>
          </w:tcPr>
          <w:p>
            <w:pPr>
              <w:pStyle w:val="MDPI42tablebody"/>
              <w:spacing w:line="220" w:lineRule="atLeast"/>
              <w:jc w:val="left"/>
            </w:pPr>
            <w:r>
              <w:rPr>
                <w:sz w:val="15"/>
                <w:szCs w:val="15"/>
              </w:rPr>
              <w:t xml:space="preserve">STT: STT intervention vs. baseline</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Schmitt et al., 2019</w:t>
            </w:r>
          </w:p>
        </w:tc>
        <w:tc>
          <w:tcPr>
            <w:tcW w:w="1700" w:type="dxa"/>
          </w:tcPr>
          <w:p>
            <w:pPr>
              <w:pStyle w:val="MDPI42tablebody"/>
              <w:spacing w:line="220" w:lineRule="atLeast"/>
              <w:jc w:val="left"/>
            </w:pPr>
            <w:r>
              <w:rPr>
                <w:sz w:val="15"/>
                <w:szCs w:val="15"/>
              </w:rPr>
              <w:t xml:space="preserve">Adapted alternating treatments</w:t>
            </w:r>
          </w:p>
        </w:tc>
        <w:tc>
          <w:tcPr>
            <w:tcW w:w="1000" w:type="dxa"/>
          </w:tcPr>
          <w:p>
            <w:pPr>
              <w:pStyle w:val="MDPI42tablebody"/>
              <w:spacing w:line="220" w:lineRule="atLeast"/>
              <w:jc w:val="left"/>
            </w:pPr>
            <w:r>
              <w:rPr>
                <w:sz w:val="15"/>
                <w:szCs w:val="15"/>
              </w:rPr>
              <w:t xml:space="preserve">4</w:t>
            </w:r>
          </w:p>
        </w:tc>
        <w:tc>
          <w:tcPr>
            <w:tcW w:w="1850" w:type="dxa"/>
          </w:tcPr>
          <w:p>
            <w:pPr>
              <w:pStyle w:val="MDPI42tablebody"/>
              <w:spacing w:line="220" w:lineRule="atLeast"/>
              <w:jc w:val="left"/>
            </w:pPr>
            <w:r>
              <w:rPr>
                <w:sz w:val="15"/>
                <w:szCs w:val="15"/>
              </w:rPr>
              <w:t xml:space="preserve">Reading learning disabilities; middle school</w:t>
            </w:r>
          </w:p>
        </w:tc>
        <w:tc>
          <w:tcPr>
            <w:tcW w:w="2766" w:type="dxa"/>
          </w:tcPr>
          <w:p>
            <w:pPr>
              <w:pStyle w:val="MDPI42tablebody"/>
              <w:spacing w:line="220" w:lineRule="atLeast"/>
              <w:jc w:val="left"/>
            </w:pPr>
            <w:r>
              <w:rPr>
                <w:sz w:val="15"/>
                <w:szCs w:val="15"/>
              </w:rPr>
              <w:t xml:space="preserve">TTS: Continuous TTS vs. reading pen vs. silent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Schneider et al., 2013</w:t>
            </w:r>
          </w:p>
        </w:tc>
        <w:tc>
          <w:tcPr>
            <w:tcW w:w="1700" w:type="dxa"/>
          </w:tcPr>
          <w:p>
            <w:pPr>
              <w:pStyle w:val="MDPI42tablebody"/>
              <w:spacing w:line="220" w:lineRule="atLeast"/>
              <w:jc w:val="left"/>
            </w:pPr>
            <w:r>
              <w:rPr>
                <w:sz w:val="15"/>
                <w:szCs w:val="15"/>
              </w:rPr>
              <w:t xml:space="preserve">Multiphase alternating treatments</w:t>
            </w:r>
          </w:p>
        </w:tc>
        <w:tc>
          <w:tcPr>
            <w:tcW w:w="1000" w:type="dxa"/>
          </w:tcPr>
          <w:p>
            <w:pPr>
              <w:pStyle w:val="MDPI42tablebody"/>
              <w:spacing w:line="220" w:lineRule="atLeast"/>
              <w:jc w:val="left"/>
            </w:pPr>
            <w:r>
              <w:rPr>
                <w:sz w:val="15"/>
                <w:szCs w:val="15"/>
              </w:rPr>
              <w:t xml:space="preserve">4</w:t>
            </w:r>
          </w:p>
        </w:tc>
        <w:tc>
          <w:tcPr>
            <w:tcW w:w="1850" w:type="dxa"/>
          </w:tcPr>
          <w:p>
            <w:pPr>
              <w:pStyle w:val="MDPI42tablebody"/>
              <w:spacing w:line="220" w:lineRule="atLeast"/>
              <w:jc w:val="left"/>
            </w:pPr>
            <w:r>
              <w:rPr>
                <w:sz w:val="15"/>
                <w:szCs w:val="15"/>
              </w:rPr>
              <w:t xml:space="preserve">Asperger syndrome; grades 4–6</w:t>
            </w:r>
          </w:p>
        </w:tc>
        <w:tc>
          <w:tcPr>
            <w:tcW w:w="2766" w:type="dxa"/>
          </w:tcPr>
          <w:p>
            <w:pPr>
              <w:pStyle w:val="MDPI42tablebody"/>
              <w:spacing w:line="220" w:lineRule="atLeast"/>
              <w:jc w:val="left"/>
            </w:pPr>
            <w:r>
              <w:rPr>
                <w:sz w:val="15"/>
                <w:szCs w:val="15"/>
              </w:rPr>
              <w:t xml:space="preserve">STT: STT vs. handwriting vs. keyboarding (± strategy instruction)</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Silió &amp; Barbetta, 2010</w:t>
            </w:r>
          </w:p>
        </w:tc>
        <w:tc>
          <w:tcPr>
            <w:tcW w:w="1700" w:type="dxa"/>
          </w:tcPr>
          <w:p>
            <w:pPr>
              <w:pStyle w:val="MDPI42tablebody"/>
              <w:spacing w:line="220" w:lineRule="atLeast"/>
              <w:jc w:val="left"/>
            </w:pPr>
            <w:r>
              <w:rPr>
                <w:sz w:val="15"/>
                <w:szCs w:val="15"/>
              </w:rPr>
              <w:t xml:space="preserve">Multiple baseline</w:t>
            </w:r>
          </w:p>
        </w:tc>
        <w:tc>
          <w:tcPr>
            <w:tcW w:w="1000" w:type="dxa"/>
          </w:tcPr>
          <w:p>
            <w:pPr>
              <w:pStyle w:val="MDPI42tablebody"/>
              <w:spacing w:line="220" w:lineRule="atLeast"/>
              <w:jc w:val="left"/>
            </w:pPr>
            <w:r>
              <w:rPr>
                <w:sz w:val="15"/>
                <w:szCs w:val="15"/>
              </w:rPr>
              <w:t xml:space="preserve">6</w:t>
            </w:r>
          </w:p>
        </w:tc>
        <w:tc>
          <w:tcPr>
            <w:tcW w:w="1850" w:type="dxa"/>
          </w:tcPr>
          <w:p>
            <w:pPr>
              <w:pStyle w:val="MDPI42tablebody"/>
              <w:spacing w:line="220" w:lineRule="atLeast"/>
              <w:jc w:val="left"/>
            </w:pPr>
            <w:r>
              <w:rPr>
                <w:sz w:val="15"/>
                <w:szCs w:val="15"/>
              </w:rPr>
              <w:t xml:space="preserve">Specific learning disabilities; grade 5</w:t>
            </w:r>
          </w:p>
        </w:tc>
        <w:tc>
          <w:tcPr>
            <w:tcW w:w="2766" w:type="dxa"/>
          </w:tcPr>
          <w:p>
            <w:pPr>
              <w:pStyle w:val="MDPI42tablebody"/>
              <w:spacing w:line="220" w:lineRule="atLeast"/>
              <w:jc w:val="left"/>
            </w:pPr>
            <w:r>
              <w:rPr>
                <w:sz w:val="15"/>
                <w:szCs w:val="15"/>
              </w:rPr>
              <w:t xml:space="preserve">TTS: TTS and/or word prediction vs. word-processing baseline</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Sulaimon &amp; Schaefer, 2023</w:t>
            </w:r>
          </w:p>
        </w:tc>
        <w:tc>
          <w:tcPr>
            <w:tcW w:w="1700" w:type="dxa"/>
          </w:tcPr>
          <w:p>
            <w:pPr>
              <w:pStyle w:val="MDPI42tablebody"/>
              <w:spacing w:line="220" w:lineRule="atLeast"/>
              <w:jc w:val="left"/>
            </w:pPr>
            <w:r>
              <w:rPr>
                <w:sz w:val="15"/>
                <w:szCs w:val="15"/>
              </w:rPr>
              <w:t xml:space="preserve">A–B–A–B withdrawal</w:t>
            </w:r>
          </w:p>
        </w:tc>
        <w:tc>
          <w:tcPr>
            <w:tcW w:w="1000" w:type="dxa"/>
          </w:tcPr>
          <w:p>
            <w:pPr>
              <w:pStyle w:val="MDPI42tablebody"/>
              <w:spacing w:line="220" w:lineRule="atLeast"/>
              <w:jc w:val="left"/>
            </w:pPr>
            <w:r>
              <w:rPr>
                <w:sz w:val="15"/>
                <w:szCs w:val="15"/>
              </w:rPr>
              <w:t xml:space="preserve">2</w:t>
            </w:r>
          </w:p>
        </w:tc>
        <w:tc>
          <w:tcPr>
            <w:tcW w:w="1850" w:type="dxa"/>
          </w:tcPr>
          <w:p>
            <w:pPr>
              <w:pStyle w:val="MDPI42tablebody"/>
              <w:spacing w:line="220" w:lineRule="atLeast"/>
              <w:jc w:val="left"/>
            </w:pPr>
            <w:r>
              <w:rPr>
                <w:sz w:val="15"/>
                <w:szCs w:val="15"/>
              </w:rPr>
              <w:t xml:space="preserve">Learning disabilities; grade 4</w:t>
            </w:r>
          </w:p>
        </w:tc>
        <w:tc>
          <w:tcPr>
            <w:tcW w:w="2766" w:type="dxa"/>
          </w:tcPr>
          <w:p>
            <w:pPr>
              <w:pStyle w:val="MDPI42tablebody"/>
              <w:spacing w:line="220" w:lineRule="atLeast"/>
              <w:jc w:val="left"/>
            </w:pPr>
            <w:r>
              <w:rPr>
                <w:sz w:val="15"/>
                <w:szCs w:val="15"/>
              </w:rPr>
              <w:t xml:space="preserve">TTS: TTS vs. unsupported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1/L</w:t>
            </w:r>
          </w:p>
        </w:tc>
      </w:tr>
      <w:tr>
        <w:trPr>
          <w:cantSplit/>
        </w:trPr>
        <w:tc>
          <w:tcPr>
            <w:tcW w:w="1700" w:type="dxa"/>
          </w:tcPr>
          <w:p>
            <w:pPr>
              <w:pStyle w:val="MDPI42tablebody"/>
              <w:spacing w:line="220" w:lineRule="atLeast"/>
              <w:jc w:val="left"/>
            </w:pPr>
            <w:r>
              <w:rPr>
                <w:sz w:val="15"/>
                <w:szCs w:val="15"/>
              </w:rPr>
              <w:t xml:space="preserve">Svensson et al., 2026</w:t>
            </w:r>
          </w:p>
        </w:tc>
        <w:tc>
          <w:tcPr>
            <w:tcW w:w="1700" w:type="dxa"/>
          </w:tcPr>
          <w:p>
            <w:pPr>
              <w:pStyle w:val="MDPI42tablebody"/>
              <w:spacing w:line="220" w:lineRule="atLeast"/>
              <w:jc w:val="left"/>
            </w:pPr>
            <w:r>
              <w:rPr>
                <w:sz w:val="15"/>
                <w:szCs w:val="15"/>
              </w:rPr>
              <w:t xml:space="preserve">Time-lagged A–B with follow-up</w:t>
            </w:r>
          </w:p>
        </w:tc>
        <w:tc>
          <w:tcPr>
            <w:tcW w:w="1000" w:type="dxa"/>
          </w:tcPr>
          <w:p>
            <w:pPr>
              <w:pStyle w:val="MDPI42tablebody"/>
              <w:spacing w:line="220" w:lineRule="atLeast"/>
              <w:jc w:val="left"/>
            </w:pPr>
            <w:r>
              <w:rPr>
                <w:sz w:val="15"/>
                <w:szCs w:val="15"/>
              </w:rPr>
              <w:t xml:space="preserve">8</w:t>
            </w:r>
          </w:p>
        </w:tc>
        <w:tc>
          <w:tcPr>
            <w:tcW w:w="1850" w:type="dxa"/>
          </w:tcPr>
          <w:p>
            <w:pPr>
              <w:pStyle w:val="MDPI42tablebody"/>
              <w:spacing w:line="220" w:lineRule="atLeast"/>
              <w:jc w:val="left"/>
            </w:pPr>
            <w:r>
              <w:rPr>
                <w:sz w:val="15"/>
                <w:szCs w:val="15"/>
              </w:rPr>
              <w:t xml:space="preserve">Mild intellectual disability; 11–14 y</w:t>
            </w:r>
          </w:p>
        </w:tc>
        <w:tc>
          <w:tcPr>
            <w:tcW w:w="2766" w:type="dxa"/>
          </w:tcPr>
          <w:p>
            <w:pPr>
              <w:pStyle w:val="MDPI42tablebody"/>
              <w:spacing w:line="220" w:lineRule="atLeast"/>
              <w:jc w:val="left"/>
            </w:pPr>
            <w:r>
              <w:rPr>
                <w:sz w:val="15"/>
                <w:szCs w:val="15"/>
              </w:rPr>
              <w:t xml:space="preserve">TTS: TTS listening vs. independent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700" w:type="dxa"/>
          </w:tcPr>
          <w:p>
            <w:pPr>
              <w:pStyle w:val="MDPI42tablebody"/>
              <w:spacing w:line="220" w:lineRule="atLeast"/>
              <w:jc w:val="left"/>
            </w:pPr>
            <w:r>
              <w:rPr>
                <w:sz w:val="15"/>
                <w:szCs w:val="15"/>
              </w:rPr>
              <w:t xml:space="preserve">Wood et al., 2020</w:t>
            </w:r>
          </w:p>
        </w:tc>
        <w:tc>
          <w:tcPr>
            <w:tcW w:w="1700" w:type="dxa"/>
          </w:tcPr>
          <w:p>
            <w:pPr>
              <w:pStyle w:val="MDPI42tablebody"/>
              <w:spacing w:line="220" w:lineRule="atLeast"/>
              <w:jc w:val="left"/>
            </w:pPr>
            <w:r>
              <w:rPr>
                <w:sz w:val="15"/>
                <w:szCs w:val="15"/>
              </w:rPr>
              <w:t xml:space="preserve">Multiple probe</w:t>
            </w:r>
          </w:p>
        </w:tc>
        <w:tc>
          <w:tcPr>
            <w:tcW w:w="1000" w:type="dxa"/>
          </w:tcPr>
          <w:p>
            <w:pPr>
              <w:pStyle w:val="MDPI42tablebody"/>
              <w:spacing w:line="220" w:lineRule="atLeast"/>
              <w:jc w:val="left"/>
            </w:pPr>
            <w:r>
              <w:rPr>
                <w:sz w:val="15"/>
                <w:szCs w:val="15"/>
              </w:rPr>
              <w:t xml:space="preserve">3</w:t>
            </w:r>
          </w:p>
        </w:tc>
        <w:tc>
          <w:tcPr>
            <w:tcW w:w="1850" w:type="dxa"/>
          </w:tcPr>
          <w:p>
            <w:pPr>
              <w:pStyle w:val="MDPI42tablebody"/>
              <w:spacing w:line="220" w:lineRule="atLeast"/>
              <w:jc w:val="left"/>
            </w:pPr>
            <w:r>
              <w:rPr>
                <w:sz w:val="15"/>
                <w:szCs w:val="15"/>
              </w:rPr>
              <w:t xml:space="preserve">Moderate intellectual disability; elementary</w:t>
            </w:r>
          </w:p>
        </w:tc>
        <w:tc>
          <w:tcPr>
            <w:tcW w:w="2766" w:type="dxa"/>
          </w:tcPr>
          <w:p>
            <w:pPr>
              <w:pStyle w:val="MDPI42tablebody"/>
              <w:spacing w:line="220" w:lineRule="atLeast"/>
              <w:jc w:val="left"/>
            </w:pPr>
            <w:r>
              <w:rPr>
                <w:sz w:val="15"/>
                <w:szCs w:val="15"/>
              </w:rPr>
              <w:t xml:space="preserve">TTS: TTS e-text + systematic instruction vs. baseline</w:t>
            </w:r>
          </w:p>
        </w:tc>
        <w:tc>
          <w:tcPr>
            <w:tcW w:w="650" w:type="dxa"/>
          </w:tcPr>
          <w:p>
            <w:pPr>
              <w:pStyle w:val="MDPI42tablebody"/>
              <w:spacing w:line="220" w:lineRule="atLeast"/>
              <w:jc w:val="left"/>
            </w:pPr>
            <w:r>
              <w:rPr>
                <w:sz w:val="15"/>
                <w:szCs w:val="15"/>
              </w:rPr>
              <w:t xml:space="preserve">P</w:t>
            </w:r>
          </w:p>
        </w:tc>
        <w:tc>
          <w:tcPr>
            <w:tcW w:w="800" w:type="dxa"/>
          </w:tcPr>
          <w:p>
            <w:pPr>
              <w:pStyle w:val="MDPI42tablebody"/>
              <w:spacing w:line="220" w:lineRule="atLeast"/>
              <w:jc w:val="left"/>
            </w:pPr>
            <w:r>
              <w:rPr>
                <w:sz w:val="15"/>
                <w:szCs w:val="15"/>
              </w:rPr>
              <w:t xml:space="preserve">2/L</w:t>
            </w:r>
          </w:p>
        </w:tc>
      </w:tr>
      <w:tr>
        <w:trPr>
          <w:cantSplit/>
        </w:trPr>
        <w:tc>
          <w:tcPr>
            <w:tcW w:w="1700" w:type="dxa"/>
          </w:tcPr>
          <w:p>
            <w:pPr>
              <w:pStyle w:val="MDPI42tablebody"/>
              <w:spacing w:line="220" w:lineRule="atLeast"/>
              <w:jc w:val="left"/>
            </w:pPr>
            <w:r>
              <w:rPr>
                <w:sz w:val="15"/>
                <w:szCs w:val="15"/>
              </w:rPr>
              <w:t xml:space="preserve">Young et al., 2019</w:t>
            </w:r>
          </w:p>
        </w:tc>
        <w:tc>
          <w:tcPr>
            <w:tcW w:w="1700" w:type="dxa"/>
          </w:tcPr>
          <w:p>
            <w:pPr>
              <w:pStyle w:val="MDPI42tablebody"/>
              <w:spacing w:line="220" w:lineRule="atLeast"/>
              <w:jc w:val="left"/>
            </w:pPr>
            <w:r>
              <w:rPr>
                <w:sz w:val="15"/>
                <w:szCs w:val="15"/>
              </w:rPr>
              <w:t xml:space="preserve">A–B–A–B withdrawal</w:t>
            </w:r>
          </w:p>
        </w:tc>
        <w:tc>
          <w:tcPr>
            <w:tcW w:w="1000" w:type="dxa"/>
          </w:tcPr>
          <w:p>
            <w:pPr>
              <w:pStyle w:val="MDPI42tablebody"/>
              <w:spacing w:line="220" w:lineRule="atLeast"/>
              <w:jc w:val="left"/>
            </w:pPr>
            <w:r>
              <w:rPr>
                <w:sz w:val="15"/>
                <w:szCs w:val="15"/>
              </w:rPr>
              <w:t xml:space="preserve">4</w:t>
            </w:r>
          </w:p>
        </w:tc>
        <w:tc>
          <w:tcPr>
            <w:tcW w:w="1850" w:type="dxa"/>
          </w:tcPr>
          <w:p>
            <w:pPr>
              <w:pStyle w:val="MDPI42tablebody"/>
              <w:spacing w:line="220" w:lineRule="atLeast"/>
              <w:jc w:val="left"/>
            </w:pPr>
            <w:r>
              <w:rPr>
                <w:sz w:val="15"/>
                <w:szCs w:val="15"/>
              </w:rPr>
              <w:t xml:space="preserve">Learning disabilities; secondary</w:t>
            </w:r>
          </w:p>
        </w:tc>
        <w:tc>
          <w:tcPr>
            <w:tcW w:w="2766" w:type="dxa"/>
          </w:tcPr>
          <w:p>
            <w:pPr>
              <w:pStyle w:val="MDPI42tablebody"/>
              <w:spacing w:line="220" w:lineRule="atLeast"/>
              <w:jc w:val="left"/>
            </w:pPr>
            <w:r>
              <w:rPr>
                <w:sz w:val="15"/>
                <w:szCs w:val="15"/>
              </w:rPr>
              <w:t xml:space="preserve">TTS: TTS vs. unsupported reading</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1/F</w:t>
            </w:r>
          </w:p>
        </w:tc>
      </w:tr>
      <w:tr>
        <w:trPr>
          <w:cantSplit/>
        </w:trPr>
        <w:tc>
          <w:tcPr>
            <w:tcW w:w="10466" w:type="dxa"/>
            <w:gridSpan w:val="7"/>
            <w:shd w:val="clear" w:color="auto" w:fill="EDEDED"/>
          </w:tcPr>
          <w:p>
            <w:pPr>
              <w:pStyle w:val="MDPI42tablebody"/>
              <w:jc w:val="left"/>
            </w:pPr>
            <w:r>
              <w:rPr>
                <w:b/>
                <w:sz w:val="15"/>
                <w:szCs w:val="15"/>
              </w:rPr>
              <w:t xml:space="preserve">Observational analyses of assessment data (</w:t>
            </w:r>
            <w:r>
              <w:rPr>
                <w:b/>
                <w:i/>
                <w:sz w:val="15"/>
                <w:szCs w:val="15"/>
              </w:rPr>
              <w:t xml:space="preserve">n</w:t>
            </w:r>
            <w:r>
              <w:rPr>
                <w:b/>
                <w:sz w:val="15"/>
                <w:szCs w:val="15"/>
              </w:rPr>
              <w:t xml:space="preserve"> = 2)</w:t>
            </w:r>
          </w:p>
        </w:tc>
      </w:tr>
      <w:tr>
        <w:trPr>
          <w:cantSplit/>
        </w:trPr>
        <w:tc>
          <w:tcPr>
            <w:tcW w:w="1700" w:type="dxa"/>
          </w:tcPr>
          <w:p>
            <w:pPr>
              <w:pStyle w:val="MDPI42tablebody"/>
              <w:spacing w:line="220" w:lineRule="atLeast"/>
              <w:jc w:val="left"/>
            </w:pPr>
            <w:r>
              <w:rPr>
                <w:sz w:val="15"/>
                <w:szCs w:val="15"/>
              </w:rPr>
              <w:t xml:space="preserve">Ogut et al., 2025</w:t>
            </w:r>
          </w:p>
        </w:tc>
        <w:tc>
          <w:tcPr>
            <w:tcW w:w="1700" w:type="dxa"/>
          </w:tcPr>
          <w:p>
            <w:pPr>
              <w:pStyle w:val="MDPI42tablebody"/>
              <w:spacing w:line="220" w:lineRule="atLeast"/>
              <w:jc w:val="left"/>
            </w:pPr>
            <w:r>
              <w:rPr>
                <w:sz w:val="15"/>
                <w:szCs w:val="15"/>
              </w:rPr>
              <w:t xml:space="preserve">Observational assessment data (NAEP 2017)</w:t>
            </w:r>
          </w:p>
        </w:tc>
        <w:tc>
          <w:tcPr>
            <w:tcW w:w="1000" w:type="dxa"/>
          </w:tcPr>
          <w:p>
            <w:pPr>
              <w:pStyle w:val="MDPI42tablebody"/>
              <w:spacing w:line="220" w:lineRule="atLeast"/>
              <w:jc w:val="left"/>
            </w:pPr>
            <w:r>
              <w:rPr>
                <w:sz w:val="15"/>
                <w:szCs w:val="15"/>
              </w:rPr>
              <w:t xml:space="preserve">≈2790</w:t>
            </w:r>
          </w:p>
        </w:tc>
        <w:tc>
          <w:tcPr>
            <w:tcW w:w="1850" w:type="dxa"/>
          </w:tcPr>
          <w:p>
            <w:pPr>
              <w:pStyle w:val="MDPI42tablebody"/>
              <w:spacing w:line="220" w:lineRule="atLeast"/>
              <w:jc w:val="left"/>
            </w:pPr>
            <w:r>
              <w:rPr>
                <w:sz w:val="15"/>
                <w:szCs w:val="15"/>
              </w:rPr>
              <w:t xml:space="preserve">Students with disabilities; grade 8</w:t>
            </w:r>
          </w:p>
        </w:tc>
        <w:tc>
          <w:tcPr>
            <w:tcW w:w="2766" w:type="dxa"/>
          </w:tcPr>
          <w:p>
            <w:pPr>
              <w:pStyle w:val="MDPI42tablebody"/>
              <w:spacing w:line="220" w:lineRule="atLeast"/>
              <w:jc w:val="left"/>
            </w:pPr>
            <w:r>
              <w:rPr>
                <w:sz w:val="15"/>
                <w:szCs w:val="15"/>
              </w:rPr>
              <w:t xml:space="preserve">TTS: TTS use vs. nonuse during mathematics assessment</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r>
        <w:trPr>
          <w:cantSplit/>
        </w:trPr>
        <w:tc>
          <w:tcPr>
            <w:tcW w:w="1700" w:type="dxa"/>
          </w:tcPr>
          <w:p>
            <w:pPr>
              <w:pStyle w:val="MDPI42tablebody"/>
              <w:spacing w:line="220" w:lineRule="atLeast"/>
              <w:jc w:val="left"/>
            </w:pPr>
            <w:r>
              <w:rPr>
                <w:sz w:val="15"/>
                <w:szCs w:val="15"/>
              </w:rPr>
              <w:t xml:space="preserve">Wei, 2024</w:t>
            </w:r>
          </w:p>
        </w:tc>
        <w:tc>
          <w:tcPr>
            <w:tcW w:w="1700" w:type="dxa"/>
          </w:tcPr>
          <w:p>
            <w:pPr>
              <w:pStyle w:val="MDPI42tablebody"/>
              <w:spacing w:line="220" w:lineRule="atLeast"/>
              <w:jc w:val="left"/>
            </w:pPr>
            <w:r>
              <w:rPr>
                <w:sz w:val="15"/>
                <w:szCs w:val="15"/>
              </w:rPr>
              <w:t xml:space="preserve">Observational assessment data (NAEP 2017)</w:t>
            </w:r>
          </w:p>
        </w:tc>
        <w:tc>
          <w:tcPr>
            <w:tcW w:w="1000" w:type="dxa"/>
          </w:tcPr>
          <w:p>
            <w:pPr>
              <w:pStyle w:val="MDPI42tablebody"/>
              <w:spacing w:line="220" w:lineRule="atLeast"/>
              <w:jc w:val="left"/>
            </w:pPr>
            <w:r>
              <w:rPr>
                <w:sz w:val="15"/>
                <w:szCs w:val="15"/>
              </w:rPr>
              <w:t xml:space="preserve">≈2750</w:t>
            </w:r>
          </w:p>
        </w:tc>
        <w:tc>
          <w:tcPr>
            <w:tcW w:w="1850" w:type="dxa"/>
          </w:tcPr>
          <w:p>
            <w:pPr>
              <w:pStyle w:val="MDPI42tablebody"/>
              <w:spacing w:line="220" w:lineRule="atLeast"/>
              <w:jc w:val="left"/>
            </w:pPr>
            <w:r>
              <w:rPr>
                <w:sz w:val="15"/>
                <w:szCs w:val="15"/>
              </w:rPr>
              <w:t xml:space="preserve">Students with disabilities; grade 8</w:t>
            </w:r>
          </w:p>
        </w:tc>
        <w:tc>
          <w:tcPr>
            <w:tcW w:w="2766" w:type="dxa"/>
          </w:tcPr>
          <w:p>
            <w:pPr>
              <w:pStyle w:val="MDPI42tablebody"/>
              <w:spacing w:line="220" w:lineRule="atLeast"/>
              <w:jc w:val="left"/>
            </w:pPr>
            <w:r>
              <w:rPr>
                <w:sz w:val="15"/>
                <w:szCs w:val="15"/>
              </w:rPr>
              <w:t xml:space="preserve">TTS: TTS use vs. nonuse during mathematics assessment</w:t>
            </w:r>
          </w:p>
        </w:tc>
        <w:tc>
          <w:tcPr>
            <w:tcW w:w="650" w:type="dxa"/>
          </w:tcPr>
          <w:p>
            <w:pPr>
              <w:pStyle w:val="MDPI42tablebody"/>
              <w:spacing w:line="220" w:lineRule="atLeast"/>
              <w:jc w:val="left"/>
            </w:pPr>
            <w:r>
              <w:rPr>
                <w:sz w:val="15"/>
                <w:szCs w:val="15"/>
              </w:rPr>
              <w:t xml:space="preserve">A</w:t>
            </w:r>
          </w:p>
        </w:tc>
        <w:tc>
          <w:tcPr>
            <w:tcW w:w="800" w:type="dxa"/>
          </w:tcPr>
          <w:p>
            <w:pPr>
              <w:pStyle w:val="MDPI42tablebody"/>
              <w:spacing w:line="220" w:lineRule="atLeast"/>
              <w:jc w:val="left"/>
            </w:pPr>
            <w:r>
              <w:rPr>
                <w:sz w:val="15"/>
                <w:szCs w:val="15"/>
              </w:rPr>
              <w:t xml:space="preserve">2/F</w:t>
            </w:r>
          </w:p>
        </w:tc>
      </w:tr>
    </w:tbl>
    <w:p>
      <w:pPr>
        <w:pStyle w:val="MDPI43tablefooter"/>
        <w:ind w:left="0"/>
      </w:pPr>
      <w:r>
        <w:t xml:space="preserve">n, number of participants as reported (eligible subgroup or analyzed sample where specified). Outcome: primary measurement condition; A, assisted (technology available); U, unaided (controlled comparison without the technology); P, proximal acquisition of trained content; X, measurement condition unclear. Phase: 1, July 2026 searches; 2, October 2026 supplementary searches. Source: F, extraction verified against the full journal article; L, verification limited to the abstract, preview, figure, or a linked primary document. Linked reports share participants (Table S5). AAC, augmentative and alternative communication; BRL, adaptive Braille tutor. Further abbreviations are listed at the end of the article. Full details are given in Table S2.</w:t>
      </w:r>
    </w:p>
    <w:p>
      <w:pPr>
        <w:pStyle w:val="MDPI22heading2"/>
      </w:pPr>
      <w:r>
        <w:t xml:space="preserve">3.3. Methodological Limitations Across Reports</w:t>
      </w:r>
    </w:p>
    <w:p>
      <w:pPr>
        <w:pStyle w:val="MDPI31text"/>
      </w:pPr>
      <w:r>
        <w:t xml:space="preserve">The main threats to validity differed by design (Table S3). Small within-participant experiments often lacked precise paired contrasts, and task equivalence, order, and practice could influence performance. Single-case designs sometimes used short baselines or simple A–B sequences without replicated demonstrations of effect. Instruction, practice, teacher support, and software frequently changed together, so these studies evaluated packages rather than isolated technology effects; multicomponent randomized comparisons were similarly indirect for a software-specific question.</w:t>
      </w:r>
    </w:p>
    <w:p>
      <w:pPr>
        <w:pStyle w:val="MDPI31text"/>
      </w:pPr>
      <w:r>
        <w:t xml:space="preserve">In observational analyses, TTS use was self-selected and potentially related to reading difficulty, item difficulty, and prior familiarity, and statistical adjustment cannot remove such confounding. Attrition affected longer-term comparisons, and missing data were outcome-specific; for example, Chen et al. (2026) analyzed comprehension in 59 learners but eye movements in 47. Several sources contained numerical or descriptive inconsistencies, including Nuraini Herawati et al. (2022), whose discussion refers to two participants without separate trajectories or a defined outcome scale, Keelor et al. (2020), and Ebajay and Malabo (2026). These limitations preclude a reliable common effect estimate or a ranking of technologies.</w:t>
      </w:r>
    </w:p>
    <w:p>
      <w:pPr>
        <w:pStyle w:val="MDPI22heading2"/>
      </w:pPr>
      <w:r>
        <w:t xml:space="preserve">3.4. Speech-to-Text and Assisted Writing</w:t>
      </w:r>
    </w:p>
    <w:p>
      <w:pPr>
        <w:pStyle w:val="MDPI31text"/>
      </w:pPr>
      <w:r>
        <w:t xml:space="preserve">Assisted writing comparisons frequently favored STT for the amount written, whereas findings for quality and accuracy were less consistent. MacArthur and Cavalier (2004) found higher essay quality with STT than with handwriting among students with learning disabilities, with the highest quality under human scribing. Among the 16 eligible learners in Kraft (2023), mean residual errors per 100 words were 5 with STT and 13 with keyboarding, mean text lengths were 92.00 and 79.38 words, and comparative-quality scores were 51.94 and 49.75. These are subgroup descriptive values; the pooled inferential statistics in that report also included 12 peers without difficulties.</w:t>
      </w:r>
    </w:p>
    <w:p>
      <w:pPr>
        <w:pStyle w:val="MDPI31text"/>
      </w:pPr>
      <w:r>
        <w:t xml:space="preserve">In the paired post-test comparison of Flütsch Keravec et al. (2026), 33 STT users produced a mean of 74.12 words in five minutes with STT and 33.55 by hand, with correct writing sequences of 80.77% and 46.04%. Single-case studies that combined STT with modelling, checklists, strategy instruction, or revision support reported heterogeneous gains in productivity and other writing measures (Almgren Bäck et al., 2024; Fälth, Björklund, et al., 2025; Sand et al., 2025). Schneider et al. (2013) similarly combined modality comparisons with writing-strategy instruction in four children with Asperger syndrome: STT yielded longer and more complete stories than handwriting or keyboarding, and the combination of STT and strategy instruction produced the most complete stories. In these studies, the contribution of dictation alone cannot be isolated.</w:t>
      </w:r>
    </w:p>
    <w:p>
      <w:pPr>
        <w:pStyle w:val="MDPI31text"/>
      </w:pPr>
      <w:r>
        <w:t xml:space="preserve">Reports involving physical disabilities broadened the outcome pattern. Garrett et al. (2011) reported greater fluency and text length but lower accuracy with STT than with word processing (five adolescents, a count taken from the companion dissertation). Noakes et al. (2019) and Franklin et al. (2026) reported higher counts of total words, correctly spelled words, and correct writing sequences with STT than with handwriting in three learners with traumatic brain injury and three with cerebral palsy, respectively; higher counts of correct units do not establish a higher proportion correct, and the accessible abstracts did not permit phase-level extraction. Cuifolo et al. (2025) found the strongest writing performance when STT was combined with a graphic organizer in one high-school student with traumatic brain injury. Silió and Barbetta (2010), a writing study, described little change with TTS alone and favorable narrative writing with word prediction, alone or combined with TTS, in six students with learning disabilities.</w:t>
      </w:r>
    </w:p>
    <w:p>
      <w:pPr>
        <w:pStyle w:val="MDPI22heading2"/>
      </w:pPr>
      <w:r>
        <w:t xml:space="preserve">3.5. Text-to-Speech and Assisted Reading</w:t>
      </w:r>
    </w:p>
    <w:p>
      <w:pPr>
        <w:pStyle w:val="MDPI31text"/>
      </w:pPr>
      <w:r>
        <w:t xml:space="preserve">Comprehension findings varied with the task, measure, and comparator. In a randomized crossover experiment with 49 children, Grunér et al. (2018) found faster reading with TTS in both grade groups but better comprehension only in grades 3–5; inattention and hyperactivity symptoms were associated with comprehension gains in opposite directions in the two grade groups. Keelor et al. (2023) found better comprehension in both TTS conditions than in silent reading, without additional benefit from highlighting; the linked predictor report does not establish treatment-effect moderators (Keelor et al., 2018). In the smaller experiment of Keelor et al. (2020), mean comprehension was 2.4 of 3 in each TTS condition and 1.6 in silent reading; inconsistent summary statistics and possible cohort overlap constrain inference, and its synthetic audio-only condition was not treated as a technology-absent control.</w:t>
      </w:r>
    </w:p>
    <w:p>
      <w:pPr>
        <w:pStyle w:val="MDPI31text"/>
      </w:pPr>
      <w:r>
        <w:t xml:space="preserve">Gonzalez (2014) found that full-text TTS supported oral retelling more than print or selective vocabulary support in 17 learners, whereas the multiple-choice comparison was inconclusive (</w:t>
      </w:r>
      <w:r>
        <w:rPr>
          <w:i/>
        </w:rPr>
        <w:t xml:space="preserve">p</w:t>
      </w:r>
      <w:r>
        <w:t xml:space="preserve"> = 0.052). Higgins and Raskind (2005) reported better comprehension with a reading pen than without assistance in 30 learners; only abstract-level results were accessible. In Dolan et al. (2005), computer-based testing with TTS yielded 65.3% correct versus 58.7% on paper, an inconclusive overall contrast (</w:t>
      </w:r>
      <w:r>
        <w:rPr>
          <w:i/>
        </w:rPr>
        <w:t xml:space="preserve">p</w:t>
      </w:r>
      <w:r>
        <w:t xml:space="preserve"> = 0.12), with a larger difference for passages longer than 100 words; the reported sample of ten conflicts with the recruitment description, so the analyzed denominator is uncertain.</w:t>
      </w:r>
    </w:p>
    <w:p>
      <w:pPr>
        <w:pStyle w:val="MDPI31text"/>
      </w:pPr>
      <w:r>
        <w:t xml:space="preserve">Izzo et al. (2009) reported mean unit-quiz scores of 5.06 with and 4.07 without TTS, and comprehension scores of 6.98 and 4.85, among seven analyzed learners; changing curriculum units and inconsistent item denominators limit attribution. Camardese et al. (2014) compared an e-reader package with print in 60 students with IEP reading goals; TTS could not be separated from font and dictionary features, and no numerical group contrast was recoverable. Chen et al. (2026) reported a group-by-condition interaction for comprehension and improvement in the ADHD subgroup, but detailed time and speed comparisons in the dyslexia subgroup did not support the reduction in reading effort suggested by the abstract. Silvestri et al. (2022) reported a within-profile benefit only among readers whose listening comprehension exceeded their decoding; differences in subgroup significance do not demonstrate differential response, and a published corrigendum altered signs in one table (Corrigendum, 2021).</w:t>
      </w:r>
    </w:p>
    <w:p>
      <w:pPr>
        <w:pStyle w:val="MDPI31text"/>
      </w:pPr>
      <w:r>
        <w:t xml:space="preserve">Single-case findings included favorable assisted comprehension in Young et al. (2019), Sulaimon and Schaefer (2023), and Svensson et al. (2026), alongside variable or unfavorable comparisons in Meyer and Bouck (2014, 2017), Brunow and Cullen (2021), and Fälth, Nilsson, et al. (2025). Brunow and Cullen found higher comprehension with a human reader than with TTS in all four learners. Schmitt et al. (2019) favored continuous TTS for three of four learners, although the abstract was internally inconsistent about the fourth learner’s reading-pen rate. Moorman et al. (2010) reported higher reading rate and comprehension with TTS in two learners, based on abstract-level information. Taken together, these reports do not support a single best reading modality.</w:t>
      </w:r>
    </w:p>
    <w:p>
      <w:pPr>
        <w:pStyle w:val="MDPI22heading2"/>
      </w:pPr>
      <w:r>
        <w:t xml:space="preserve">3.6. Efficiency, Mathematics, and Assessment Access</w:t>
      </w:r>
    </w:p>
    <w:p>
      <w:pPr>
        <w:pStyle w:val="MDPI31text"/>
      </w:pPr>
      <w:r>
        <w:t xml:space="preserve">Reading rate and task time were distinct from comprehension. In addition to the faster reading reported by Grunér et al. (2018), Alqahtani (2023) reported mean sessions of 5.45 minutes with TTS plus question generation versus 12.73 minutes with repeated reading plus question generation, although the two conditions also differed in task demands. Meyer and Bouck (2017) measured task time, but its direction was not reported in the accessible abstract.</w:t>
      </w:r>
    </w:p>
    <w:p>
      <w:pPr>
        <w:pStyle w:val="MDPI31text"/>
      </w:pPr>
      <w:r>
        <w:t xml:space="preserve">Frankel and Brownstein (2016) compared spoken-mathematics settings in 22 students with blindness or low vision. Explicit end-of-root wording produced higher accuracy than extended pauses for two radical expressions (82% and 95% versus 50% and 68%). These comparisons concern access under alternative speech settings, not acquisition of mathematical knowledge.</w:t>
      </w:r>
    </w:p>
    <w:p>
      <w:pPr>
        <w:pStyle w:val="MDPI31text"/>
      </w:pPr>
      <w:r>
        <w:t xml:space="preserve">Wei (2024) and Ogut et al. (2025) analyzed observed TTS use during the 2017 NAEP grade 8 mathematics assessment. In Wei (2024), binary TTS use was not significantly associated with item correctness among students with disabilities, whereas use frequency was positively associated with correctness among those granted extended time; TTS use was associated with longer response times. In Ogut et al. (2025), overall estimates for students with disabilities were inconclusive across adjustment methods; among students not using extended time, positive associations of 2.4–2.7 percentage points reached </w:t>
      </w:r>
      <w:r>
        <w:rPr>
          <w:i/>
        </w:rPr>
        <w:t xml:space="preserve">p</w:t>
      </w:r>
      <w:r>
        <w:t xml:space="preserve"> &lt; 0.05 in two of three models. These overlapping observational analyses do not establish a causal accommodation effect, and their student–item observations are not participant counts.</w:t>
      </w:r>
    </w:p>
    <w:p>
      <w:pPr>
        <w:pStyle w:val="MDPI22heading2"/>
      </w:pPr>
      <w:r>
        <w:t xml:space="preserve">3.7. Unaided Skills and Proximal Instructional Outcomes</w:t>
      </w:r>
    </w:p>
    <w:p>
      <w:pPr>
        <w:pStyle w:val="MDPI31text"/>
      </w:pPr>
      <w:r>
        <w:t xml:space="preserve">Evidence of learning without the technology was inconsistent. Two linked STT reports described greater improvement in word recognition, spelling, and reading comprehension after writing practice with STT than after general computer instruction, but nonrandom allocation and shared participants limit confirmation (Higgins &amp; Raskind, 2000; Raskind &amp; Higgins, 1999). In contrast, Flütsch Keravec et al. (2026) did not find a group-by-time advantage of STT for unaided writing quality, text length, handwriting fluency, reading, or motivation over 18 weeks, despite better immediate writing with STT. Svensson et al. (2021), involving 149 learners, found no overall advantage of combined TTS/STT training over usual support immediately or at one year; nonrandom assignment and the loss of about 30% of participants by the final assessment limit interpretation. Park et al. (2017) reported favorable unaided vocabulary and comprehension after about ten weeks of TTS use; the final journal text was not accessible, and inclusion is provisional.</w:t>
      </w:r>
    </w:p>
    <w:p>
      <w:pPr>
        <w:pStyle w:val="MDPI31text"/>
      </w:pPr>
      <w:r>
        <w:t xml:space="preserve">A randomized experiment provided an unfavorable finding. Among 65 readers meeting a standardized reading threshold, Staels and Van den Broeck (2015) found lower delayed orthographic-choice performance after reading with TTS than after independent reading (adjusted means 4.69 versus 5.33 of 8; </w:t>
      </w:r>
      <w:r>
        <w:rPr>
          <w:i/>
        </w:rPr>
        <w:t xml:space="preserve">p</w:t>
      </w:r>
      <w:r>
        <w:t xml:space="preserve"> = 0.0496), without differences in naming or spelling. This task-specific, short-term result does not establish general harm, but it shows why assisted comprehension and learning need to be evaluated separately.</w:t>
      </w:r>
    </w:p>
    <w:p>
      <w:pPr>
        <w:pStyle w:val="MDPI31text"/>
      </w:pPr>
      <w:r>
        <w:t xml:space="preserve">Smaller reports described unaided gains with weaker controls. Young et al. (2019) reported descriptive increases in unaided oral reading fluency in all four learners and higher Lexile scores in two, as uncontrolled pre–post observations. Sand et al. (2025) reported mixed changes in unaided decoding (8→6, 58→53, 23→28, and 18→20 correct words), and Fälth, Nilsson, et al. (2025) and Svensson et al. (2026) reported uncontrolled pre–post gains or limited decoding improvement. None of these observations establishes a durable learning effect.</w:t>
      </w:r>
    </w:p>
    <w:p>
      <w:pPr>
        <w:pStyle w:val="MDPI31text"/>
      </w:pPr>
      <w:r>
        <w:t xml:space="preserve">Proximal outcomes favored multicomponent packages. Ahlgrim-Delzell et al. (2016) randomized 31 students with developmental disabilities to a TTS-supported phonics package or structured sight-word instruction; mean curriculum-based scores rose from 34.29 to 54.12 and from 32.86 to 37.00, respectively. TTS was not isolated, and inconsistent inferential reporting limits effect estimation. Wood et al. (2020) evaluated combined e-text and systematic instruction for science content in three learners with intellectual disability, with abstract-level findings only. Bhola (2022) and Ebajay and Malabo (2026) reported favorable achievement with TTS-supported teaching, but small samples, researcher-developed measures, unclear assistance during testing, and, in the latter, inconsistent standard deviations limit inference. Nuraini Herawati et al. (2022) reported higher performance during intervention and withdrawal phases, but its undefined scale and incomplete individual data prevent a reliable estimate.</w:t>
      </w:r>
    </w:p>
    <w:p>
      <w:pPr>
        <w:pStyle w:val="MDPI31text"/>
      </w:pPr>
      <w:r>
        <w:t xml:space="preserve">The only Braille report evaluated an adaptive tutor for targeted contractions in ten learners (McCarthy et al., 2016). Mean sessions to mastery were 7.00 with tutor support and 9.58 with teacher instruction alone. Different contraction sets were used in the two conditions, and transfer to untrained contractions or to sustained Braille literacy was not assessed.</w:t>
      </w:r>
    </w:p>
    <w:p>
      <w:pPr>
        <w:pStyle w:val="MDPI22heading2"/>
      </w:pPr>
      <w:r>
        <w:t xml:space="preserve">3.8. Participation, Implementation, and Evidence Gaps</w:t>
      </w:r>
    </w:p>
    <w:p>
      <w:pPr>
        <w:pStyle w:val="MDPI31text"/>
      </w:pPr>
      <w:r>
        <w:t xml:space="preserve">Some reports described preferences, social validity, teacher observations, or perceptions of independence and continued use. These observations inform implementation but do not establish comparative effects on validated measures of school participation, burden, harms, abandonment, or cost. In Fälth, Nilsson, et al. (2025), comprehension nonoverlap values of 8–75% were not measures of independence. No eligible learner-level comparison of automatic captioning or OBR was found; given the search limitations and the reports awaiting classification, this is a gap in the located evidence rather than proof that such research does not exist. Table 2 summarizes the outcome-specific findings and their limits.</w:t>
      </w:r>
    </w:p>
    <w:p>
      <w:pPr>
        <w:pStyle w:val="MDPI41tablecaption"/>
        <w:keepNext/>
        <w:ind w:left="0"/>
      </w:pPr>
      <w:r>
        <w:rPr>
          <w:b/>
        </w:rPr>
        <w:t xml:space="preserve">Table 2.</w:t>
      </w:r>
      <w:r>
        <w:t xml:space="preserve"> Outcome-specific findings and limits of interpretation.</w:t>
      </w:r>
    </w:p>
    <w:tbl>
      <w:tblPr>
        <w:tblW w:w="10466" w:type="dxa"/>
        <w:tblInd w:w="0" w:type="dxa"/>
        <w:tblBorders>
          <w:top w:val="single" w:sz="8" w:space="0" w:color="auto"/>
          <w:bottom w:val="single" w:sz="8" w:space="0" w:color="auto"/>
        </w:tblBorders>
        <w:tblLayout w:type="fixed"/>
        <w:tblCellMar>
          <w:left w:w="57" w:type="dxa"/>
          <w:right w:w="57" w:type="dxa"/>
        </w:tblCellMar>
        <w:tblLook w:val="04A0" w:firstRow="1" w:lastRow="0" w:firstColumn="1" w:lastColumn="0" w:noHBand="0" w:noVBand="1"/>
      </w:tblPr>
      <w:tblGrid>
        <w:gridCol w:w="2200"/>
        <w:gridCol w:w="4133"/>
        <w:gridCol w:w="4133"/>
      </w:tblGrid>
      <w:tr>
        <w:trPr>
          <w:tblHeader/>
          <w:cantSplit/>
        </w:trPr>
        <w:tc>
          <w:tcPr>
            <w:tcW w:w="2200" w:type="dxa"/>
            <w:tcBorders>
              <w:bottom w:val="single" w:sz="4" w:space="0" w:color="auto"/>
            </w:tcBorders>
          </w:tcPr>
          <w:p>
            <w:pPr>
              <w:pStyle w:val="MDPI42tablebody"/>
              <w:spacing w:line="220" w:lineRule="atLeast"/>
              <w:jc w:val="left"/>
            </w:pPr>
            <w:r>
              <w:rPr>
                <w:b/>
                <w:sz w:val="17"/>
                <w:szCs w:val="17"/>
              </w:rPr>
              <w:t xml:space="preserve">Outcome</w:t>
            </w:r>
          </w:p>
        </w:tc>
        <w:tc>
          <w:tcPr>
            <w:tcW w:w="4133" w:type="dxa"/>
            <w:tcBorders>
              <w:bottom w:val="single" w:sz="4" w:space="0" w:color="auto"/>
            </w:tcBorders>
          </w:tcPr>
          <w:p>
            <w:pPr>
              <w:pStyle w:val="MDPI42tablebody"/>
              <w:spacing w:line="220" w:lineRule="atLeast"/>
              <w:jc w:val="left"/>
            </w:pPr>
            <w:r>
              <w:rPr>
                <w:b/>
                <w:sz w:val="17"/>
                <w:szCs w:val="17"/>
              </w:rPr>
              <w:t xml:space="preserve">Observed pattern</w:t>
            </w:r>
          </w:p>
        </w:tc>
        <w:tc>
          <w:tcPr>
            <w:tcW w:w="4133" w:type="dxa"/>
            <w:tcBorders>
              <w:bottom w:val="single" w:sz="4" w:space="0" w:color="auto"/>
            </w:tcBorders>
          </w:tcPr>
          <w:p>
            <w:pPr>
              <w:pStyle w:val="MDPI42tablebody"/>
              <w:spacing w:line="220" w:lineRule="atLeast"/>
              <w:jc w:val="left"/>
            </w:pPr>
            <w:r>
              <w:rPr>
                <w:b/>
                <w:sz w:val="17"/>
                <w:szCs w:val="17"/>
              </w:rPr>
              <w:t xml:space="preserve">Interpretive limit</w:t>
            </w:r>
          </w:p>
        </w:tc>
      </w:tr>
      <w:tr>
        <w:trPr>
          <w:cantSplit/>
        </w:trPr>
        <w:tc>
          <w:tcPr>
            <w:tcW w:w="2200" w:type="dxa"/>
          </w:tcPr>
          <w:p>
            <w:pPr>
              <w:pStyle w:val="MDPI42tablebody"/>
              <w:spacing w:line="220" w:lineRule="atLeast"/>
              <w:jc w:val="left"/>
            </w:pPr>
            <w:r>
              <w:rPr>
                <w:sz w:val="17"/>
                <w:szCs w:val="17"/>
              </w:rPr>
              <w:t xml:space="preserve">STT, assisted writing</w:t>
            </w:r>
          </w:p>
        </w:tc>
        <w:tc>
          <w:tcPr>
            <w:tcW w:w="4133" w:type="dxa"/>
          </w:tcPr>
          <w:p>
            <w:pPr>
              <w:pStyle w:val="MDPI42tablebody"/>
              <w:spacing w:line="220" w:lineRule="atLeast"/>
              <w:jc w:val="left"/>
            </w:pPr>
            <w:r>
              <w:rPr>
                <w:sz w:val="17"/>
                <w:szCs w:val="17"/>
              </w:rPr>
              <w:t xml:space="preserve">Several reports found greater written output; accuracy and quality were variable. Physical-disability reports showed greater fluency but, in one, lower accuracy.</w:t>
            </w:r>
          </w:p>
        </w:tc>
        <w:tc>
          <w:tcPr>
            <w:tcW w:w="4133" w:type="dxa"/>
          </w:tcPr>
          <w:p>
            <w:pPr>
              <w:pStyle w:val="MDPI42tablebody"/>
              <w:spacing w:line="220" w:lineRule="atLeast"/>
              <w:jc w:val="left"/>
            </w:pPr>
            <w:r>
              <w:rPr>
                <w:sz w:val="17"/>
                <w:szCs w:val="17"/>
              </w:rPr>
              <w:t xml:space="preserve">Tasks and instructional packages differ. Counts of correct units are not accuracy proportions.</w:t>
            </w:r>
          </w:p>
        </w:tc>
      </w:tr>
      <w:tr>
        <w:trPr>
          <w:cantSplit/>
        </w:trPr>
        <w:tc>
          <w:tcPr>
            <w:tcW w:w="2200" w:type="dxa"/>
          </w:tcPr>
          <w:p>
            <w:pPr>
              <w:pStyle w:val="MDPI42tablebody"/>
              <w:spacing w:line="220" w:lineRule="atLeast"/>
              <w:jc w:val="left"/>
            </w:pPr>
            <w:r>
              <w:rPr>
                <w:sz w:val="17"/>
                <w:szCs w:val="17"/>
              </w:rPr>
              <w:t xml:space="preserve">TTS, assisted comprehension</w:t>
            </w:r>
          </w:p>
        </w:tc>
        <w:tc>
          <w:tcPr>
            <w:tcW w:w="4133" w:type="dxa"/>
          </w:tcPr>
          <w:p>
            <w:pPr>
              <w:pStyle w:val="MDPI42tablebody"/>
              <w:spacing w:line="220" w:lineRule="atLeast"/>
              <w:jc w:val="left"/>
            </w:pPr>
            <w:r>
              <w:rPr>
                <w:sz w:val="17"/>
                <w:szCs w:val="17"/>
              </w:rPr>
              <w:t xml:space="preserve">Favorable, null, and comparator-favoring findings; effects differed by task and outcome measure.</w:t>
            </w:r>
          </w:p>
        </w:tc>
        <w:tc>
          <w:tcPr>
            <w:tcW w:w="4133" w:type="dxa"/>
          </w:tcPr>
          <w:p>
            <w:pPr>
              <w:pStyle w:val="MDPI42tablebody"/>
              <w:spacing w:line="220" w:lineRule="atLeast"/>
              <w:jc w:val="left"/>
            </w:pPr>
            <w:r>
              <w:rPr>
                <w:sz w:val="17"/>
                <w:szCs w:val="17"/>
              </w:rPr>
              <w:t xml:space="preserve">Human-reader, print, audio-only, and alternative-setting contrasts answer different questions; subgroup findings are exploratory.</w:t>
            </w:r>
          </w:p>
        </w:tc>
      </w:tr>
      <w:tr>
        <w:trPr>
          <w:cantSplit/>
        </w:trPr>
        <w:tc>
          <w:tcPr>
            <w:tcW w:w="2200" w:type="dxa"/>
          </w:tcPr>
          <w:p>
            <w:pPr>
              <w:pStyle w:val="MDPI42tablebody"/>
              <w:spacing w:line="220" w:lineRule="atLeast"/>
              <w:jc w:val="left"/>
            </w:pPr>
            <w:r>
              <w:rPr>
                <w:sz w:val="17"/>
                <w:szCs w:val="17"/>
              </w:rPr>
              <w:t xml:space="preserve">Efficiency and assessment access</w:t>
            </w:r>
          </w:p>
        </w:tc>
        <w:tc>
          <w:tcPr>
            <w:tcW w:w="4133" w:type="dxa"/>
          </w:tcPr>
          <w:p>
            <w:pPr>
              <w:pStyle w:val="MDPI42tablebody"/>
              <w:spacing w:line="220" w:lineRule="atLeast"/>
              <w:jc w:val="left"/>
            </w:pPr>
            <w:r>
              <w:rPr>
                <w:sz w:val="17"/>
                <w:szCs w:val="17"/>
              </w:rPr>
              <w:t xml:space="preserve">Some faster reading or shorter sessions; TTS use in national assessments was associated with longer response times. Speech settings affected comprehension of mathematical expressions.</w:t>
            </w:r>
          </w:p>
        </w:tc>
        <w:tc>
          <w:tcPr>
            <w:tcW w:w="4133" w:type="dxa"/>
          </w:tcPr>
          <w:p>
            <w:pPr>
              <w:pStyle w:val="MDPI42tablebody"/>
              <w:spacing w:line="220" w:lineRule="atLeast"/>
              <w:jc w:val="left"/>
            </w:pPr>
            <w:r>
              <w:rPr>
                <w:sz w:val="17"/>
                <w:szCs w:val="17"/>
              </w:rPr>
              <w:t xml:space="preserve">Task time is not comprehension or learning. Observational use/nonuse differences may reflect confounding.</w:t>
            </w:r>
          </w:p>
        </w:tc>
      </w:tr>
      <w:tr>
        <w:trPr>
          <w:cantSplit/>
        </w:trPr>
        <w:tc>
          <w:tcPr>
            <w:tcW w:w="2200" w:type="dxa"/>
          </w:tcPr>
          <w:p>
            <w:pPr>
              <w:pStyle w:val="MDPI42tablebody"/>
              <w:spacing w:line="220" w:lineRule="atLeast"/>
              <w:jc w:val="left"/>
            </w:pPr>
            <w:r>
              <w:rPr>
                <w:sz w:val="17"/>
                <w:szCs w:val="17"/>
              </w:rPr>
              <w:t xml:space="preserve">Unaided literacy</w:t>
            </w:r>
          </w:p>
        </w:tc>
        <w:tc>
          <w:tcPr>
            <w:tcW w:w="4133" w:type="dxa"/>
          </w:tcPr>
          <w:p>
            <w:pPr>
              <w:pStyle w:val="MDPI42tablebody"/>
              <w:spacing w:line="220" w:lineRule="atLeast"/>
              <w:jc w:val="left"/>
            </w:pPr>
            <w:r>
              <w:rPr>
                <w:sz w:val="17"/>
                <w:szCs w:val="17"/>
              </w:rPr>
              <w:t xml:space="preserve">Positive findings from older nonrandomized and abstract-level reports coexist with controlled null findings and one unfavorable orthographic-learning result.</w:t>
            </w:r>
          </w:p>
        </w:tc>
        <w:tc>
          <w:tcPr>
            <w:tcW w:w="4133" w:type="dxa"/>
          </w:tcPr>
          <w:p>
            <w:pPr>
              <w:pStyle w:val="MDPI42tablebody"/>
              <w:spacing w:line="220" w:lineRule="atLeast"/>
              <w:jc w:val="left"/>
            </w:pPr>
            <w:r>
              <w:rPr>
                <w:sz w:val="17"/>
                <w:szCs w:val="17"/>
              </w:rPr>
              <w:t xml:space="preserve">Attrition, linked cohorts, incomplete access, and few delayed tests constrain causal and durable-learning claims.</w:t>
            </w:r>
          </w:p>
        </w:tc>
      </w:tr>
      <w:tr>
        <w:trPr>
          <w:cantSplit/>
        </w:trPr>
        <w:tc>
          <w:tcPr>
            <w:tcW w:w="2200" w:type="dxa"/>
          </w:tcPr>
          <w:p>
            <w:pPr>
              <w:pStyle w:val="MDPI42tablebody"/>
              <w:spacing w:line="220" w:lineRule="atLeast"/>
              <w:jc w:val="left"/>
            </w:pPr>
            <w:r>
              <w:rPr>
                <w:sz w:val="17"/>
                <w:szCs w:val="17"/>
              </w:rPr>
              <w:t xml:space="preserve">Curriculum-specific acquisition</w:t>
            </w:r>
          </w:p>
        </w:tc>
        <w:tc>
          <w:tcPr>
            <w:tcW w:w="4133" w:type="dxa"/>
          </w:tcPr>
          <w:p>
            <w:pPr>
              <w:pStyle w:val="MDPI42tablebody"/>
              <w:spacing w:line="220" w:lineRule="atLeast"/>
              <w:jc w:val="left"/>
            </w:pPr>
            <w:r>
              <w:rPr>
                <w:sz w:val="17"/>
                <w:szCs w:val="17"/>
              </w:rPr>
              <w:t xml:space="preserve">Some multicomponent packages improved proximal reading, science, or attainment measures.</w:t>
            </w:r>
          </w:p>
        </w:tc>
        <w:tc>
          <w:tcPr>
            <w:tcW w:w="4133" w:type="dxa"/>
          </w:tcPr>
          <w:p>
            <w:pPr>
              <w:pStyle w:val="MDPI42tablebody"/>
              <w:spacing w:line="220" w:lineRule="atLeast"/>
              <w:jc w:val="left"/>
            </w:pPr>
            <w:r>
              <w:rPr>
                <w:sz w:val="17"/>
                <w:szCs w:val="17"/>
              </w:rPr>
              <w:t xml:space="preserve">Software combined with instruction; assistance during testing and scale validity are not always clear.</w:t>
            </w:r>
          </w:p>
        </w:tc>
      </w:tr>
      <w:tr>
        <w:trPr>
          <w:cantSplit/>
        </w:trPr>
        <w:tc>
          <w:tcPr>
            <w:tcW w:w="2200" w:type="dxa"/>
          </w:tcPr>
          <w:p>
            <w:pPr>
              <w:pStyle w:val="MDPI42tablebody"/>
              <w:spacing w:line="220" w:lineRule="atLeast"/>
              <w:jc w:val="left"/>
            </w:pPr>
            <w:r>
              <w:rPr>
                <w:sz w:val="17"/>
                <w:szCs w:val="17"/>
              </w:rPr>
              <w:t xml:space="preserve">Adaptive Braille tutoring</w:t>
            </w:r>
          </w:p>
        </w:tc>
        <w:tc>
          <w:tcPr>
            <w:tcW w:w="4133" w:type="dxa"/>
          </w:tcPr>
          <w:p>
            <w:pPr>
              <w:pStyle w:val="MDPI42tablebody"/>
              <w:spacing w:line="220" w:lineRule="atLeast"/>
              <w:jc w:val="left"/>
            </w:pPr>
            <w:r>
              <w:rPr>
                <w:sz w:val="17"/>
                <w:szCs w:val="17"/>
              </w:rPr>
              <w:t xml:space="preserve">One report: mean sessions to mastery of targeted contractions 7.00 with tutor vs. 9.58 with teacher instruction alone.</w:t>
            </w:r>
          </w:p>
        </w:tc>
        <w:tc>
          <w:tcPr>
            <w:tcW w:w="4133" w:type="dxa"/>
          </w:tcPr>
          <w:p>
            <w:pPr>
              <w:pStyle w:val="MDPI42tablebody"/>
              <w:spacing w:line="220" w:lineRule="atLeast"/>
              <w:jc w:val="left"/>
            </w:pPr>
            <w:r>
              <w:rPr>
                <w:sz w:val="17"/>
                <w:szCs w:val="17"/>
              </w:rPr>
              <w:t xml:space="preserve">Different target sets, small sample, and untested transfer; not a general literacy effect.</w:t>
            </w:r>
          </w:p>
        </w:tc>
      </w:tr>
      <w:tr>
        <w:trPr>
          <w:cantSplit/>
        </w:trPr>
        <w:tc>
          <w:tcPr>
            <w:tcW w:w="2200" w:type="dxa"/>
          </w:tcPr>
          <w:p>
            <w:pPr>
              <w:pStyle w:val="MDPI42tablebody"/>
              <w:spacing w:line="220" w:lineRule="atLeast"/>
              <w:jc w:val="left"/>
            </w:pPr>
            <w:r>
              <w:rPr>
                <w:sz w:val="17"/>
                <w:szCs w:val="17"/>
              </w:rPr>
              <w:t xml:space="preserve">Participation and implementation</w:t>
            </w:r>
          </w:p>
        </w:tc>
        <w:tc>
          <w:tcPr>
            <w:tcW w:w="4133" w:type="dxa"/>
          </w:tcPr>
          <w:p>
            <w:pPr>
              <w:pStyle w:val="MDPI42tablebody"/>
              <w:spacing w:line="220" w:lineRule="atLeast"/>
              <w:jc w:val="left"/>
            </w:pPr>
            <w:r>
              <w:rPr>
                <w:sz w:val="17"/>
                <w:szCs w:val="17"/>
              </w:rPr>
              <w:t xml:space="preserve">Preferences, social validity, and descriptive reports of independence and continued use.</w:t>
            </w:r>
          </w:p>
        </w:tc>
        <w:tc>
          <w:tcPr>
            <w:tcW w:w="4133" w:type="dxa"/>
          </w:tcPr>
          <w:p>
            <w:pPr>
              <w:pStyle w:val="MDPI42tablebody"/>
              <w:spacing w:line="220" w:lineRule="atLeast"/>
              <w:jc w:val="left"/>
            </w:pPr>
            <w:r>
              <w:rPr>
                <w:sz w:val="17"/>
                <w:szCs w:val="17"/>
              </w:rPr>
              <w:t xml:space="preserve">No comparative effect on validated participation, burden, harms, abandonment, or cost.</w:t>
            </w:r>
          </w:p>
        </w:tc>
      </w:tr>
      <w:tr>
        <w:trPr>
          <w:cantSplit/>
        </w:trPr>
        <w:tc>
          <w:tcPr>
            <w:tcW w:w="2200" w:type="dxa"/>
          </w:tcPr>
          <w:p>
            <w:pPr>
              <w:pStyle w:val="MDPI42tablebody"/>
              <w:spacing w:line="220" w:lineRule="atLeast"/>
              <w:jc w:val="left"/>
            </w:pPr>
            <w:r>
              <w:rPr>
                <w:sz w:val="17"/>
                <w:szCs w:val="17"/>
              </w:rPr>
              <w:t xml:space="preserve">Captioning and OBR</w:t>
            </w:r>
          </w:p>
        </w:tc>
        <w:tc>
          <w:tcPr>
            <w:tcW w:w="4133" w:type="dxa"/>
          </w:tcPr>
          <w:p>
            <w:pPr>
              <w:pStyle w:val="MDPI42tablebody"/>
              <w:spacing w:line="220" w:lineRule="atLeast"/>
              <w:jc w:val="left"/>
            </w:pPr>
            <w:r>
              <w:rPr>
                <w:sz w:val="17"/>
                <w:szCs w:val="17"/>
              </w:rPr>
              <w:t xml:space="preserve">No included learner-level comparative report.</w:t>
            </w:r>
          </w:p>
        </w:tc>
        <w:tc>
          <w:tcPr>
            <w:tcW w:w="4133" w:type="dxa"/>
          </w:tcPr>
          <w:p>
            <w:pPr>
              <w:pStyle w:val="MDPI42tablebody"/>
              <w:spacing w:line="220" w:lineRule="atLeast"/>
              <w:jc w:val="left"/>
            </w:pPr>
            <w:r>
              <w:rPr>
                <w:sz w:val="17"/>
                <w:szCs w:val="17"/>
              </w:rPr>
              <w:t xml:space="preserve">Restricted search coverage and unclassified reports preclude a definitive evidence-gap conclusion.</w:t>
            </w:r>
          </w:p>
        </w:tc>
      </w:tr>
    </w:tbl>
    <w:p>
      <w:pPr>
        <w:pStyle w:val="MDPI43tablefooter"/>
        <w:ind w:left="0"/>
      </w:pPr>
      <w:r>
        <w:t xml:space="preserve">Rows may draw on overlapping reports and populations. No pooled effect, total participant count, formal certainty rating, or vote count is implied.</w:t>
      </w:r>
    </w:p>
    <w:p>
      <w:pPr>
        <w:pStyle w:val="MDPI21heading1"/>
      </w:pPr>
      <w:r>
        <w:t xml:space="preserve">4. Discussion</w:t>
      </w:r>
    </w:p>
    <w:p>
      <w:pPr>
        <w:pStyle w:val="MDPI22heading2"/>
      </w:pPr>
      <w:r>
        <w:t xml:space="preserve">4.1. Principal Findings</w:t>
      </w:r>
    </w:p>
    <w:p>
      <w:pPr>
        <w:pStyle w:val="MDPI31text"/>
      </w:pPr>
      <w:r>
        <w:t xml:space="preserve">The most defensible conclusion from this evidence concerns the distinction between performance while a technology is in use and learning without it. Speech technologies often increased written output and sometimes improved comprehension under particular task conditions, but they did not consistently improve accuracy, quality, or comprehension across learners and comparators. Controlled unaided outcomes were positive, null, and unfavorable, and the Braille evidence concerned a narrow acquisition target. Of the 47 reports, 34 measured primarily assisted outcomes and only 6 measured unaided outcomes in a controlled comparison. The evidence therefore speaks mainly to access, and much less to learning.</w:t>
      </w:r>
    </w:p>
    <w:p>
      <w:pPr>
        <w:pStyle w:val="MDPI31text"/>
      </w:pPr>
      <w:r>
        <w:t xml:space="preserve">This pattern supports explicit outcome definitions rather than a hierarchy of technologies. It also shows that the inclusion of additional reports does not necessarily add independent evidence: linked publications, shared national assessment cohorts, and companion analyses accounted for several apparent replications. Re-checking reports against their original sources was necessary to establish intervention eligibility (for example, distinguishing synthesized from prerecorded speech) and to separate subgroup from pooled-sample results.</w:t>
      </w:r>
    </w:p>
    <w:p>
      <w:pPr>
        <w:pStyle w:val="MDPI22heading2"/>
      </w:pPr>
      <w:r>
        <w:t xml:space="preserve">4.2. Comparison with Previous Reviews and Possible Mechanisms</w:t>
      </w:r>
    </w:p>
    <w:p>
      <w:pPr>
        <w:pStyle w:val="MDPI31text"/>
      </w:pPr>
      <w:r>
        <w:t xml:space="preserve">A meta-analysis of TTS and related read-aloud tools reported a modest average comprehension benefit (</w:t>
      </w:r>
      <w:r>
        <w:rPr>
          <w:i/>
        </w:rPr>
        <w:t xml:space="preserve">d</w:t>
      </w:r>
      <w:r>
        <w:t xml:space="preserve"> = 0.35, 95% CI 0.14–0.56; Wood et al., 2018). Its definitions, populations, and contrasts differ from those of the present review, and the estimate concerns supported reading; it should not be transferred to the unaided outcomes examined here. Reviews of STT likewise distinguish compensation during writing from instruction that changes skills (Matre &amp; Cameron, 2024), and the limited Braille evidence is consistent with the need for learner-level evaluation identified previously (Hoskin et al., 2024).</w:t>
      </w:r>
    </w:p>
    <w:p>
      <w:pPr>
        <w:pStyle w:val="MDPI31text"/>
      </w:pPr>
      <w:r>
        <w:t xml:space="preserve">Person–technology matching offers a plausible account of the heterogeneity (Lenker &amp; Paquet, 2003; Scherer &amp; Craddock, 2002). TTS may reduce decoding demands without supplying vocabulary or oral-language comprehension, and STT may reduce transcription demands without supplying planning, organization, or revision. Bypassing print may also alter what is practiced, as the orthographic-learning experiment suggests. These are explanatory hypotheses rather than mechanisms demonstrated across the included studies, and neither a diagnosis nor an isolated subgroup result provides a validated basis for selecting a technology.</w:t>
      </w:r>
    </w:p>
    <w:p>
      <w:pPr>
        <w:pStyle w:val="MDPI22heading2"/>
      </w:pPr>
      <w:r>
        <w:t xml:space="preserve">4.3. Implications for Practice</w:t>
      </w:r>
    </w:p>
    <w:p>
      <w:pPr>
        <w:pStyle w:val="MDPI31text"/>
      </w:pPr>
      <w:r>
        <w:t xml:space="preserve">A practical implication is to define an access goal and a learning goal separately. An access evaluation compares comprehension or written production with and without a specific tool on equivalent tasks. A learning evaluation tests the relevant skill without the tool and, where feasible, after a meaningful delay. Brief alternating-treatments comparisons, as used in several included single-case studies, offer a feasible template for such individual evaluation in schools. Better assisted performance can remain valuable even when unaided skill does not change, and the two goals can be pursued in parallel.</w:t>
      </w:r>
    </w:p>
    <w:p>
      <w:pPr>
        <w:pStyle w:val="MDPI31text"/>
      </w:pPr>
      <w:r>
        <w:t xml:space="preserve">Educational teams can combine such comparisons with assessment of the learner’s language, reading, motor, and sensory profile and preferences. Training and revision support should be documented, because these components may determine whether a tool is usable. Teachers, speech-language and rehabilitation professionals, families, and school health services can use repeated individual observations to review benefit and burden (Council on School Health, 2016; World Health Organization &amp; United Nations Children’s Fund, 2022). Provision also requires time, accessible materials, and continued support (Nordström et al., 2019). These are pragmatic interpretations of heterogeneous evidence rather than graded recommendations: the evidence does not show that technology should replace explicit instruction or human support, and it does not establish the cost-effectiveness of any service model.</w:t>
      </w:r>
    </w:p>
    <w:p>
      <w:pPr>
        <w:pStyle w:val="MDPI22heading2"/>
      </w:pPr>
      <w:r>
        <w:t xml:space="preserve">4.4. Implications for Research</w:t>
      </w:r>
    </w:p>
    <w:p>
      <w:pPr>
        <w:pStyle w:val="MDPI31text"/>
      </w:pPr>
      <w:r>
        <w:t xml:space="preserve">Future studies should state whether their objective is accommodation, skill acquisition, or transfer and measure each under an explicit technology condition. Randomized or adequately replicated single-case comparisons should separate the technology from additional instruction when that is the causal question, and should include delayed unaided outcomes. Reports should provide participant-level eligibility, analytic denominators, intervention fidelity, paired estimates or phase data with measures of uncertainty, and explicit statements about companion reports or shared cohorts. Hypotheses about moderators require prespecified interaction tests with adequate precision. Participation, sustained use, burden, and adverse learning outcomes deserve direct measurement; existing assistive-device instruments may inform this work, although their suitability for children in educational settings needs evaluation (Demers et al., 2002; Jutai &amp; Day, 2002). Searches of education and computing sources are needed before captioning and OBR can be regarded as empty evidence areas.</w:t>
      </w:r>
    </w:p>
    <w:p>
      <w:pPr>
        <w:pStyle w:val="MDPI22heading2"/>
      </w:pPr>
      <w:r>
        <w:t xml:space="preserve">4.5. Strengths and Limitations</w:t>
      </w:r>
    </w:p>
    <w:p>
      <w:pPr>
        <w:pStyle w:val="MDPI31text"/>
      </w:pPr>
      <w:r>
        <w:t xml:space="preserve">The review separates technology functions and measurement conditions, reports unfavorable as well as favorable findings, verifies extracted results against original sources and records the depth of that verification, and makes dependence between reports explicit. The ERIC search and the candidate decisions are documented at record or report level.</w:t>
      </w:r>
    </w:p>
    <w:p>
      <w:pPr>
        <w:pStyle w:val="MDPI31text"/>
      </w:pPr>
      <w:r>
        <w:t xml:space="preserve">The review also has important limitations. The Phase 1 searches used a design block that may have reduced sensitivity, specialist education and computing databases were not searched, and adding ERIC in Phase 2 reduced but did not remove this gap. Phase 1 exports and some supplementary search details were not retained. Screening, extraction, and appraisal were performed by one reviewer with author checking, and Phase 2 relied substantively on a generative AI tool rather than independent duplicate human review; errors in eligibility or extraction are therefore more likely than in a review using duplicate methods. The outcome framework and several eligibility clarifications were finalized after data extraction. English-language and journal-publication restrictions may have introduced selection bias. Nine potentially eligible reports await classification, and 23 included reports could be verified only through abstracts or linked primary documents, so their inclusion and findings are provisional. Formal risk-of-bias ratings were not reported, and the structured appraisal does not provide equivalent result-level judgments. Source inconsistencies, uncertain cohort overlap, sparse precision, and unclear assistance during some outcome tests further restrict inference. These limitations could change both the interpretation of effects and the apparent gaps in the literature.</w:t>
      </w:r>
    </w:p>
    <w:p>
      <w:pPr>
        <w:pStyle w:val="MDPI21heading1"/>
      </w:pPr>
      <w:r>
        <w:t xml:space="preserve">5. Conclusions</w:t>
      </w:r>
    </w:p>
    <w:p>
      <w:pPr>
        <w:pStyle w:val="MDPI31text"/>
      </w:pPr>
      <w:r>
        <w:t xml:space="preserve">Speech technologies can support access to reading and writing tasks for some school-age learners with disabilities, but comprehension, accuracy, and quality outcomes vary across learners, tasks, and comparators. The available evidence does not establish consistent transfer to unaided skills, and one controlled experiment suggests that reading with TTS may reduce some forms of orthographic learning. Evidence on adaptive Braille tutoring is limited to proximal acquisition of trained contractions, and no eligible comparative study of captioning or OBR was located. Educational decisions should distinguish access goals from learning goals, take account of each learner’s response and preferences, and review outcomes under clearly stated measurement conditions.</w:t>
      </w:r>
    </w:p>
    <w:p>
      <w:pPr>
        <w:pStyle w:val="MDPI62backmatter"/>
        <w:spacing w:before="240"/>
      </w:pPr>
      <w:r>
        <w:rPr>
          <w:b/>
        </w:rPr>
        <w:t xml:space="preserve">Supplementary Materials:</w:t>
      </w:r>
      <w:r>
        <w:t xml:space="preserve"> </w:t>
      </w:r>
      <w:r>
        <w:t xml:space="preserve">The following supporting information can be downloaded at: https://www.mdpi.com/article/doi/s1, Table S1: Search strategies, dates, and yields; Table S2: Characteristics and findings of included reports; Table S3: Structured critical appraisal of included reports; Table S4: Changes to the registered methods; Table S5: Linked reports and potentially overlapping cohorts; Table S6: Reports excluded after assessment or awaiting classification; PRISMA 2020 checklist; PRISMA 2020 for Abstracts checklist; SWiM checklist; PRISMA-S checklist.</w:t>
      </w:r>
    </w:p>
    <w:p>
      <w:pPr>
        <w:pStyle w:val="MDPI62backmatter"/>
      </w:pPr>
      <w:r>
        <w:rPr>
          <w:b/>
        </w:rPr>
        <w:t xml:space="preserve">Author Contributions:</w:t>
      </w:r>
      <w:r>
        <w:t xml:space="preserve"> </w:t>
      </w:r>
      <w:r>
        <w:t xml:space="preserve">Conceptualization, A.K.D. and N.A.A.; methodology, A.K.D.; investigation, A.K.D.; data curation, A.K.D.; formal analysis, A.K.D.; writing—original draft preparation, A.K.D.; writing—review and editing, A.K.D. and N.A.A.; supervision, N.A.A. All authors have read and agreed to the published version of the manuscript.</w:t>
      </w:r>
    </w:p>
    <w:p>
      <w:pPr>
        <w:pStyle w:val="MDPI62backmatter"/>
      </w:pPr>
      <w:r>
        <w:rPr>
          <w:b/>
        </w:rPr>
        <w:t xml:space="preserve">Funding:</w:t>
      </w:r>
      <w:r>
        <w:t xml:space="preserve"> </w:t>
      </w:r>
      <w:r>
        <w:t xml:space="preserve">This research was funded by the King Salman Center for Disability Research through Excellence Research Center grant number KSCDR-ERC-2024-01.</w:t>
      </w:r>
    </w:p>
    <w:p>
      <w:pPr>
        <w:pStyle w:val="MDPI62backmatter"/>
      </w:pPr>
      <w:r>
        <w:rPr>
          <w:b/>
        </w:rPr>
        <w:t xml:space="preserve">Institutional Review Board Statement:</w:t>
      </w:r>
      <w:r>
        <w:t xml:space="preserve"> </w:t>
      </w:r>
      <w:r>
        <w:t xml:space="preserve">Not applicable. This review analyzed published aggregate data and did not involve human participants.</w:t>
      </w:r>
    </w:p>
    <w:p>
      <w:pPr>
        <w:pStyle w:val="MDPI62backmatter"/>
      </w:pPr>
      <w:r>
        <w:rPr>
          <w:b/>
        </w:rPr>
        <w:t xml:space="preserve">Informed Consent Statement:</w:t>
      </w:r>
      <w:r>
        <w:t xml:space="preserve"> </w:t>
      </w:r>
      <w:r>
        <w:t xml:space="preserve">Not applicable.</w:t>
      </w:r>
    </w:p>
    <w:p>
      <w:pPr>
        <w:pStyle w:val="MDPI62backmatter"/>
      </w:pPr>
      <w:r>
        <w:rPr>
          <w:b/>
        </w:rPr>
        <w:t xml:space="preserve">Data Availability Statement:</w:t>
      </w:r>
      <w:r>
        <w:t xml:space="preserve"> </w:t>
      </w:r>
      <w:r>
        <w:t xml:space="preserve">All data supporting the findings are provided in the article and its Supplementary Materials, including search strategies, report-level characteristics and findings, critical appraisal, and eligibility decisions. The ERIC record export with record-level screening decisions is available from the corresponding author on request. The original Phase 1 database exports and the citation-level list of Phase 1 full-text exclusions were not retained.</w:t>
      </w:r>
    </w:p>
    <w:p>
      <w:pPr>
        <w:pStyle w:val="MDPI62backmatter"/>
      </w:pPr>
      <w:r>
        <w:rPr>
          <w:b/>
        </w:rPr>
        <w:t xml:space="preserve">Acknowledgments:</w:t>
      </w:r>
      <w:r>
        <w:t xml:space="preserve"> </w:t>
      </w:r>
      <w:r>
        <w:t xml:space="preserve">During the preparation of this study, the authors used ChatGPT (OpenAI; model version not recorded) for the purposes described in Section 2.9, and Claude (Anthropic) for language editing and formatting of the manuscript and supplementary files. The authors have reviewed and edited the output and take full responsibility for the content of this publication.</w:t>
      </w:r>
    </w:p>
    <w:p>
      <w:pPr>
        <w:pStyle w:val="MDPI62backmatter"/>
      </w:pPr>
      <w:r>
        <w:rPr>
          <w:b/>
        </w:rPr>
        <w:t xml:space="preserve">Conflicts of Interest:</w:t>
      </w:r>
      <w:r>
        <w:t xml:space="preserve"> </w:t>
      </w:r>
      <w:r>
        <w:t xml:space="preserve">Both authors are affiliated with the King Salman Center for Disability Research, which funded this review. The funder had no role in the design of the review; in the collection, analysis, or interpretation of data; in the writing of the manuscript; or in the decision to publish the results. The authors declare no other conflicts of interest.</w:t>
      </w:r>
    </w:p>
    <w:p>
      <w:pPr>
        <w:pStyle w:val="MDPI21heading1"/>
        <w:ind w:left="0"/>
      </w:pPr>
      <w:r>
        <w:t xml:space="preserve">Abbreviations</w:t>
      </w:r>
    </w:p>
    <w:p>
      <w:pPr>
        <w:pStyle w:val="MDPI32textnoindent"/>
        <w:ind w:left="0"/>
      </w:pPr>
      <w:r>
        <w:rPr>
          <w:sz w:val="18"/>
          <w:szCs w:val="18"/>
        </w:rPr>
        <w:t xml:space="preserve">The following abbreviations are used in this manuscript:</w:t>
      </w:r>
    </w:p>
    <w:tbl>
      <w:tblPr>
        <w:tblW w:w="7857" w:type="dxa"/>
        <w:tblInd w:w="0" w:type="dxa"/>
        <w:tblLayout w:type="fixed"/>
        <w:tblCellMar>
          <w:left w:w="0" w:type="dxa"/>
          <w:right w:w="0" w:type="dxa"/>
        </w:tblCellMar>
        <w:tblLook w:val="04A0" w:firstRow="1" w:lastRow="0" w:firstColumn="1" w:lastColumn="0" w:noHBand="0" w:noVBand="1"/>
      </w:tblPr>
      <w:tblGrid>
        <w:gridCol w:w="1600"/>
        <w:gridCol w:w="6257"/>
      </w:tblGrid>
      <w:tr>
        <w:tc>
          <w:tcPr>
            <w:tcW w:w="1600" w:type="dxa"/>
          </w:tcPr>
          <w:p>
            <w:pPr>
              <w:pStyle w:val="MDPI42tablebody"/>
              <w:spacing w:line="220" w:lineRule="atLeast"/>
              <w:jc w:val="left"/>
            </w:pPr>
            <w:r>
              <w:rPr>
                <w:sz w:val="18"/>
                <w:szCs w:val="18"/>
              </w:rPr>
              <w:t xml:space="preserve">ADHD</w:t>
            </w:r>
          </w:p>
        </w:tc>
        <w:tc>
          <w:tcPr>
            <w:tcW w:w="6257" w:type="dxa"/>
          </w:tcPr>
          <w:p>
            <w:pPr>
              <w:pStyle w:val="MDPI42tablebody"/>
              <w:spacing w:line="220" w:lineRule="atLeast"/>
              <w:jc w:val="left"/>
            </w:pPr>
            <w:r>
              <w:rPr>
                <w:sz w:val="18"/>
                <w:szCs w:val="18"/>
              </w:rPr>
              <w:t xml:space="preserve">Attention-deficit/hyperactivity disorder</w:t>
            </w:r>
          </w:p>
        </w:tc>
      </w:tr>
      <w:tr>
        <w:tc>
          <w:tcPr>
            <w:tcW w:w="1600" w:type="dxa"/>
          </w:tcPr>
          <w:p>
            <w:pPr>
              <w:pStyle w:val="MDPI42tablebody"/>
              <w:spacing w:line="220" w:lineRule="atLeast"/>
              <w:jc w:val="left"/>
            </w:pPr>
            <w:r>
              <w:rPr>
                <w:sz w:val="18"/>
                <w:szCs w:val="18"/>
              </w:rPr>
              <w:t xml:space="preserve">AI</w:t>
            </w:r>
          </w:p>
        </w:tc>
        <w:tc>
          <w:tcPr>
            <w:tcW w:w="6257" w:type="dxa"/>
          </w:tcPr>
          <w:p>
            <w:pPr>
              <w:pStyle w:val="MDPI42tablebody"/>
              <w:spacing w:line="220" w:lineRule="atLeast"/>
              <w:jc w:val="left"/>
            </w:pPr>
            <w:r>
              <w:rPr>
                <w:sz w:val="18"/>
                <w:szCs w:val="18"/>
              </w:rPr>
              <w:t xml:space="preserve">Artificial intelligence</w:t>
            </w:r>
          </w:p>
        </w:tc>
      </w:tr>
      <w:tr>
        <w:tc>
          <w:tcPr>
            <w:tcW w:w="1600" w:type="dxa"/>
          </w:tcPr>
          <w:p>
            <w:pPr>
              <w:pStyle w:val="MDPI42tablebody"/>
              <w:spacing w:line="220" w:lineRule="atLeast"/>
              <w:jc w:val="left"/>
            </w:pPr>
            <w:r>
              <w:rPr>
                <w:sz w:val="18"/>
                <w:szCs w:val="18"/>
              </w:rPr>
              <w:t xml:space="preserve">ERIC</w:t>
            </w:r>
          </w:p>
        </w:tc>
        <w:tc>
          <w:tcPr>
            <w:tcW w:w="6257" w:type="dxa"/>
          </w:tcPr>
          <w:p>
            <w:pPr>
              <w:pStyle w:val="MDPI42tablebody"/>
              <w:spacing w:line="220" w:lineRule="atLeast"/>
              <w:jc w:val="left"/>
            </w:pPr>
            <w:r>
              <w:rPr>
                <w:sz w:val="18"/>
                <w:szCs w:val="18"/>
              </w:rPr>
              <w:t xml:space="preserve">Education Resources Information Center</w:t>
            </w:r>
          </w:p>
        </w:tc>
      </w:tr>
      <w:tr>
        <w:tc>
          <w:tcPr>
            <w:tcW w:w="1600" w:type="dxa"/>
          </w:tcPr>
          <w:p>
            <w:pPr>
              <w:pStyle w:val="MDPI42tablebody"/>
              <w:spacing w:line="220" w:lineRule="atLeast"/>
              <w:jc w:val="left"/>
            </w:pPr>
            <w:r>
              <w:rPr>
                <w:sz w:val="18"/>
                <w:szCs w:val="18"/>
              </w:rPr>
              <w:t xml:space="preserve">IEP</w:t>
            </w:r>
          </w:p>
        </w:tc>
        <w:tc>
          <w:tcPr>
            <w:tcW w:w="6257" w:type="dxa"/>
          </w:tcPr>
          <w:p>
            <w:pPr>
              <w:pStyle w:val="MDPI42tablebody"/>
              <w:spacing w:line="220" w:lineRule="atLeast"/>
              <w:jc w:val="left"/>
            </w:pPr>
            <w:r>
              <w:rPr>
                <w:sz w:val="18"/>
                <w:szCs w:val="18"/>
              </w:rPr>
              <w:t xml:space="preserve">Individualized education program</w:t>
            </w:r>
          </w:p>
        </w:tc>
      </w:tr>
      <w:tr>
        <w:tc>
          <w:tcPr>
            <w:tcW w:w="1600" w:type="dxa"/>
          </w:tcPr>
          <w:p>
            <w:pPr>
              <w:pStyle w:val="MDPI42tablebody"/>
              <w:spacing w:line="220" w:lineRule="atLeast"/>
              <w:jc w:val="left"/>
            </w:pPr>
            <w:r>
              <w:rPr>
                <w:sz w:val="18"/>
                <w:szCs w:val="18"/>
              </w:rPr>
              <w:t xml:space="preserve">NAEP</w:t>
            </w:r>
          </w:p>
        </w:tc>
        <w:tc>
          <w:tcPr>
            <w:tcW w:w="6257" w:type="dxa"/>
          </w:tcPr>
          <w:p>
            <w:pPr>
              <w:pStyle w:val="MDPI42tablebody"/>
              <w:spacing w:line="220" w:lineRule="atLeast"/>
              <w:jc w:val="left"/>
            </w:pPr>
            <w:r>
              <w:rPr>
                <w:sz w:val="18"/>
                <w:szCs w:val="18"/>
              </w:rPr>
              <w:t xml:space="preserve">National Assessment of Educational Progress</w:t>
            </w:r>
          </w:p>
        </w:tc>
      </w:tr>
      <w:tr>
        <w:tc>
          <w:tcPr>
            <w:tcW w:w="1600" w:type="dxa"/>
          </w:tcPr>
          <w:p>
            <w:pPr>
              <w:pStyle w:val="MDPI42tablebody"/>
              <w:spacing w:line="220" w:lineRule="atLeast"/>
              <w:jc w:val="left"/>
            </w:pPr>
            <w:r>
              <w:rPr>
                <w:sz w:val="18"/>
                <w:szCs w:val="18"/>
              </w:rPr>
              <w:t xml:space="preserve">OBR</w:t>
            </w:r>
          </w:p>
        </w:tc>
        <w:tc>
          <w:tcPr>
            <w:tcW w:w="6257" w:type="dxa"/>
          </w:tcPr>
          <w:p>
            <w:pPr>
              <w:pStyle w:val="MDPI42tablebody"/>
              <w:spacing w:line="220" w:lineRule="atLeast"/>
              <w:jc w:val="left"/>
            </w:pPr>
            <w:r>
              <w:rPr>
                <w:sz w:val="18"/>
                <w:szCs w:val="18"/>
              </w:rPr>
              <w:t xml:space="preserve">Optical Braille recognition</w:t>
            </w:r>
          </w:p>
        </w:tc>
      </w:tr>
      <w:tr>
        <w:tc>
          <w:tcPr>
            <w:tcW w:w="1600" w:type="dxa"/>
          </w:tcPr>
          <w:p>
            <w:pPr>
              <w:pStyle w:val="MDPI42tablebody"/>
              <w:spacing w:line="220" w:lineRule="atLeast"/>
              <w:jc w:val="left"/>
            </w:pPr>
            <w:r>
              <w:rPr>
                <w:sz w:val="18"/>
                <w:szCs w:val="18"/>
              </w:rPr>
              <w:t xml:space="preserve">OCR</w:t>
            </w:r>
          </w:p>
        </w:tc>
        <w:tc>
          <w:tcPr>
            <w:tcW w:w="6257" w:type="dxa"/>
          </w:tcPr>
          <w:p>
            <w:pPr>
              <w:pStyle w:val="MDPI42tablebody"/>
              <w:spacing w:line="220" w:lineRule="atLeast"/>
              <w:jc w:val="left"/>
            </w:pPr>
            <w:r>
              <w:rPr>
                <w:sz w:val="18"/>
                <w:szCs w:val="18"/>
              </w:rPr>
              <w:t xml:space="preserve">Optical character recognition</w:t>
            </w:r>
          </w:p>
        </w:tc>
      </w:tr>
      <w:tr>
        <w:tc>
          <w:tcPr>
            <w:tcW w:w="1600" w:type="dxa"/>
          </w:tcPr>
          <w:p>
            <w:pPr>
              <w:pStyle w:val="MDPI42tablebody"/>
              <w:spacing w:line="220" w:lineRule="atLeast"/>
              <w:jc w:val="left"/>
            </w:pPr>
            <w:r>
              <w:rPr>
                <w:sz w:val="18"/>
                <w:szCs w:val="18"/>
              </w:rPr>
              <w:t xml:space="preserve">PRISMA</w:t>
            </w:r>
          </w:p>
        </w:tc>
        <w:tc>
          <w:tcPr>
            <w:tcW w:w="6257" w:type="dxa"/>
          </w:tcPr>
          <w:p>
            <w:pPr>
              <w:pStyle w:val="MDPI42tablebody"/>
              <w:spacing w:line="220" w:lineRule="atLeast"/>
              <w:jc w:val="left"/>
            </w:pPr>
            <w:r>
              <w:rPr>
                <w:sz w:val="18"/>
                <w:szCs w:val="18"/>
              </w:rPr>
              <w:t xml:space="preserve">Preferred Reporting Items for Systematic Reviews and Meta-Analyses</w:t>
            </w:r>
          </w:p>
        </w:tc>
      </w:tr>
      <w:tr>
        <w:tc>
          <w:tcPr>
            <w:tcW w:w="1600" w:type="dxa"/>
          </w:tcPr>
          <w:p>
            <w:pPr>
              <w:pStyle w:val="MDPI42tablebody"/>
              <w:spacing w:line="220" w:lineRule="atLeast"/>
              <w:jc w:val="left"/>
            </w:pPr>
            <w:r>
              <w:rPr>
                <w:sz w:val="18"/>
                <w:szCs w:val="18"/>
              </w:rPr>
              <w:t xml:space="preserve">PROSPERO</w:t>
            </w:r>
          </w:p>
        </w:tc>
        <w:tc>
          <w:tcPr>
            <w:tcW w:w="6257" w:type="dxa"/>
          </w:tcPr>
          <w:p>
            <w:pPr>
              <w:pStyle w:val="MDPI42tablebody"/>
              <w:spacing w:line="220" w:lineRule="atLeast"/>
              <w:jc w:val="left"/>
            </w:pPr>
            <w:r>
              <w:rPr>
                <w:sz w:val="18"/>
                <w:szCs w:val="18"/>
              </w:rPr>
              <w:t xml:space="preserve">International Prospective Register of Systematic Reviews</w:t>
            </w:r>
          </w:p>
        </w:tc>
      </w:tr>
      <w:tr>
        <w:tc>
          <w:tcPr>
            <w:tcW w:w="1600" w:type="dxa"/>
          </w:tcPr>
          <w:p>
            <w:pPr>
              <w:pStyle w:val="MDPI42tablebody"/>
              <w:spacing w:line="220" w:lineRule="atLeast"/>
              <w:jc w:val="left"/>
            </w:pPr>
            <w:r>
              <w:rPr>
                <w:sz w:val="18"/>
                <w:szCs w:val="18"/>
              </w:rPr>
              <w:t xml:space="preserve">SLD</w:t>
            </w:r>
          </w:p>
        </w:tc>
        <w:tc>
          <w:tcPr>
            <w:tcW w:w="6257" w:type="dxa"/>
          </w:tcPr>
          <w:p>
            <w:pPr>
              <w:pStyle w:val="MDPI42tablebody"/>
              <w:spacing w:line="220" w:lineRule="atLeast"/>
              <w:jc w:val="left"/>
            </w:pPr>
            <w:r>
              <w:rPr>
                <w:sz w:val="18"/>
                <w:szCs w:val="18"/>
              </w:rPr>
              <w:t xml:space="preserve">Specific learning disability</w:t>
            </w:r>
          </w:p>
        </w:tc>
      </w:tr>
      <w:tr>
        <w:tc>
          <w:tcPr>
            <w:tcW w:w="1600" w:type="dxa"/>
          </w:tcPr>
          <w:p>
            <w:pPr>
              <w:pStyle w:val="MDPI42tablebody"/>
              <w:spacing w:line="220" w:lineRule="atLeast"/>
              <w:jc w:val="left"/>
            </w:pPr>
            <w:r>
              <w:rPr>
                <w:sz w:val="18"/>
                <w:szCs w:val="18"/>
              </w:rPr>
              <w:t xml:space="preserve">STT</w:t>
            </w:r>
          </w:p>
        </w:tc>
        <w:tc>
          <w:tcPr>
            <w:tcW w:w="6257" w:type="dxa"/>
          </w:tcPr>
          <w:p>
            <w:pPr>
              <w:pStyle w:val="MDPI42tablebody"/>
              <w:spacing w:line="220" w:lineRule="atLeast"/>
              <w:jc w:val="left"/>
            </w:pPr>
            <w:r>
              <w:rPr>
                <w:sz w:val="18"/>
                <w:szCs w:val="18"/>
              </w:rPr>
              <w:t xml:space="preserve">Speech-to-text</w:t>
            </w:r>
          </w:p>
        </w:tc>
      </w:tr>
      <w:tr>
        <w:tc>
          <w:tcPr>
            <w:tcW w:w="1600" w:type="dxa"/>
          </w:tcPr>
          <w:p>
            <w:pPr>
              <w:pStyle w:val="MDPI42tablebody"/>
              <w:spacing w:line="220" w:lineRule="atLeast"/>
              <w:jc w:val="left"/>
            </w:pPr>
            <w:r>
              <w:rPr>
                <w:sz w:val="18"/>
                <w:szCs w:val="18"/>
              </w:rPr>
              <w:t xml:space="preserve">SWiM</w:t>
            </w:r>
          </w:p>
        </w:tc>
        <w:tc>
          <w:tcPr>
            <w:tcW w:w="6257" w:type="dxa"/>
          </w:tcPr>
          <w:p>
            <w:pPr>
              <w:pStyle w:val="MDPI42tablebody"/>
              <w:spacing w:line="220" w:lineRule="atLeast"/>
              <w:jc w:val="left"/>
            </w:pPr>
            <w:r>
              <w:rPr>
                <w:sz w:val="18"/>
                <w:szCs w:val="18"/>
              </w:rPr>
              <w:t xml:space="preserve">Synthesis Without Meta-analysis</w:t>
            </w:r>
          </w:p>
        </w:tc>
      </w:tr>
      <w:tr>
        <w:tc>
          <w:tcPr>
            <w:tcW w:w="1600" w:type="dxa"/>
          </w:tcPr>
          <w:p>
            <w:pPr>
              <w:pStyle w:val="MDPI42tablebody"/>
              <w:spacing w:line="220" w:lineRule="atLeast"/>
              <w:jc w:val="left"/>
            </w:pPr>
            <w:r>
              <w:rPr>
                <w:sz w:val="18"/>
                <w:szCs w:val="18"/>
              </w:rPr>
              <w:t xml:space="preserve">TTS</w:t>
            </w:r>
          </w:p>
        </w:tc>
        <w:tc>
          <w:tcPr>
            <w:tcW w:w="6257" w:type="dxa"/>
          </w:tcPr>
          <w:p>
            <w:pPr>
              <w:pStyle w:val="MDPI42tablebody"/>
              <w:spacing w:line="220" w:lineRule="atLeast"/>
              <w:jc w:val="left"/>
            </w:pPr>
            <w:r>
              <w:rPr>
                <w:sz w:val="18"/>
                <w:szCs w:val="18"/>
              </w:rPr>
              <w:t xml:space="preserve">Text-to-speech</w:t>
            </w:r>
          </w:p>
        </w:tc>
      </w:tr>
    </w:tbl>
    <w:p>
      <w:pPr>
        <w:pStyle w:val="MDPI21heading1"/>
        <w:ind w:left="0"/>
      </w:pPr>
      <w:r>
        <w:t xml:space="preserve">References</w:t>
      </w:r>
    </w:p>
    <w:p>
      <w:pPr>
        <w:pStyle w:val="MDPI81references"/>
        <w:numPr>
          <w:ilvl w:val="0"/>
          <w:numId w:val="0"/>
        </w:numPr>
        <w:ind w:left="425" w:hanging="425"/>
        <w:jc w:val="left"/>
      </w:pPr>
      <w:r>
        <w:t xml:space="preserve">Ahlgrim-Delzell, L., Browder, D. M., Wood, L., Stanger, C., Preston, A. I., &amp; Kemp-Inman, A. (2016). Systematic instruction of phonics skills using an iPad for students with developmental disabilities who are AAC users. </w:t>
      </w:r>
      <w:r>
        <w:rPr>
          <w:i/>
        </w:rPr>
        <w:t xml:space="preserve">The Journal of Special Education</w:t>
      </w:r>
      <w:r>
        <w:t xml:space="preserve">, </w:t>
      </w:r>
      <w:r>
        <w:rPr>
          <w:i/>
        </w:rPr>
        <w:t xml:space="preserve">50</w:t>
      </w:r>
      <w:r>
        <w:t xml:space="preserve">(2), 86–97. https://doi.org/10.1177/0022466915622140</w:t>
      </w:r>
    </w:p>
    <w:p>
      <w:pPr>
        <w:pStyle w:val="MDPI81references"/>
        <w:numPr>
          <w:ilvl w:val="0"/>
          <w:numId w:val="0"/>
        </w:numPr>
        <w:ind w:left="425" w:hanging="425"/>
        <w:jc w:val="left"/>
      </w:pPr>
      <w:r>
        <w:t xml:space="preserve">Almgren Bäck, G., Mossige, M., Bundgaard Svendsen, H., Rønneberg, V., Selenius, H., Berg Gøttsche, N., Dolmer, G., Fälth, L., Nilsson, S., &amp; Svensson, I. (2024). Speech-to-text intervention to support text production among students with writing difficulties: A single-case study in Nordic countries. </w:t>
      </w:r>
      <w:r>
        <w:rPr>
          <w:i/>
        </w:rPr>
        <w:t xml:space="preserve">Disability and Rehabilitation: Assistive Technology</w:t>
      </w:r>
      <w:r>
        <w:t xml:space="preserve">, </w:t>
      </w:r>
      <w:r>
        <w:rPr>
          <w:i/>
        </w:rPr>
        <w:t xml:space="preserve">19</w:t>
      </w:r>
      <w:r>
        <w:t xml:space="preserve">(8), 3110–3129. https://doi.org/10.1080/17483107.2024.2351488</w:t>
      </w:r>
    </w:p>
    <w:p>
      <w:pPr>
        <w:pStyle w:val="MDPI81references"/>
        <w:numPr>
          <w:ilvl w:val="0"/>
          <w:numId w:val="0"/>
        </w:numPr>
        <w:ind w:left="425" w:hanging="425"/>
        <w:jc w:val="left"/>
      </w:pPr>
      <w:r>
        <w:t xml:space="preserve">Alqahtani, S. S. (2023). iPad text-to-speech and repeated reading to improve reading comprehension for students with SLD. </w:t>
      </w:r>
      <w:r>
        <w:rPr>
          <w:i/>
        </w:rPr>
        <w:t xml:space="preserve">Reading &amp; Writing Quarterly</w:t>
      </w:r>
      <w:r>
        <w:t xml:space="preserve">, </w:t>
      </w:r>
      <w:r>
        <w:rPr>
          <w:i/>
        </w:rPr>
        <w:t xml:space="preserve">39</w:t>
      </w:r>
      <w:r>
        <w:t xml:space="preserve">(1), 1–15. https://doi.org/10.1080/10573569.2021.1987363</w:t>
      </w:r>
    </w:p>
    <w:p>
      <w:pPr>
        <w:pStyle w:val="MDPI81references"/>
        <w:numPr>
          <w:ilvl w:val="0"/>
          <w:numId w:val="0"/>
        </w:numPr>
        <w:ind w:left="425" w:hanging="425"/>
        <w:jc w:val="left"/>
      </w:pPr>
      <w:r>
        <w:t xml:space="preserve">Alsalman, A. S. (2026). The effectiveness of using Braille self-learning system on first-grade students’ literacy achievement. </w:t>
      </w:r>
      <w:r>
        <w:rPr>
          <w:i/>
        </w:rPr>
        <w:t xml:space="preserve">Journal of Visual Impairment &amp; Blindness</w:t>
      </w:r>
      <w:r>
        <w:t xml:space="preserve">. Advance online publication. https://doi.org/10.1177/0145482X261487197</w:t>
      </w:r>
    </w:p>
    <w:p>
      <w:pPr>
        <w:pStyle w:val="MDPI81references"/>
        <w:numPr>
          <w:ilvl w:val="0"/>
          <w:numId w:val="0"/>
        </w:numPr>
        <w:ind w:left="425" w:hanging="425"/>
        <w:jc w:val="left"/>
      </w:pPr>
      <w:r>
        <w:t xml:space="preserve">Argyropoulos, V. S., Sideridis, G. D., Kouroupetroglou, G., &amp; Xydas, G. (2009). Auditory discriminations of typographic attributes of documents by students with blindness. </w:t>
      </w:r>
      <w:r>
        <w:rPr>
          <w:i/>
        </w:rPr>
        <w:t xml:space="preserve">British Journal of Visual Impairment</w:t>
      </w:r>
      <w:r>
        <w:t xml:space="preserve">, </w:t>
      </w:r>
      <w:r>
        <w:rPr>
          <w:i/>
        </w:rPr>
        <w:t xml:space="preserve">27</w:t>
      </w:r>
      <w:r>
        <w:t xml:space="preserve">(3), 183–203. https://doi.org/10.1177/0264619609106360</w:t>
      </w:r>
    </w:p>
    <w:p>
      <w:pPr>
        <w:pStyle w:val="MDPI81references"/>
        <w:numPr>
          <w:ilvl w:val="0"/>
          <w:numId w:val="0"/>
        </w:numPr>
        <w:ind w:left="425" w:hanging="425"/>
        <w:jc w:val="left"/>
      </w:pPr>
      <w:r>
        <w:t xml:space="preserve">Asfaw, N. A., Belay, B. H., &amp; Alemu, K. M. (2024). A deep learning approach for line-level Amharic Braille image recognition. </w:t>
      </w:r>
      <w:r>
        <w:rPr>
          <w:i/>
        </w:rPr>
        <w:t xml:space="preserve">Scientific Reports</w:t>
      </w:r>
      <w:r>
        <w:t xml:space="preserve">, </w:t>
      </w:r>
      <w:r>
        <w:rPr>
          <w:i/>
        </w:rPr>
        <w:t xml:space="preserve">14</w:t>
      </w:r>
      <w:r>
        <w:t xml:space="preserve">, Article 24172. https://doi.org/10.1038/s41598-024-73895-7</w:t>
      </w:r>
    </w:p>
    <w:p>
      <w:pPr>
        <w:pStyle w:val="MDPI81references"/>
        <w:numPr>
          <w:ilvl w:val="0"/>
          <w:numId w:val="0"/>
        </w:numPr>
        <w:ind w:left="425" w:hanging="425"/>
        <w:jc w:val="left"/>
      </w:pPr>
      <w:r>
        <w:t xml:space="preserve">Bhola, N. (2022). Effect of text-to-speech software on academic achievement of students with dyslexia. </w:t>
      </w:r>
      <w:r>
        <w:rPr>
          <w:i/>
        </w:rPr>
        <w:t xml:space="preserve">Integrated Journal for Research in Arts and Humanities</w:t>
      </w:r>
      <w:r>
        <w:t xml:space="preserve">, </w:t>
      </w:r>
      <w:r>
        <w:rPr>
          <w:i/>
        </w:rPr>
        <w:t xml:space="preserve">2</w:t>
      </w:r>
      <w:r>
        <w:t xml:space="preserve">(4), 51–55. https://doi.org/10.55544/ijrah.2.4.45</w:t>
      </w:r>
    </w:p>
    <w:p>
      <w:pPr>
        <w:pStyle w:val="MDPI81references"/>
        <w:numPr>
          <w:ilvl w:val="0"/>
          <w:numId w:val="0"/>
        </w:numPr>
        <w:ind w:left="425" w:hanging="425"/>
        <w:jc w:val="left"/>
      </w:pPr>
      <w:r>
        <w:t xml:space="preserve">Bonifacci, P., Colombini, E., Marzocchi, M., Tobia, V., &amp; Desideri, L. (2022). Text-to-speech applications to reduce mind wandering in students with dyslexia. </w:t>
      </w:r>
      <w:r>
        <w:rPr>
          <w:i/>
        </w:rPr>
        <w:t xml:space="preserve">Journal of Computer Assisted Learning</w:t>
      </w:r>
      <w:r>
        <w:t xml:space="preserve">, </w:t>
      </w:r>
      <w:r>
        <w:rPr>
          <w:i/>
        </w:rPr>
        <w:t xml:space="preserve">38</w:t>
      </w:r>
      <w:r>
        <w:t xml:space="preserve">(2), 440–454. https://doi.org/10.1111/jcal.12624</w:t>
      </w:r>
    </w:p>
    <w:p>
      <w:pPr>
        <w:pStyle w:val="MDPI81references"/>
        <w:numPr>
          <w:ilvl w:val="0"/>
          <w:numId w:val="0"/>
        </w:numPr>
        <w:ind w:left="425" w:hanging="425"/>
        <w:jc w:val="left"/>
      </w:pPr>
      <w:r>
        <w:t xml:space="preserve">Brunow, D. A., &amp; Cullen, T. A. (2021). Effect of text-to-speech and human reader on listening comprehension for students with learning disabilities. </w:t>
      </w:r>
      <w:r>
        <w:rPr>
          <w:i/>
        </w:rPr>
        <w:t xml:space="preserve">Computers in the Schools</w:t>
      </w:r>
      <w:r>
        <w:t xml:space="preserve">, </w:t>
      </w:r>
      <w:r>
        <w:rPr>
          <w:i/>
        </w:rPr>
        <w:t xml:space="preserve">38</w:t>
      </w:r>
      <w:r>
        <w:t xml:space="preserve">(3), 214–231. https://doi.org/10.1080/07380569.2021.1953362</w:t>
      </w:r>
    </w:p>
    <w:p>
      <w:pPr>
        <w:pStyle w:val="MDPI81references"/>
        <w:numPr>
          <w:ilvl w:val="0"/>
          <w:numId w:val="0"/>
        </w:numPr>
        <w:ind w:left="425" w:hanging="425"/>
        <w:jc w:val="left"/>
      </w:pPr>
      <w:r>
        <w:t xml:space="preserve">Camardese, A., Morelli, M. E., Peled, Y., &amp; Kirkpatrick, M. (2014). Using E-Readers to improve reading for students with mild disabilities. </w:t>
      </w:r>
      <w:r>
        <w:rPr>
          <w:i/>
        </w:rPr>
        <w:t xml:space="preserve">Journal of the American Academy of Special Education Professionals</w:t>
      </w:r>
      <w:r>
        <w:t xml:space="preserve">, Spring–Summer, 7–24. https://files.eric.ed.gov/fulltext/EJ1134860.pdf</w:t>
      </w:r>
    </w:p>
    <w:p>
      <w:pPr>
        <w:pStyle w:val="MDPI81references"/>
        <w:numPr>
          <w:ilvl w:val="0"/>
          <w:numId w:val="0"/>
        </w:numPr>
        <w:ind w:left="425" w:hanging="425"/>
        <w:jc w:val="left"/>
      </w:pPr>
      <w:r>
        <w:t xml:space="preserve">Campbell, M., McKenzie, J. E., Sowden, A., Katikireddi, S. V., Brennan, S. E., Ellis, S., Hartmann-Boyce, J., Ryan, R., Shepperd, S., Thomas, J., Welch, V., &amp; Thomson, H. (2020). Synthesis without meta-analysis (SWiM) in systematic reviews: Reporting guideline. </w:t>
      </w:r>
      <w:r>
        <w:rPr>
          <w:i/>
        </w:rPr>
        <w:t xml:space="preserve">BMJ</w:t>
      </w:r>
      <w:r>
        <w:t xml:space="preserve">, </w:t>
      </w:r>
      <w:r>
        <w:rPr>
          <w:i/>
        </w:rPr>
        <w:t xml:space="preserve">368</w:t>
      </w:r>
      <w:r>
        <w:t xml:space="preserve">, Article l6890. https://doi.org/10.1136/bmj.l6890</w:t>
      </w:r>
    </w:p>
    <w:p>
      <w:pPr>
        <w:pStyle w:val="MDPI81references"/>
        <w:numPr>
          <w:ilvl w:val="0"/>
          <w:numId w:val="0"/>
        </w:numPr>
        <w:ind w:left="425" w:hanging="425"/>
        <w:jc w:val="left"/>
      </w:pPr>
      <w:r>
        <w:t xml:space="preserve">Chen, C.-H., Hung, L.-Y., &amp; Jian, Y.-C. (2026). The effects of text-to-speech on reading comprehension in junior high school students with reading disabilities: An eye-tracking study in Taiwan. </w:t>
      </w:r>
      <w:r>
        <w:rPr>
          <w:i/>
        </w:rPr>
        <w:t xml:space="preserve">Reading and Writing</w:t>
      </w:r>
      <w:r>
        <w:t xml:space="preserve">. Advance online publication. https://doi.org/10.1007/s11145-025-10738-5</w:t>
      </w:r>
    </w:p>
    <w:p>
      <w:pPr>
        <w:pStyle w:val="MDPI81references"/>
        <w:numPr>
          <w:ilvl w:val="0"/>
          <w:numId w:val="0"/>
        </w:numPr>
        <w:ind w:left="425" w:hanging="425"/>
        <w:jc w:val="left"/>
      </w:pPr>
      <w:r>
        <w:t xml:space="preserve">Corrigendum to the interaction of cognitive profiles and text-to-speech software on reading comprehension of adolescents with reading challenges. (2021). </w:t>
      </w:r>
      <w:r>
        <w:rPr>
          <w:i/>
        </w:rPr>
        <w:t xml:space="preserve">Journal of Special Education Technology</w:t>
      </w:r>
      <w:r>
        <w:t xml:space="preserve">, </w:t>
      </w:r>
      <w:r>
        <w:rPr>
          <w:i/>
        </w:rPr>
        <w:t xml:space="preserve">36</w:t>
      </w:r>
      <w:r>
        <w:t xml:space="preserve">(4), 336. https://doi.org/10.1177/01626434211046829</w:t>
      </w:r>
    </w:p>
    <w:p>
      <w:pPr>
        <w:pStyle w:val="MDPI81references"/>
        <w:numPr>
          <w:ilvl w:val="0"/>
          <w:numId w:val="0"/>
        </w:numPr>
        <w:ind w:left="425" w:hanging="425"/>
        <w:jc w:val="left"/>
      </w:pPr>
      <w:r>
        <w:t xml:space="preserve">Council on School Health. (2016). Role of the school nurse in providing school health services. </w:t>
      </w:r>
      <w:r>
        <w:rPr>
          <w:i/>
        </w:rPr>
        <w:t xml:space="preserve">Pediatrics</w:t>
      </w:r>
      <w:r>
        <w:t xml:space="preserve">, </w:t>
      </w:r>
      <w:r>
        <w:rPr>
          <w:i/>
        </w:rPr>
        <w:t xml:space="preserve">137</w:t>
      </w:r>
      <w:r>
        <w:t xml:space="preserve">(6), Article e20160852. https://doi.org/10.1542/peds.2016-0852</w:t>
      </w:r>
    </w:p>
    <w:p>
      <w:pPr>
        <w:pStyle w:val="MDPI81references"/>
        <w:numPr>
          <w:ilvl w:val="0"/>
          <w:numId w:val="0"/>
        </w:numPr>
        <w:ind w:left="425" w:hanging="425"/>
        <w:jc w:val="left"/>
      </w:pPr>
      <w:r>
        <w:t xml:space="preserve">Cuifolo, K., Schmitt, A. J., McCallum, E., Crothers, L. M., Poch, A. L., &amp; Thomas, D. (2025). A case study demonstration of brief experimental analysis to evaluate writing interventions for a student with a traumatic brain injury. </w:t>
      </w:r>
      <w:r>
        <w:rPr>
          <w:i/>
        </w:rPr>
        <w:t xml:space="preserve">Journal of Behavioral Education</w:t>
      </w:r>
      <w:r>
        <w:t xml:space="preserve">, </w:t>
      </w:r>
      <w:r>
        <w:rPr>
          <w:i/>
        </w:rPr>
        <w:t xml:space="preserve">34</w:t>
      </w:r>
      <w:r>
        <w:t xml:space="preserve">, 139–162. https://doi.org/10.1007/s10864-023-09522-8</w:t>
      </w:r>
    </w:p>
    <w:p>
      <w:pPr>
        <w:pStyle w:val="MDPI81references"/>
        <w:numPr>
          <w:ilvl w:val="0"/>
          <w:numId w:val="0"/>
        </w:numPr>
        <w:ind w:left="425" w:hanging="425"/>
        <w:jc w:val="left"/>
      </w:pPr>
      <w:r>
        <w:t xml:space="preserve">Daley, S. G., Xu, Y., Proctor, C. P., Rappolt-Schlichtmann, G., &amp; Goldowsky, B. (2020). Behavioral engagement among adolescents with reading difficulties: The role of active involvement in a universally designed digital literacy platform. </w:t>
      </w:r>
      <w:r>
        <w:rPr>
          <w:i/>
        </w:rPr>
        <w:t xml:space="preserve">Reading &amp; Writing Quarterly</w:t>
      </w:r>
      <w:r>
        <w:t xml:space="preserve">, </w:t>
      </w:r>
      <w:r>
        <w:rPr>
          <w:i/>
        </w:rPr>
        <w:t xml:space="preserve">36</w:t>
      </w:r>
      <w:r>
        <w:t xml:space="preserve">(3), 278–295. https://doi.org/10.1080/10573569.2019.1635545</w:t>
      </w:r>
    </w:p>
    <w:p>
      <w:pPr>
        <w:pStyle w:val="MDPI81references"/>
        <w:numPr>
          <w:ilvl w:val="0"/>
          <w:numId w:val="0"/>
        </w:numPr>
        <w:ind w:left="425" w:hanging="425"/>
        <w:jc w:val="left"/>
      </w:pPr>
      <w:r>
        <w:t xml:space="preserve">Demers, L., Weiss-Lambrou, R., &amp; Ska, B. (2002). The Quebec User Evaluation of Satisfaction with Assistive Technology (QUEST 2.0): An overview and recent progress. </w:t>
      </w:r>
      <w:r>
        <w:rPr>
          <w:i/>
        </w:rPr>
        <w:t xml:space="preserve">Technology and Disability</w:t>
      </w:r>
      <w:r>
        <w:t xml:space="preserve">, </w:t>
      </w:r>
      <w:r>
        <w:rPr>
          <w:i/>
        </w:rPr>
        <w:t xml:space="preserve">14</w:t>
      </w:r>
      <w:r>
        <w:t xml:space="preserve">(3), 101–105. https://doi.org/10.3233/TAD-2002-14304</w:t>
      </w:r>
    </w:p>
    <w:p>
      <w:pPr>
        <w:pStyle w:val="MDPI81references"/>
        <w:numPr>
          <w:ilvl w:val="0"/>
          <w:numId w:val="0"/>
        </w:numPr>
        <w:ind w:left="425" w:hanging="425"/>
        <w:jc w:val="left"/>
      </w:pPr>
      <w:r>
        <w:t xml:space="preserve">Dolan, R. P., Hall, T. E., Banerjee, M., Chun, E., &amp; Strangman, N. (2005). Applying principles of universal design to test delivery: The effect of computer-based read-aloud on test performance of high school students with learning disabilities. </w:t>
      </w:r>
      <w:r>
        <w:rPr>
          <w:i/>
        </w:rPr>
        <w:t xml:space="preserve">Journal of Technology, Learning and Assessment</w:t>
      </w:r>
      <w:r>
        <w:t xml:space="preserve">, </w:t>
      </w:r>
      <w:r>
        <w:rPr>
          <w:i/>
        </w:rPr>
        <w:t xml:space="preserve">3</w:t>
      </w:r>
      <w:r>
        <w:t xml:space="preserve">(7).</w:t>
      </w:r>
    </w:p>
    <w:p>
      <w:pPr>
        <w:pStyle w:val="MDPI81references"/>
        <w:numPr>
          <w:ilvl w:val="0"/>
          <w:numId w:val="0"/>
        </w:numPr>
        <w:ind w:left="425" w:hanging="425"/>
        <w:jc w:val="left"/>
      </w:pPr>
      <w:r>
        <w:t xml:space="preserve">Douglas, K. H., Ayres, K. M., Langone, J., Bell, V., &amp; Meade, C. (2009). Expanding literacy for learners with intellectual disabilities: The role of supported eText. </w:t>
      </w:r>
      <w:r>
        <w:rPr>
          <w:i/>
        </w:rPr>
        <w:t xml:space="preserve">Journal of Special Education Technology</w:t>
      </w:r>
      <w:r>
        <w:t xml:space="preserve">, </w:t>
      </w:r>
      <w:r>
        <w:rPr>
          <w:i/>
        </w:rPr>
        <w:t xml:space="preserve">24</w:t>
      </w:r>
      <w:r>
        <w:t xml:space="preserve">(3), 35–44. https://doi.org/10.1177/016264340902400304</w:t>
      </w:r>
    </w:p>
    <w:p>
      <w:pPr>
        <w:pStyle w:val="MDPI81references"/>
        <w:numPr>
          <w:ilvl w:val="0"/>
          <w:numId w:val="0"/>
        </w:numPr>
        <w:ind w:left="425" w:hanging="425"/>
        <w:jc w:val="left"/>
      </w:pPr>
      <w:r>
        <w:t xml:space="preserve">Ebajay, J., &amp; Malabo, E. (2026). Text-to-speech technology: Effects on basic math concepts performance among learners with specific learning disabilities. </w:t>
      </w:r>
      <w:r>
        <w:rPr>
          <w:i/>
        </w:rPr>
        <w:t xml:space="preserve">Psychology and Education: A Multidisciplinary Journal</w:t>
      </w:r>
      <w:r>
        <w:t xml:space="preserve">, </w:t>
      </w:r>
      <w:r>
        <w:rPr>
          <w:i/>
        </w:rPr>
        <w:t xml:space="preserve">54</w:t>
      </w:r>
      <w:r>
        <w:t xml:space="preserve">(5), 647–657. https://doi.org/10.70838/pemj.540506</w:t>
      </w:r>
    </w:p>
    <w:p>
      <w:pPr>
        <w:pStyle w:val="MDPI81references"/>
        <w:numPr>
          <w:ilvl w:val="0"/>
          <w:numId w:val="0"/>
        </w:numPr>
        <w:ind w:left="425" w:hanging="425"/>
        <w:jc w:val="left"/>
      </w:pPr>
      <w:r>
        <w:t xml:space="preserve">Edeh, E. J., Buzick, H. M., &amp; Wood, S. G. (2025). Exploring universal text-to-speech use in assessment among student sub-populations. </w:t>
      </w:r>
      <w:r>
        <w:rPr>
          <w:i/>
        </w:rPr>
        <w:t xml:space="preserve">Applied Measurement in Education</w:t>
      </w:r>
      <w:r>
        <w:t xml:space="preserve">, </w:t>
      </w:r>
      <w:r>
        <w:rPr>
          <w:i/>
        </w:rPr>
        <w:t xml:space="preserve">38</w:t>
      </w:r>
      <w:r>
        <w:t xml:space="preserve">(1), 43–59. https://doi.org/10.1080/08957347.2025.2474958</w:t>
      </w:r>
    </w:p>
    <w:p>
      <w:pPr>
        <w:pStyle w:val="MDPI81references"/>
        <w:numPr>
          <w:ilvl w:val="0"/>
          <w:numId w:val="0"/>
        </w:numPr>
        <w:ind w:left="425" w:hanging="425"/>
        <w:jc w:val="left"/>
      </w:pPr>
      <w:r>
        <w:t xml:space="preserve">Fälth, L., Björklund, T., &amp; Selenius, H. (2025). Intervention using speech-to-text-technology for text production: A single-subject design study on students with mild intellectual disability. </w:t>
      </w:r>
      <w:r>
        <w:rPr>
          <w:i/>
        </w:rPr>
        <w:t xml:space="preserve">Cogent Education</w:t>
      </w:r>
      <w:r>
        <w:t xml:space="preserve">, </w:t>
      </w:r>
      <w:r>
        <w:rPr>
          <w:i/>
        </w:rPr>
        <w:t xml:space="preserve">12</w:t>
      </w:r>
      <w:r>
        <w:t xml:space="preserve">(1), Article 2590917. https://doi.org/10.1080/2331186X.2025.2590917</w:t>
      </w:r>
    </w:p>
    <w:p>
      <w:pPr>
        <w:pStyle w:val="MDPI81references"/>
        <w:numPr>
          <w:ilvl w:val="0"/>
          <w:numId w:val="0"/>
        </w:numPr>
        <w:ind w:left="425" w:hanging="425"/>
        <w:jc w:val="left"/>
      </w:pPr>
      <w:r>
        <w:t xml:space="preserve">Fälth, L., Nilsson, S., Björklund, T., Svensson, I., &amp; Selenius, H. (2025). Using digital technology for text comprehension: A single-subject design study on students with mild intellectual disability. </w:t>
      </w:r>
      <w:r>
        <w:rPr>
          <w:i/>
        </w:rPr>
        <w:t xml:space="preserve">European Journal of Special Needs Education</w:t>
      </w:r>
      <w:r>
        <w:t xml:space="preserve">, </w:t>
      </w:r>
      <w:r>
        <w:rPr>
          <w:i/>
        </w:rPr>
        <w:t xml:space="preserve">40</w:t>
      </w:r>
      <w:r>
        <w:t xml:space="preserve">(6), 1045–1059. https://doi.org/10.1080/08856257.2025.2474841</w:t>
      </w:r>
    </w:p>
    <w:p>
      <w:pPr>
        <w:pStyle w:val="MDPI81references"/>
        <w:numPr>
          <w:ilvl w:val="0"/>
          <w:numId w:val="0"/>
        </w:numPr>
        <w:ind w:left="425" w:hanging="425"/>
        <w:jc w:val="left"/>
      </w:pPr>
      <w:r>
        <w:t xml:space="preserve">Fasting, R. B., &amp; Lyster, S.-A. H. (2005). The effects of computer technology in assisting the development of literacy in young struggling readers and spellers. </w:t>
      </w:r>
      <w:r>
        <w:rPr>
          <w:i/>
        </w:rPr>
        <w:t xml:space="preserve">European Journal of Special Needs Education</w:t>
      </w:r>
      <w:r>
        <w:t xml:space="preserve">, </w:t>
      </w:r>
      <w:r>
        <w:rPr>
          <w:i/>
        </w:rPr>
        <w:t xml:space="preserve">20</w:t>
      </w:r>
      <w:r>
        <w:t xml:space="preserve">(1), 21–40. https://doi.org/10.1080/0885625042000319061</w:t>
      </w:r>
    </w:p>
    <w:p>
      <w:pPr>
        <w:pStyle w:val="MDPI81references"/>
        <w:numPr>
          <w:ilvl w:val="0"/>
          <w:numId w:val="0"/>
        </w:numPr>
        <w:ind w:left="425" w:hanging="425"/>
        <w:jc w:val="left"/>
      </w:pPr>
      <w:r>
        <w:t xml:space="preserve">Federici, S., &amp; Borsci, S. (2016). Providing assistive technology in Italy: The perceived delivery process quality as affecting abandonment. </w:t>
      </w:r>
      <w:r>
        <w:rPr>
          <w:i/>
        </w:rPr>
        <w:t xml:space="preserve">Disability and Rehabilitation: Assistive Technology</w:t>
      </w:r>
      <w:r>
        <w:t xml:space="preserve">, </w:t>
      </w:r>
      <w:r>
        <w:rPr>
          <w:i/>
        </w:rPr>
        <w:t xml:space="preserve">11</w:t>
      </w:r>
      <w:r>
        <w:t xml:space="preserve">(1), 22–31. https://doi.org/10.3109/17483107.2014.930191</w:t>
      </w:r>
    </w:p>
    <w:p>
      <w:pPr>
        <w:pStyle w:val="MDPI81references"/>
        <w:numPr>
          <w:ilvl w:val="0"/>
          <w:numId w:val="0"/>
        </w:numPr>
        <w:ind w:left="425" w:hanging="425"/>
        <w:jc w:val="left"/>
      </w:pPr>
      <w:r>
        <w:t xml:space="preserve">Felix, V. G., Mena, L. J., Ostos, R., &amp; Maestre, G. E. (2017). A pilot study of the use of emerging computer technologies to improve the effectiveness of reading and writing therapies in children with Down syndrome. </w:t>
      </w:r>
      <w:r>
        <w:rPr>
          <w:i/>
        </w:rPr>
        <w:t xml:space="preserve">British Journal of Educational Technology</w:t>
      </w:r>
      <w:r>
        <w:t xml:space="preserve">, </w:t>
      </w:r>
      <w:r>
        <w:rPr>
          <w:i/>
        </w:rPr>
        <w:t xml:space="preserve">48</w:t>
      </w:r>
      <w:r>
        <w:t xml:space="preserve">(2), 611–624. https://doi.org/10.1111/bjet.12426</w:t>
      </w:r>
    </w:p>
    <w:p>
      <w:pPr>
        <w:pStyle w:val="MDPI81references"/>
        <w:numPr>
          <w:ilvl w:val="0"/>
          <w:numId w:val="0"/>
        </w:numPr>
        <w:ind w:left="425" w:hanging="425"/>
        <w:jc w:val="left"/>
      </w:pPr>
      <w:r>
        <w:t xml:space="preserve">Flütsch Keravec, S., Schneider, H., &amp; Hartmann, E. (2026). Writing acquisition and modality-effect of speech-to-text technology: An intervention study with students with dyslexia. </w:t>
      </w:r>
      <w:r>
        <w:rPr>
          <w:i/>
        </w:rPr>
        <w:t xml:space="preserve">Reading &amp; Writing Quarterly</w:t>
      </w:r>
      <w:r>
        <w:t xml:space="preserve">. Advance online publication. https://doi.org/10.1080/10573569.2026.2664964</w:t>
      </w:r>
    </w:p>
    <w:p>
      <w:pPr>
        <w:pStyle w:val="MDPI81references"/>
        <w:numPr>
          <w:ilvl w:val="0"/>
          <w:numId w:val="0"/>
        </w:numPr>
        <w:ind w:left="425" w:hanging="425"/>
        <w:jc w:val="left"/>
      </w:pPr>
      <w:r>
        <w:t xml:space="preserve">Frankel, L., &amp; Brownstein, B. (2016). An evaluation of the usefulness of prosodic and lexical cues for understanding synthesized speech of mathematics (Research Report No. RR-16-33). </w:t>
      </w:r>
      <w:r>
        <w:rPr>
          <w:i/>
        </w:rPr>
        <w:t xml:space="preserve">ETS Research Report Series</w:t>
      </w:r>
      <w:r>
        <w:t xml:space="preserve">. https://doi.org/10.1002/ets2.12119</w:t>
      </w:r>
    </w:p>
    <w:p>
      <w:pPr>
        <w:pStyle w:val="MDPI81references"/>
        <w:numPr>
          <w:ilvl w:val="0"/>
          <w:numId w:val="0"/>
        </w:numPr>
        <w:ind w:left="425" w:hanging="425"/>
        <w:jc w:val="left"/>
      </w:pPr>
      <w:r>
        <w:t xml:space="preserve">Franklin, K., Schmitt, A. J., McCallum, E., McGoey, K. E., Yarbrough, J. L., &amp; Hodge, C. (2026). Effects of speech-to-text assistive technology on the writing of adolescents with cerebral palsy. </w:t>
      </w:r>
      <w:r>
        <w:rPr>
          <w:i/>
        </w:rPr>
        <w:t xml:space="preserve">Journal of Applied School Psychology</w:t>
      </w:r>
      <w:r>
        <w:t xml:space="preserve">, </w:t>
      </w:r>
      <w:r>
        <w:rPr>
          <w:i/>
        </w:rPr>
        <w:t xml:space="preserve">42</w:t>
      </w:r>
      <w:r>
        <w:t xml:space="preserve">(3), 210–235. https://doi.org/10.1080/15377903.2026.2665105</w:t>
      </w:r>
    </w:p>
    <w:p>
      <w:pPr>
        <w:pStyle w:val="MDPI81references"/>
        <w:numPr>
          <w:ilvl w:val="0"/>
          <w:numId w:val="0"/>
        </w:numPr>
        <w:ind w:left="425" w:hanging="425"/>
        <w:jc w:val="left"/>
      </w:pPr>
      <w:r>
        <w:t xml:space="preserve">Garrett, J. T., Heller, K. W., Fowler, L. P., Alberto, P. A., Fredrick, L. D., &amp; O’Rourke, C. M. (2011). Using speech recognition software to increase writing fluency for individuals with physical disabilities. </w:t>
      </w:r>
      <w:r>
        <w:rPr>
          <w:i/>
        </w:rPr>
        <w:t xml:space="preserve">Journal of Special Education Technology</w:t>
      </w:r>
      <w:r>
        <w:t xml:space="preserve">, </w:t>
      </w:r>
      <w:r>
        <w:rPr>
          <w:i/>
        </w:rPr>
        <w:t xml:space="preserve">26</w:t>
      </w:r>
      <w:r>
        <w:t xml:space="preserve">(1), 25–41. https://doi.org/10.1177/016264341102600104</w:t>
      </w:r>
    </w:p>
    <w:p>
      <w:pPr>
        <w:pStyle w:val="MDPI81references"/>
        <w:numPr>
          <w:ilvl w:val="0"/>
          <w:numId w:val="0"/>
        </w:numPr>
        <w:ind w:left="425" w:hanging="425"/>
        <w:jc w:val="left"/>
      </w:pPr>
      <w:r>
        <w:t xml:space="preserve">Gonzalez, M. (2014). The effect of embedded text-to-speech and vocabulary eBook scaffolds on the comprehension of students with reading disabilities. </w:t>
      </w:r>
      <w:r>
        <w:rPr>
          <w:i/>
        </w:rPr>
        <w:t xml:space="preserve">International Journal of Special Education</w:t>
      </w:r>
      <w:r>
        <w:t xml:space="preserve">, </w:t>
      </w:r>
      <w:r>
        <w:rPr>
          <w:i/>
        </w:rPr>
        <w:t xml:space="preserve">29</w:t>
      </w:r>
      <w:r>
        <w:t xml:space="preserve">(3), 111–125. https://files.eric.ed.gov/fulltext/EJ1045968.pdf</w:t>
      </w:r>
    </w:p>
    <w:p>
      <w:pPr>
        <w:pStyle w:val="MDPI81references"/>
        <w:numPr>
          <w:ilvl w:val="0"/>
          <w:numId w:val="0"/>
        </w:numPr>
        <w:ind w:left="425" w:hanging="425"/>
        <w:jc w:val="left"/>
      </w:pPr>
      <w:r>
        <w:t xml:space="preserve">Grunér, S., Östberg, P., &amp; Hedenius, M. (2018). The compensatory effect of text-to-speech technology on reading comprehension and reading rate in Swedish schoolchildren with reading disability: The moderating effect of inattention and hyperactivity symptoms differs by grade groups. </w:t>
      </w:r>
      <w:r>
        <w:rPr>
          <w:i/>
        </w:rPr>
        <w:t xml:space="preserve">Journal of Special Education Technology</w:t>
      </w:r>
      <w:r>
        <w:t xml:space="preserve">, </w:t>
      </w:r>
      <w:r>
        <w:rPr>
          <w:i/>
        </w:rPr>
        <w:t xml:space="preserve">33</w:t>
      </w:r>
      <w:r>
        <w:t xml:space="preserve">(2), 98–110. https://doi.org/10.1177/0162643417742898</w:t>
      </w:r>
    </w:p>
    <w:p>
      <w:pPr>
        <w:pStyle w:val="MDPI81references"/>
        <w:numPr>
          <w:ilvl w:val="0"/>
          <w:numId w:val="0"/>
        </w:numPr>
        <w:ind w:left="425" w:hanging="425"/>
        <w:jc w:val="left"/>
      </w:pPr>
      <w:r>
        <w:t xml:space="preserve">Guyatt, G. H., Oxman, A. D., Vist, G. E., Kunz, R., Falck-Ytter, Y., Alonso-Coello, P., Schünemann, H. J., &amp; GRADE Working Group. (2008). GRADE: An emerging consensus on rating quality of evidence and strength of recommendations. </w:t>
      </w:r>
      <w:r>
        <w:rPr>
          <w:i/>
        </w:rPr>
        <w:t xml:space="preserve">BMJ</w:t>
      </w:r>
      <w:r>
        <w:t xml:space="preserve">, </w:t>
      </w:r>
      <w:r>
        <w:rPr>
          <w:i/>
        </w:rPr>
        <w:t xml:space="preserve">336</w:t>
      </w:r>
      <w:r>
        <w:t xml:space="preserve">(7650), 924–926. https://doi.org/10.1136/bmj.39489.470347.AD</w:t>
      </w:r>
    </w:p>
    <w:p>
      <w:pPr>
        <w:pStyle w:val="MDPI81references"/>
        <w:numPr>
          <w:ilvl w:val="0"/>
          <w:numId w:val="0"/>
        </w:numPr>
        <w:ind w:left="425" w:hanging="425"/>
        <w:jc w:val="left"/>
      </w:pPr>
      <w:r>
        <w:t xml:space="preserve">Haug, K. N., &amp; Klein, P. D. (2018). The effect of speech-to-text technology on learning a writing strategy. </w:t>
      </w:r>
      <w:r>
        <w:rPr>
          <w:i/>
        </w:rPr>
        <w:t xml:space="preserve">Reading &amp; Writing Quarterly</w:t>
      </w:r>
      <w:r>
        <w:t xml:space="preserve">, </w:t>
      </w:r>
      <w:r>
        <w:rPr>
          <w:i/>
        </w:rPr>
        <w:t xml:space="preserve">34</w:t>
      </w:r>
      <w:r>
        <w:t xml:space="preserve">(1), 47–62. https://doi.org/10.1080/10573569.2017.1326014</w:t>
      </w:r>
    </w:p>
    <w:p>
      <w:pPr>
        <w:pStyle w:val="MDPI81references"/>
        <w:numPr>
          <w:ilvl w:val="0"/>
          <w:numId w:val="0"/>
        </w:numPr>
        <w:ind w:left="425" w:hanging="425"/>
        <w:jc w:val="left"/>
      </w:pPr>
      <w:r>
        <w:t xml:space="preserve">Higgins, E. L., &amp; Raskind, M. H. (2000). Speaking to read: The effects of continuous vs. discrete speech recognition systems on the reading and spelling of children with learning disabilities. </w:t>
      </w:r>
      <w:r>
        <w:rPr>
          <w:i/>
        </w:rPr>
        <w:t xml:space="preserve">Journal of Special Education Technology</w:t>
      </w:r>
      <w:r>
        <w:t xml:space="preserve">, </w:t>
      </w:r>
      <w:r>
        <w:rPr>
          <w:i/>
        </w:rPr>
        <w:t xml:space="preserve">15</w:t>
      </w:r>
      <w:r>
        <w:t xml:space="preserve">(1), 19–30. https://doi.org/10.1177/016264340001500102</w:t>
      </w:r>
    </w:p>
    <w:p>
      <w:pPr>
        <w:pStyle w:val="MDPI81references"/>
        <w:numPr>
          <w:ilvl w:val="0"/>
          <w:numId w:val="0"/>
        </w:numPr>
        <w:ind w:left="425" w:hanging="425"/>
        <w:jc w:val="left"/>
      </w:pPr>
      <w:r>
        <w:t xml:space="preserve">Higgins, E. L., &amp; Raskind, M. H. (2004). Speech recognition-based and automaticity programs to help students with severe reading and spelling problems. </w:t>
      </w:r>
      <w:r>
        <w:rPr>
          <w:i/>
        </w:rPr>
        <w:t xml:space="preserve">Annals of Dyslexia</w:t>
      </w:r>
      <w:r>
        <w:t xml:space="preserve">, </w:t>
      </w:r>
      <w:r>
        <w:rPr>
          <w:i/>
        </w:rPr>
        <w:t xml:space="preserve">54</w:t>
      </w:r>
      <w:r>
        <w:t xml:space="preserve">(2), 365–388. https://doi.org/10.1007/s11881-004-0017-9</w:t>
      </w:r>
    </w:p>
    <w:p>
      <w:pPr>
        <w:pStyle w:val="MDPI81references"/>
        <w:numPr>
          <w:ilvl w:val="0"/>
          <w:numId w:val="0"/>
        </w:numPr>
        <w:ind w:left="425" w:hanging="425"/>
        <w:jc w:val="left"/>
      </w:pPr>
      <w:r>
        <w:t xml:space="preserve">Higgins, E. L., &amp; Raskind, M. H. (2005). The compensatory effectiveness of the Quicktionary Reading Pen II on the reading comprehension of students with learning disabilities. </w:t>
      </w:r>
      <w:r>
        <w:rPr>
          <w:i/>
        </w:rPr>
        <w:t xml:space="preserve">Journal of Special Education Technology</w:t>
      </w:r>
      <w:r>
        <w:t xml:space="preserve">, </w:t>
      </w:r>
      <w:r>
        <w:rPr>
          <w:i/>
        </w:rPr>
        <w:t xml:space="preserve">20</w:t>
      </w:r>
      <w:r>
        <w:t xml:space="preserve">(1), 31–40. https://doi.org/10.1177/016264340502000103</w:t>
      </w:r>
    </w:p>
    <w:p>
      <w:pPr>
        <w:pStyle w:val="MDPI81references"/>
        <w:numPr>
          <w:ilvl w:val="0"/>
          <w:numId w:val="0"/>
        </w:numPr>
        <w:ind w:left="425" w:hanging="425"/>
        <w:jc w:val="left"/>
      </w:pPr>
      <w:r>
        <w:t xml:space="preserve">Hoskin, E. R., Coyne, M. K., White, M. J., Dobri, S. C. D., Davies, T. C., &amp; Pinder, S. D. (2024). Effectiveness of technology for Braille literacy education for children: A systematic review. </w:t>
      </w:r>
      <w:r>
        <w:rPr>
          <w:i/>
        </w:rPr>
        <w:t xml:space="preserve">Disability and Rehabilitation: Assistive Technology</w:t>
      </w:r>
      <w:r>
        <w:t xml:space="preserve">, </w:t>
      </w:r>
      <w:r>
        <w:rPr>
          <w:i/>
        </w:rPr>
        <w:t xml:space="preserve">19</w:t>
      </w:r>
      <w:r>
        <w:t xml:space="preserve">(1), 120–130. https://doi.org/10.1080/17483107.2022.2070676</w:t>
      </w:r>
    </w:p>
    <w:p>
      <w:pPr>
        <w:pStyle w:val="MDPI81references"/>
        <w:numPr>
          <w:ilvl w:val="0"/>
          <w:numId w:val="0"/>
        </w:numPr>
        <w:ind w:left="425" w:hanging="425"/>
        <w:jc w:val="left"/>
      </w:pPr>
      <w:r>
        <w:t xml:space="preserve">Izzo, M. V., Yurick, A., &amp; McArrell, B. (2009). Supported eText: Effects of text-to-speech on access and achievement for high school students with disabilities. </w:t>
      </w:r>
      <w:r>
        <w:rPr>
          <w:i/>
        </w:rPr>
        <w:t xml:space="preserve">Journal of Special Education Technology</w:t>
      </w:r>
      <w:r>
        <w:t xml:space="preserve">, </w:t>
      </w:r>
      <w:r>
        <w:rPr>
          <w:i/>
        </w:rPr>
        <w:t xml:space="preserve">24</w:t>
      </w:r>
      <w:r>
        <w:t xml:space="preserve">(3), 9–20. https://doi.org/10.1177/016264340902400302</w:t>
      </w:r>
    </w:p>
    <w:p>
      <w:pPr>
        <w:pStyle w:val="MDPI81references"/>
        <w:numPr>
          <w:ilvl w:val="0"/>
          <w:numId w:val="0"/>
        </w:numPr>
        <w:ind w:left="425" w:hanging="425"/>
        <w:jc w:val="left"/>
      </w:pPr>
      <w:r>
        <w:t xml:space="preserve">Jutai, J., &amp; Day, H. (2002). Psychosocial Impact of Assistive Devices Scale (PIADS). </w:t>
      </w:r>
      <w:r>
        <w:rPr>
          <w:i/>
        </w:rPr>
        <w:t xml:space="preserve">Technology and Disability</w:t>
      </w:r>
      <w:r>
        <w:t xml:space="preserve">, </w:t>
      </w:r>
      <w:r>
        <w:rPr>
          <w:i/>
        </w:rPr>
        <w:t xml:space="preserve">14</w:t>
      </w:r>
      <w:r>
        <w:t xml:space="preserve">(3), 107–111. https://doi.org/10.3233/TAD-2002-14305</w:t>
      </w:r>
    </w:p>
    <w:p>
      <w:pPr>
        <w:pStyle w:val="MDPI81references"/>
        <w:numPr>
          <w:ilvl w:val="0"/>
          <w:numId w:val="0"/>
        </w:numPr>
        <w:ind w:left="425" w:hanging="425"/>
        <w:jc w:val="left"/>
      </w:pPr>
      <w:r>
        <w:t xml:space="preserve">Kambouri, M., Simon, H., &amp; Brooks, G. (2023). Using speech-to-text technology to empower young writers with special educational needs. </w:t>
      </w:r>
      <w:r>
        <w:rPr>
          <w:i/>
        </w:rPr>
        <w:t xml:space="preserve">Research in Developmental Disabilities</w:t>
      </w:r>
      <w:r>
        <w:t xml:space="preserve">, </w:t>
      </w:r>
      <w:r>
        <w:rPr>
          <w:i/>
        </w:rPr>
        <w:t xml:space="preserve">135</w:t>
      </w:r>
      <w:r>
        <w:t xml:space="preserve">, Article 104466. https://doi.org/10.1016/j.ridd.2023.104466</w:t>
      </w:r>
    </w:p>
    <w:p>
      <w:pPr>
        <w:pStyle w:val="MDPI81references"/>
        <w:numPr>
          <w:ilvl w:val="0"/>
          <w:numId w:val="0"/>
        </w:numPr>
        <w:ind w:left="425" w:hanging="425"/>
        <w:jc w:val="left"/>
      </w:pPr>
      <w:r>
        <w:t xml:space="preserve">Kausar, T., Manzoor, S., Kausar, A., Lu, Y., Wasif, M., &amp; Ashraf, M. A. (2021). Deep learning strategy for Braille character recognition. </w:t>
      </w:r>
      <w:r>
        <w:rPr>
          <w:i/>
        </w:rPr>
        <w:t xml:space="preserve">IEEE Access</w:t>
      </w:r>
      <w:r>
        <w:t xml:space="preserve">, </w:t>
      </w:r>
      <w:r>
        <w:rPr>
          <w:i/>
        </w:rPr>
        <w:t xml:space="preserve">9</w:t>
      </w:r>
      <w:r>
        <w:t xml:space="preserve">, 169357–169371. https://doi.org/10.1109/ACCESS.2021.3138240</w:t>
      </w:r>
    </w:p>
    <w:p>
      <w:pPr>
        <w:pStyle w:val="MDPI81references"/>
        <w:numPr>
          <w:ilvl w:val="0"/>
          <w:numId w:val="0"/>
        </w:numPr>
        <w:ind w:left="425" w:hanging="425"/>
        <w:jc w:val="left"/>
      </w:pPr>
      <w:r>
        <w:t xml:space="preserve">Keelor, J., Creaghead, N., Silbert, N., Breit-Smith, A., &amp; Horowitz-Kraus, T. (2018). Language, reading, and executive function measures as predictors of comprehension using text-to-speech. </w:t>
      </w:r>
      <w:r>
        <w:rPr>
          <w:i/>
        </w:rPr>
        <w:t xml:space="preserve">Reading &amp; Writing Quarterly</w:t>
      </w:r>
      <w:r>
        <w:t xml:space="preserve">, </w:t>
      </w:r>
      <w:r>
        <w:rPr>
          <w:i/>
        </w:rPr>
        <w:t xml:space="preserve">34</w:t>
      </w:r>
      <w:r>
        <w:t xml:space="preserve">(5), 436–450. https://doi.org/10.1080/10573569.2018.1486764</w:t>
      </w:r>
    </w:p>
    <w:p>
      <w:pPr>
        <w:pStyle w:val="MDPI81references"/>
        <w:numPr>
          <w:ilvl w:val="0"/>
          <w:numId w:val="0"/>
        </w:numPr>
        <w:ind w:left="425" w:hanging="425"/>
        <w:jc w:val="left"/>
      </w:pPr>
      <w:r>
        <w:t xml:space="preserve">Keelor, J. L., Creaghead, N. A., Silbert, N. H., Breit, A. D., &amp; Horowitz-Kraus, T. (2023). Impact of text-to-speech features on the reading comprehension of children with reading and language difficulties. </w:t>
      </w:r>
      <w:r>
        <w:rPr>
          <w:i/>
        </w:rPr>
        <w:t xml:space="preserve">Annals of Dyslexia</w:t>
      </w:r>
      <w:r>
        <w:t xml:space="preserve">, </w:t>
      </w:r>
      <w:r>
        <w:rPr>
          <w:i/>
        </w:rPr>
        <w:t xml:space="preserve">73</w:t>
      </w:r>
      <w:r>
        <w:t xml:space="preserve">(3), 469–486. https://doi.org/10.1007/s11881-023-00281-9</w:t>
      </w:r>
    </w:p>
    <w:p>
      <w:pPr>
        <w:pStyle w:val="MDPI81references"/>
        <w:numPr>
          <w:ilvl w:val="0"/>
          <w:numId w:val="0"/>
        </w:numPr>
        <w:ind w:left="425" w:hanging="425"/>
        <w:jc w:val="left"/>
      </w:pPr>
      <w:r>
        <w:t xml:space="preserve">Keelor, J. L., Creaghead, N., Silbert, N., &amp; Horowitz-Kraus, T. (2020). Text-to-speech technology: Enhancing reading comprehension for students with reading difficulty. </w:t>
      </w:r>
      <w:r>
        <w:rPr>
          <w:i/>
        </w:rPr>
        <w:t xml:space="preserve">Assistive Technology Outcomes and Benefits</w:t>
      </w:r>
      <w:r>
        <w:t xml:space="preserve">, </w:t>
      </w:r>
      <w:r>
        <w:rPr>
          <w:i/>
        </w:rPr>
        <w:t xml:space="preserve">14</w:t>
      </w:r>
      <w:r>
        <w:t xml:space="preserve">(1), 19–35. https://www.atia.org/wp-content/uploads/2020/06/ATOB-V14-A2-Keelor_etal.pdf</w:t>
      </w:r>
    </w:p>
    <w:p>
      <w:pPr>
        <w:pStyle w:val="MDPI81references"/>
        <w:numPr>
          <w:ilvl w:val="0"/>
          <w:numId w:val="0"/>
        </w:numPr>
        <w:ind w:left="425" w:hanging="425"/>
        <w:jc w:val="left"/>
      </w:pPr>
      <w:r>
        <w:t xml:space="preserve">Kraft, S. (2023). Revisions in written composition: Introducing speech-to-text to children with reading and writing difficulties. </w:t>
      </w:r>
      <w:r>
        <w:rPr>
          <w:i/>
        </w:rPr>
        <w:t xml:space="preserve">Frontiers in Education</w:t>
      </w:r>
      <w:r>
        <w:t xml:space="preserve">, </w:t>
      </w:r>
      <w:r>
        <w:rPr>
          <w:i/>
        </w:rPr>
        <w:t xml:space="preserve">8</w:t>
      </w:r>
      <w:r>
        <w:t xml:space="preserve">, Article 1133930. https://doi.org/10.3389/feduc.2023.1133930</w:t>
      </w:r>
    </w:p>
    <w:p>
      <w:pPr>
        <w:pStyle w:val="MDPI81references"/>
        <w:numPr>
          <w:ilvl w:val="0"/>
          <w:numId w:val="0"/>
        </w:numPr>
        <w:ind w:left="425" w:hanging="425"/>
        <w:jc w:val="left"/>
      </w:pPr>
      <w:r>
        <w:t xml:space="preserve">Kushalnagar, R. S., Lasecki, W. S., &amp; Bigham, J. P. (2014). Accessibility evaluation of classroom captions. </w:t>
      </w:r>
      <w:r>
        <w:rPr>
          <w:i/>
        </w:rPr>
        <w:t xml:space="preserve">ACM Transactions on Accessible Computing</w:t>
      </w:r>
      <w:r>
        <w:t xml:space="preserve">, </w:t>
      </w:r>
      <w:r>
        <w:rPr>
          <w:i/>
        </w:rPr>
        <w:t xml:space="preserve">5</w:t>
      </w:r>
      <w:r>
        <w:t xml:space="preserve">(3), Article 7. https://doi.org/10.1145/2543578</w:t>
      </w:r>
    </w:p>
    <w:p>
      <w:pPr>
        <w:pStyle w:val="MDPI81references"/>
        <w:numPr>
          <w:ilvl w:val="0"/>
          <w:numId w:val="0"/>
        </w:numPr>
        <w:ind w:left="425" w:hanging="425"/>
        <w:jc w:val="left"/>
      </w:pPr>
      <w:r>
        <w:t xml:space="preserve">Latif, G., Ben Brahim, G., Abdelhamid, S. E., Alghazo, R., Alhabib, G., &amp; Alnujaidi, K. (2023). Learning at your fingertips: An innovative IoT-based AI-powered Braille learning system. </w:t>
      </w:r>
      <w:r>
        <w:rPr>
          <w:i/>
        </w:rPr>
        <w:t xml:space="preserve">Applied System Innovation</w:t>
      </w:r>
      <w:r>
        <w:t xml:space="preserve">, </w:t>
      </w:r>
      <w:r>
        <w:rPr>
          <w:i/>
        </w:rPr>
        <w:t xml:space="preserve">6</w:t>
      </w:r>
      <w:r>
        <w:t xml:space="preserve">(5), Article 91. https://doi.org/10.3390/asi6050091</w:t>
      </w:r>
    </w:p>
    <w:p>
      <w:pPr>
        <w:pStyle w:val="MDPI81references"/>
        <w:numPr>
          <w:ilvl w:val="0"/>
          <w:numId w:val="0"/>
        </w:numPr>
        <w:ind w:left="425" w:hanging="425"/>
        <w:jc w:val="left"/>
      </w:pPr>
      <w:r>
        <w:t xml:space="preserve">Lenker, J. A., &amp; Paquet, V. L. (2003). A review of conceptual models for assistive technology outcomes research and practice. </w:t>
      </w:r>
      <w:r>
        <w:rPr>
          <w:i/>
        </w:rPr>
        <w:t xml:space="preserve">Assistive Technology</w:t>
      </w:r>
      <w:r>
        <w:t xml:space="preserve">, </w:t>
      </w:r>
      <w:r>
        <w:rPr>
          <w:i/>
        </w:rPr>
        <w:t xml:space="preserve">15</w:t>
      </w:r>
      <w:r>
        <w:t xml:space="preserve">(1), 1–15. https://doi.org/10.1080/10400435.2003.10131885</w:t>
      </w:r>
    </w:p>
    <w:p>
      <w:pPr>
        <w:pStyle w:val="MDPI81references"/>
        <w:numPr>
          <w:ilvl w:val="0"/>
          <w:numId w:val="0"/>
        </w:numPr>
        <w:ind w:left="425" w:hanging="425"/>
        <w:jc w:val="left"/>
      </w:pPr>
      <w:r>
        <w:t xml:space="preserve">Leong, C. K. (1995). Effects of on-line reading and simultaneous DECtalk auding in helping below-average and poor readers comprehend and summarize text. </w:t>
      </w:r>
      <w:r>
        <w:rPr>
          <w:i/>
        </w:rPr>
        <w:t xml:space="preserve">Learning Disability Quarterly</w:t>
      </w:r>
      <w:r>
        <w:t xml:space="preserve">, </w:t>
      </w:r>
      <w:r>
        <w:rPr>
          <w:i/>
        </w:rPr>
        <w:t xml:space="preserve">18</w:t>
      </w:r>
      <w:r>
        <w:t xml:space="preserve">(2), 101–116. https://doi.org/10.2307/1511198</w:t>
      </w:r>
    </w:p>
    <w:p>
      <w:pPr>
        <w:pStyle w:val="MDPI81references"/>
        <w:numPr>
          <w:ilvl w:val="0"/>
          <w:numId w:val="0"/>
        </w:numPr>
        <w:ind w:left="425" w:hanging="425"/>
        <w:jc w:val="left"/>
      </w:pPr>
      <w:r>
        <w:t xml:space="preserve">MacArthur, C. A., &amp; Cavalier, A. R. (2004). Dictation and speech recognition technology as test accommodations. </w:t>
      </w:r>
      <w:r>
        <w:rPr>
          <w:i/>
        </w:rPr>
        <w:t xml:space="preserve">Exceptional Children</w:t>
      </w:r>
      <w:r>
        <w:t xml:space="preserve">, </w:t>
      </w:r>
      <w:r>
        <w:rPr>
          <w:i/>
        </w:rPr>
        <w:t xml:space="preserve">71</w:t>
      </w:r>
      <w:r>
        <w:t xml:space="preserve">(1), 43–58. https://doi.org/10.1177/001440290407100103</w:t>
      </w:r>
    </w:p>
    <w:p>
      <w:pPr>
        <w:pStyle w:val="MDPI81references"/>
        <w:numPr>
          <w:ilvl w:val="0"/>
          <w:numId w:val="0"/>
        </w:numPr>
        <w:ind w:left="425" w:hanging="425"/>
        <w:jc w:val="left"/>
      </w:pPr>
      <w:r>
        <w:t xml:space="preserve">Matre, M. E., &amp; Cameron, D. L. (2024). A scoping review on the use of speech-to-text technology for adolescents with learning difficulties in secondary education. </w:t>
      </w:r>
      <w:r>
        <w:rPr>
          <w:i/>
        </w:rPr>
        <w:t xml:space="preserve">Disability and Rehabilitation: Assistive Technology</w:t>
      </w:r>
      <w:r>
        <w:t xml:space="preserve">, </w:t>
      </w:r>
      <w:r>
        <w:rPr>
          <w:i/>
        </w:rPr>
        <w:t xml:space="preserve">19</w:t>
      </w:r>
      <w:r>
        <w:t xml:space="preserve">(3), 1103–1116. https://doi.org/10.1080/17483107.2022.2149865</w:t>
      </w:r>
    </w:p>
    <w:p>
      <w:pPr>
        <w:pStyle w:val="MDPI81references"/>
        <w:numPr>
          <w:ilvl w:val="0"/>
          <w:numId w:val="0"/>
        </w:numPr>
        <w:ind w:left="425" w:hanging="425"/>
        <w:jc w:val="left"/>
      </w:pPr>
      <w:r>
        <w:t xml:space="preserve">McCarthy, T., Rosenblum, L. P., Johnson, B. G., Dittel, J., &amp; Kearns, D. M. (2016). An artificial intelligence tutor: A supplementary tool for teaching and practicing Braille. </w:t>
      </w:r>
      <w:r>
        <w:rPr>
          <w:i/>
        </w:rPr>
        <w:t xml:space="preserve">Journal of Visual Impairment &amp; Blindness</w:t>
      </w:r>
      <w:r>
        <w:t xml:space="preserve">, </w:t>
      </w:r>
      <w:r>
        <w:rPr>
          <w:i/>
        </w:rPr>
        <w:t xml:space="preserve">110</w:t>
      </w:r>
      <w:r>
        <w:t xml:space="preserve">(5), 309–322. https://doi.org/10.1177/0145482X1611000503</w:t>
      </w:r>
    </w:p>
    <w:p>
      <w:pPr>
        <w:pStyle w:val="MDPI81references"/>
        <w:numPr>
          <w:ilvl w:val="0"/>
          <w:numId w:val="0"/>
        </w:numPr>
        <w:ind w:left="425" w:hanging="425"/>
        <w:jc w:val="left"/>
      </w:pPr>
      <w:r>
        <w:t xml:space="preserve">McKenzie, J. E., &amp; Brennan, S. E. (2019). Synthesizing and presenting findings using other methods. In J. P. T. Higgins, J. Thomas, J. Chandler, M. Cumpston, T. Li, M. J. Page, &amp; V. A. Welch (Eds.), </w:t>
      </w:r>
      <w:r>
        <w:rPr>
          <w:i/>
        </w:rPr>
        <w:t xml:space="preserve">Cochrane handbook for systematic reviews of interventions</w:t>
      </w:r>
      <w:r>
        <w:t xml:space="preserve"> (2nd ed., pp. 321–347). John Wiley &amp; Sons. https://doi.org/10.1002/9781119536604.ch12</w:t>
      </w:r>
    </w:p>
    <w:p>
      <w:pPr>
        <w:pStyle w:val="MDPI81references"/>
        <w:numPr>
          <w:ilvl w:val="0"/>
          <w:numId w:val="0"/>
        </w:numPr>
        <w:ind w:left="425" w:hanging="425"/>
        <w:jc w:val="left"/>
      </w:pPr>
      <w:r>
        <w:t xml:space="preserve">Meyer, N. K., &amp; Bouck, E. C. (2014). The impact of text-to-speech on expository reading for adolescents with LD. </w:t>
      </w:r>
      <w:r>
        <w:rPr>
          <w:i/>
        </w:rPr>
        <w:t xml:space="preserve">Journal of Special Education Technology</w:t>
      </w:r>
      <w:r>
        <w:t xml:space="preserve">, </w:t>
      </w:r>
      <w:r>
        <w:rPr>
          <w:i/>
        </w:rPr>
        <w:t xml:space="preserve">29</w:t>
      </w:r>
      <w:r>
        <w:t xml:space="preserve">(1), 21–33. https://doi.org/10.1177/016264341402900102</w:t>
      </w:r>
    </w:p>
    <w:p>
      <w:pPr>
        <w:pStyle w:val="MDPI81references"/>
        <w:numPr>
          <w:ilvl w:val="0"/>
          <w:numId w:val="0"/>
        </w:numPr>
        <w:ind w:left="425" w:hanging="425"/>
        <w:jc w:val="left"/>
      </w:pPr>
      <w:r>
        <w:t xml:space="preserve">Meyer, N. K., &amp; Bouck, E. C. (2017). Read-aloud accommodations, expository text, and adolescents with learning disabilities. </w:t>
      </w:r>
      <w:r>
        <w:rPr>
          <w:i/>
        </w:rPr>
        <w:t xml:space="preserve">Learning Disabilities: A Multidisciplinary Journal</w:t>
      </w:r>
      <w:r>
        <w:t xml:space="preserve">, </w:t>
      </w:r>
      <w:r>
        <w:rPr>
          <w:i/>
        </w:rPr>
        <w:t xml:space="preserve">22</w:t>
      </w:r>
      <w:r>
        <w:t xml:space="preserve">(1), 34–47. https://doi.org/10.18666/LDMJ-2017-V22-I1-7932</w:t>
      </w:r>
    </w:p>
    <w:p>
      <w:pPr>
        <w:pStyle w:val="MDPI81references"/>
        <w:numPr>
          <w:ilvl w:val="0"/>
          <w:numId w:val="0"/>
        </w:numPr>
        <w:ind w:left="425" w:hanging="425"/>
        <w:jc w:val="left"/>
      </w:pPr>
      <w:r>
        <w:t xml:space="preserve">Millett, P. (2021–2022). Accuracy of speech-to-text captioning for students who are deaf or hard of hearing. </w:t>
      </w:r>
      <w:r>
        <w:rPr>
          <w:i/>
        </w:rPr>
        <w:t xml:space="preserve">Journal of Educational, Pediatric &amp; (Re)Habilitative Audiology</w:t>
      </w:r>
      <w:r>
        <w:t xml:space="preserve">, </w:t>
      </w:r>
      <w:r>
        <w:rPr>
          <w:i/>
        </w:rPr>
        <w:t xml:space="preserve">25</w:t>
      </w:r>
      <w:r>
        <w:t xml:space="preserve">, 1–13. https://www.edaud.org/assets/docs/1-article-21.pdf</w:t>
      </w:r>
    </w:p>
    <w:p>
      <w:pPr>
        <w:pStyle w:val="MDPI81references"/>
        <w:numPr>
          <w:ilvl w:val="0"/>
          <w:numId w:val="0"/>
        </w:numPr>
        <w:ind w:left="425" w:hanging="425"/>
        <w:jc w:val="left"/>
      </w:pPr>
      <w:r>
        <w:t xml:space="preserve">Moorman, A., Boon, R. T., Keller-Bell, Y., Stagliano, C., &amp; Jeffs, T. (2010). Effects of text-to-speech software on the reading rate and comprehension skills of high school students with specific learning disabilities. </w:t>
      </w:r>
      <w:r>
        <w:rPr>
          <w:i/>
        </w:rPr>
        <w:t xml:space="preserve">Learning Disabilities: A Multidisciplinary Journal</w:t>
      </w:r>
      <w:r>
        <w:t xml:space="preserve">, </w:t>
      </w:r>
      <w:r>
        <w:rPr>
          <w:i/>
        </w:rPr>
        <w:t xml:space="preserve">16</w:t>
      </w:r>
      <w:r>
        <w:t xml:space="preserve">(1), 41–49. https://js.sagamorepub.com/index.php/ldmj/article/view/5375</w:t>
      </w:r>
    </w:p>
    <w:p>
      <w:pPr>
        <w:pStyle w:val="MDPI81references"/>
        <w:numPr>
          <w:ilvl w:val="0"/>
          <w:numId w:val="0"/>
        </w:numPr>
        <w:ind w:left="425" w:hanging="425"/>
        <w:jc w:val="left"/>
      </w:pPr>
      <w:r>
        <w:t xml:space="preserve">Noakes, M. A., Schmitt, A. J., McCallum, E., &amp; Schutte, K. (2019). Speech-to-text assistive technology for the written expression of students with traumatic brain injuries: A single case experimental study. </w:t>
      </w:r>
      <w:r>
        <w:rPr>
          <w:i/>
        </w:rPr>
        <w:t xml:space="preserve">School Psychology</w:t>
      </w:r>
      <w:r>
        <w:t xml:space="preserve">, </w:t>
      </w:r>
      <w:r>
        <w:rPr>
          <w:i/>
        </w:rPr>
        <w:t xml:space="preserve">34</w:t>
      </w:r>
      <w:r>
        <w:t xml:space="preserve">(6), 656–664. https://doi.org/10.1037/spq0000316</w:t>
      </w:r>
    </w:p>
    <w:p>
      <w:pPr>
        <w:pStyle w:val="MDPI81references"/>
        <w:numPr>
          <w:ilvl w:val="0"/>
          <w:numId w:val="0"/>
        </w:numPr>
        <w:ind w:left="425" w:hanging="425"/>
        <w:jc w:val="left"/>
      </w:pPr>
      <w:r>
        <w:t xml:space="preserve">Nordström, T., Nilsson, S., Gustafson, S., &amp; Svensson, I. (2019). Assistive technology applications for students with reading difficulties: Special education teachers’ experiences and perceptions. </w:t>
      </w:r>
      <w:r>
        <w:rPr>
          <w:i/>
        </w:rPr>
        <w:t xml:space="preserve">Disability and Rehabilitation: Assistive Technology</w:t>
      </w:r>
      <w:r>
        <w:t xml:space="preserve">, </w:t>
      </w:r>
      <w:r>
        <w:rPr>
          <w:i/>
        </w:rPr>
        <w:t xml:space="preserve">14</w:t>
      </w:r>
      <w:r>
        <w:t xml:space="preserve">(8), 798–808. https://doi.org/10.1080/17483107.2018.1499142</w:t>
      </w:r>
    </w:p>
    <w:p>
      <w:pPr>
        <w:pStyle w:val="MDPI81references"/>
        <w:numPr>
          <w:ilvl w:val="0"/>
          <w:numId w:val="0"/>
        </w:numPr>
        <w:ind w:left="425" w:hanging="425"/>
        <w:jc w:val="left"/>
      </w:pPr>
      <w:r>
        <w:t xml:space="preserve">Nuraini Herawati, D. R., Widajati, W., &amp; Sartinah, E. P. (2022). The role of text-to-speech assistive technology to improve reading ability in e-learning for ADHD students. </w:t>
      </w:r>
      <w:r>
        <w:rPr>
          <w:i/>
        </w:rPr>
        <w:t xml:space="preserve">Journal of ICSAR</w:t>
      </w:r>
      <w:r>
        <w:t xml:space="preserve">, </w:t>
      </w:r>
      <w:r>
        <w:rPr>
          <w:i/>
        </w:rPr>
        <w:t xml:space="preserve">6</w:t>
      </w:r>
      <w:r>
        <w:t xml:space="preserve">(2), 169–174. https://doi.org/10.17977/um005v6i22022p169</w:t>
      </w:r>
    </w:p>
    <w:p>
      <w:pPr>
        <w:pStyle w:val="MDPI81references"/>
        <w:numPr>
          <w:ilvl w:val="0"/>
          <w:numId w:val="0"/>
        </w:numPr>
        <w:ind w:left="425" w:hanging="425"/>
        <w:jc w:val="left"/>
      </w:pPr>
      <w:r>
        <w:t xml:space="preserve">Ogut, B., Yin, M., Vu, H., Hicks, J., &amp; Circi, R. (2025). Universal by design: Unveiling the effectiveness of accommodations and universal design features through process data. </w:t>
      </w:r>
      <w:r>
        <w:rPr>
          <w:i/>
        </w:rPr>
        <w:t xml:space="preserve">Educational Measurement: Issues and Practice</w:t>
      </w:r>
      <w:r>
        <w:t xml:space="preserve">, </w:t>
      </w:r>
      <w:r>
        <w:rPr>
          <w:i/>
        </w:rPr>
        <w:t xml:space="preserve">44</w:t>
      </w:r>
      <w:r>
        <w:t xml:space="preserve">(4), 18–32. https://doi.org/10.1111/emip.70007</w:t>
      </w:r>
    </w:p>
    <w:p>
      <w:pPr>
        <w:pStyle w:val="MDPI81references"/>
        <w:numPr>
          <w:ilvl w:val="0"/>
          <w:numId w:val="0"/>
        </w:numPr>
        <w:ind w:left="425" w:hanging="425"/>
        <w:jc w:val="lef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 xml:space="preserve">BMJ</w:t>
      </w:r>
      <w:r>
        <w:t xml:space="preserve">, </w:t>
      </w:r>
      <w:r>
        <w:rPr>
          <w:i/>
        </w:rPr>
        <w:t xml:space="preserve">372</w:t>
      </w:r>
      <w:r>
        <w:t xml:space="preserve">, Article n71. https://doi.org/10.1136/bmj.n71</w:t>
      </w:r>
    </w:p>
    <w:p>
      <w:pPr>
        <w:pStyle w:val="MDPI81references"/>
        <w:numPr>
          <w:ilvl w:val="0"/>
          <w:numId w:val="0"/>
        </w:numPr>
        <w:ind w:left="425" w:hanging="425"/>
        <w:jc w:val="left"/>
      </w:pPr>
      <w:r>
        <w:t xml:space="preserve">Park, H. J., Takahashi, K., Roberts, K. D., &amp; Delise, D. (2017). Effects of text-to-speech software use on the reading proficiency of high school struggling readers. </w:t>
      </w:r>
      <w:r>
        <w:rPr>
          <w:i/>
        </w:rPr>
        <w:t xml:space="preserve">Assistive Technology</w:t>
      </w:r>
      <w:r>
        <w:t xml:space="preserve">, </w:t>
      </w:r>
      <w:r>
        <w:rPr>
          <w:i/>
        </w:rPr>
        <w:t xml:space="preserve">29</w:t>
      </w:r>
      <w:r>
        <w:t xml:space="preserve">(3), 146–152. https://doi.org/10.1080/10400435.2016.1171808</w:t>
      </w:r>
    </w:p>
    <w:p>
      <w:pPr>
        <w:pStyle w:val="MDPI81references"/>
        <w:numPr>
          <w:ilvl w:val="0"/>
          <w:numId w:val="0"/>
        </w:numPr>
        <w:ind w:left="425" w:hanging="425"/>
        <w:jc w:val="left"/>
      </w:pPr>
      <w:r>
        <w:t xml:space="preserve">Pavani, F., &amp; Leonetti, V. (2026). On the coexistence of captions and sign language as accessibility solutions in educational settings. </w:t>
      </w:r>
      <w:r>
        <w:rPr>
          <w:i/>
        </w:rPr>
        <w:t xml:space="preserve">Audiology Research</w:t>
      </w:r>
      <w:r>
        <w:t xml:space="preserve">, </w:t>
      </w:r>
      <w:r>
        <w:rPr>
          <w:i/>
        </w:rPr>
        <w:t xml:space="preserve">16</w:t>
      </w:r>
      <w:r>
        <w:t xml:space="preserve">(1), Article 20. https://doi.org/10.3390/audiolres16010020</w:t>
      </w:r>
    </w:p>
    <w:p>
      <w:pPr>
        <w:pStyle w:val="MDPI81references"/>
        <w:numPr>
          <w:ilvl w:val="0"/>
          <w:numId w:val="0"/>
        </w:numPr>
        <w:ind w:left="425" w:hanging="425"/>
        <w:jc w:val="left"/>
      </w:pPr>
      <w:r>
        <w:t xml:space="preserve">Quinlan, T. (2004). Speech recognition technology and students with writing difficulties: Improving fluency. </w:t>
      </w:r>
      <w:r>
        <w:rPr>
          <w:i/>
        </w:rPr>
        <w:t xml:space="preserve">Journal of Educational Psychology</w:t>
      </w:r>
      <w:r>
        <w:t xml:space="preserve">, </w:t>
      </w:r>
      <w:r>
        <w:rPr>
          <w:i/>
        </w:rPr>
        <w:t xml:space="preserve">96</w:t>
      </w:r>
      <w:r>
        <w:t xml:space="preserve">(2), 337–346. https://doi.org/10.1037/0022-0663.96.2.337</w:t>
      </w:r>
    </w:p>
    <w:p>
      <w:pPr>
        <w:pStyle w:val="MDPI81references"/>
        <w:numPr>
          <w:ilvl w:val="0"/>
          <w:numId w:val="0"/>
        </w:numPr>
        <w:ind w:left="425" w:hanging="425"/>
        <w:jc w:val="left"/>
      </w:pPr>
      <w:r>
        <w:t xml:space="preserve">Raskind, M. H., &amp; Higgins, E. L. (1999). Speaking to read: The effects of speech recognition technology on the reading and spelling performance of children with learning disabilities. </w:t>
      </w:r>
      <w:r>
        <w:rPr>
          <w:i/>
        </w:rPr>
        <w:t xml:space="preserve">Annals of Dyslexia</w:t>
      </w:r>
      <w:r>
        <w:t xml:space="preserve">, </w:t>
      </w:r>
      <w:r>
        <w:rPr>
          <w:i/>
        </w:rPr>
        <w:t xml:space="preserve">49</w:t>
      </w:r>
      <w:r>
        <w:t xml:space="preserve">, 251–281. https://doi.org/10.1007/s11881-999-0026-9</w:t>
      </w:r>
    </w:p>
    <w:p>
      <w:pPr>
        <w:pStyle w:val="MDPI81references"/>
        <w:numPr>
          <w:ilvl w:val="0"/>
          <w:numId w:val="0"/>
        </w:numPr>
        <w:ind w:left="425" w:hanging="425"/>
        <w:jc w:val="left"/>
      </w:pPr>
      <w:r>
        <w:t xml:space="preserve">Rethlefsen, M. L., Kirtley, S., Waffenschmidt, S., Ayala, A. P., Moher, D., Page, M. J., Koffel, J. B., &amp; PRISMA-S Group. (2021). PRISMA-S: An extension to the PRISMA statement for reporting literature searches in systematic reviews. </w:t>
      </w:r>
      <w:r>
        <w:rPr>
          <w:i/>
        </w:rPr>
        <w:t xml:space="preserve">Systematic Reviews</w:t>
      </w:r>
      <w:r>
        <w:t xml:space="preserve">, </w:t>
      </w:r>
      <w:r>
        <w:rPr>
          <w:i/>
        </w:rPr>
        <w:t xml:space="preserve">10</w:t>
      </w:r>
      <w:r>
        <w:t xml:space="preserve">, Article 39. https://doi.org/10.1186/s13643-020-01542-z</w:t>
      </w:r>
    </w:p>
    <w:p>
      <w:pPr>
        <w:pStyle w:val="MDPI81references"/>
        <w:numPr>
          <w:ilvl w:val="0"/>
          <w:numId w:val="0"/>
        </w:numPr>
        <w:ind w:left="425" w:hanging="425"/>
        <w:jc w:val="left"/>
      </w:pPr>
      <w:r>
        <w:t xml:space="preserve">Sand, C., Svensson, I., Nilsson, S., Selenius, H., &amp; Fälth, L. (2025). Speech-to-text intervention to support text production for students with intellectual disabilities. </w:t>
      </w:r>
      <w:r>
        <w:rPr>
          <w:i/>
        </w:rPr>
        <w:t xml:space="preserve">Disability and Rehabilitation: Assistive Technology</w:t>
      </w:r>
      <w:r>
        <w:t xml:space="preserve">, </w:t>
      </w:r>
      <w:r>
        <w:rPr>
          <w:i/>
        </w:rPr>
        <w:t xml:space="preserve">20</w:t>
      </w:r>
      <w:r>
        <w:t xml:space="preserve">(2), 408–415. https://doi.org/10.1080/17483107.2024.2381785</w:t>
      </w:r>
    </w:p>
    <w:p>
      <w:pPr>
        <w:pStyle w:val="MDPI81references"/>
        <w:numPr>
          <w:ilvl w:val="0"/>
          <w:numId w:val="0"/>
        </w:numPr>
        <w:ind w:left="425" w:hanging="425"/>
        <w:jc w:val="left"/>
      </w:pPr>
      <w:r>
        <w:t xml:space="preserve">Scherer, M. J., &amp; Craddock, G. (2002). Matching Person &amp; Technology (MPT) assessment process. </w:t>
      </w:r>
      <w:r>
        <w:rPr>
          <w:i/>
        </w:rPr>
        <w:t xml:space="preserve">Technology and Disability</w:t>
      </w:r>
      <w:r>
        <w:t xml:space="preserve">, </w:t>
      </w:r>
      <w:r>
        <w:rPr>
          <w:i/>
        </w:rPr>
        <w:t xml:space="preserve">14</w:t>
      </w:r>
      <w:r>
        <w:t xml:space="preserve">(3), 125–131. https://doi.org/10.3233/TAD-2002-14308</w:t>
      </w:r>
    </w:p>
    <w:p>
      <w:pPr>
        <w:pStyle w:val="MDPI81references"/>
        <w:numPr>
          <w:ilvl w:val="0"/>
          <w:numId w:val="0"/>
        </w:numPr>
        <w:ind w:left="425" w:hanging="425"/>
        <w:jc w:val="left"/>
      </w:pPr>
      <w:r>
        <w:t xml:space="preserve">Schiavo, G., Mana, N., Mich, O., Zancanaro, M., &amp; Job, R. (2021). Attention-driven read-aloud technology increases reading comprehension in children with reading disabilities. </w:t>
      </w:r>
      <w:r>
        <w:rPr>
          <w:i/>
        </w:rPr>
        <w:t xml:space="preserve">Journal of Computer Assisted Learning</w:t>
      </w:r>
      <w:r>
        <w:t xml:space="preserve">, </w:t>
      </w:r>
      <w:r>
        <w:rPr>
          <w:i/>
        </w:rPr>
        <w:t xml:space="preserve">37</w:t>
      </w:r>
      <w:r>
        <w:t xml:space="preserve">(3), 875–886. https://doi.org/10.1111/jcal.12530</w:t>
      </w:r>
    </w:p>
    <w:p>
      <w:pPr>
        <w:pStyle w:val="MDPI81references"/>
        <w:numPr>
          <w:ilvl w:val="0"/>
          <w:numId w:val="0"/>
        </w:numPr>
        <w:ind w:left="425" w:hanging="425"/>
        <w:jc w:val="left"/>
      </w:pPr>
      <w:r>
        <w:t xml:space="preserve">Schmitt, A. J., Hale, A. D., McCallum, E., &amp; Mauck, B. (2011). Accommodating remedial readers in the general education setting: Is listening-while-reading sufficient to improve factual and inferential comprehension? </w:t>
      </w:r>
      <w:r>
        <w:rPr>
          <w:i/>
        </w:rPr>
        <w:t xml:space="preserve">Psychology in the Schools</w:t>
      </w:r>
      <w:r>
        <w:t xml:space="preserve">, </w:t>
      </w:r>
      <w:r>
        <w:rPr>
          <w:i/>
        </w:rPr>
        <w:t xml:space="preserve">48</w:t>
      </w:r>
      <w:r>
        <w:t xml:space="preserve">(1), 37–45. https://doi.org/10.1002/pits.20540</w:t>
      </w:r>
    </w:p>
    <w:p>
      <w:pPr>
        <w:pStyle w:val="MDPI81references"/>
        <w:numPr>
          <w:ilvl w:val="0"/>
          <w:numId w:val="0"/>
        </w:numPr>
        <w:ind w:left="425" w:hanging="425"/>
        <w:jc w:val="left"/>
      </w:pPr>
      <w:r>
        <w:t xml:space="preserve">Schmitt, A. J., McCallum, E., Hawkins, R. O., Stephenson, E., &amp; Vicencio, K. (2019). The effects of two assistive technologies on reading comprehension accuracy and rate. </w:t>
      </w:r>
      <w:r>
        <w:rPr>
          <w:i/>
        </w:rPr>
        <w:t xml:space="preserve">Assistive Technology</w:t>
      </w:r>
      <w:r>
        <w:t xml:space="preserve">, </w:t>
      </w:r>
      <w:r>
        <w:rPr>
          <w:i/>
        </w:rPr>
        <w:t xml:space="preserve">31</w:t>
      </w:r>
      <w:r>
        <w:t xml:space="preserve">(4), 220–230. https://doi.org/10.1080/10400435.2018.1431974</w:t>
      </w:r>
    </w:p>
    <w:p>
      <w:pPr>
        <w:pStyle w:val="MDPI81references"/>
        <w:numPr>
          <w:ilvl w:val="0"/>
          <w:numId w:val="0"/>
        </w:numPr>
        <w:ind w:left="425" w:hanging="425"/>
        <w:jc w:val="left"/>
      </w:pPr>
      <w:r>
        <w:t xml:space="preserve">Schneider, A. B., Codding, R. S., &amp; Tryon, G. S. (2013). Comparing and combining accommodation and remediation interventions to improve the written-language performance of children with Asperger syndrome. </w:t>
      </w:r>
      <w:r>
        <w:rPr>
          <w:i/>
        </w:rPr>
        <w:t xml:space="preserve">Focus on Autism and Other Developmental Disabilities</w:t>
      </w:r>
      <w:r>
        <w:t xml:space="preserve">, </w:t>
      </w:r>
      <w:r>
        <w:rPr>
          <w:i/>
        </w:rPr>
        <w:t xml:space="preserve">28</w:t>
      </w:r>
      <w:r>
        <w:t xml:space="preserve">(2), 101–114. https://doi.org/10.1177/1088357613475811</w:t>
      </w:r>
    </w:p>
    <w:p>
      <w:pPr>
        <w:pStyle w:val="MDPI81references"/>
        <w:numPr>
          <w:ilvl w:val="0"/>
          <w:numId w:val="0"/>
        </w:numPr>
        <w:ind w:left="425" w:hanging="425"/>
        <w:jc w:val="left"/>
      </w:pPr>
      <w:r>
        <w:t xml:space="preserve">Silió, M. C., &amp; Barbetta, P. M. (2010). The effects of word prediction and text-to-speech technologies on the narrative writing skills of Hispanic students with specific learning disabilities. </w:t>
      </w:r>
      <w:r>
        <w:rPr>
          <w:i/>
        </w:rPr>
        <w:t xml:space="preserve">Journal of Special Education Technology</w:t>
      </w:r>
      <w:r>
        <w:t xml:space="preserve">, </w:t>
      </w:r>
      <w:r>
        <w:rPr>
          <w:i/>
        </w:rPr>
        <w:t xml:space="preserve">25</w:t>
      </w:r>
      <w:r>
        <w:t xml:space="preserve">(4), 17–32. https://doi.org/10.1177/016264341002500402</w:t>
      </w:r>
    </w:p>
    <w:p>
      <w:pPr>
        <w:pStyle w:val="MDPI81references"/>
        <w:numPr>
          <w:ilvl w:val="0"/>
          <w:numId w:val="0"/>
        </w:numPr>
        <w:ind w:left="425" w:hanging="425"/>
        <w:jc w:val="left"/>
      </w:pPr>
      <w:r>
        <w:t xml:space="preserve">Silvestri, R., Holmes, A., &amp; Rahemtulla, R. (2022). The interaction of cognitive profiles and text-to-speech software on reading comprehension of adolescents with reading challenges. </w:t>
      </w:r>
      <w:r>
        <w:rPr>
          <w:i/>
        </w:rPr>
        <w:t xml:space="preserve">Journal of Special Education Technology</w:t>
      </w:r>
      <w:r>
        <w:t xml:space="preserve">, </w:t>
      </w:r>
      <w:r>
        <w:rPr>
          <w:i/>
        </w:rPr>
        <w:t xml:space="preserve">37</w:t>
      </w:r>
      <w:r>
        <w:t xml:space="preserve">(4), 498–509. https://doi.org/10.1177/01626434211033577</w:t>
      </w:r>
    </w:p>
    <w:p>
      <w:pPr>
        <w:pStyle w:val="MDPI81references"/>
        <w:numPr>
          <w:ilvl w:val="0"/>
          <w:numId w:val="0"/>
        </w:numPr>
        <w:ind w:left="425" w:hanging="425"/>
        <w:jc w:val="left"/>
      </w:pPr>
      <w:r>
        <w:t xml:space="preserve">Staels, E., &amp; Van den Broeck, W. (2015). Orthographic learning and the role of text-to-speech software in Dutch disabled readers. </w:t>
      </w:r>
      <w:r>
        <w:rPr>
          <w:i/>
        </w:rPr>
        <w:t xml:space="preserve">Journal of Learning Disabilities</w:t>
      </w:r>
      <w:r>
        <w:t xml:space="preserve">, </w:t>
      </w:r>
      <w:r>
        <w:rPr>
          <w:i/>
        </w:rPr>
        <w:t xml:space="preserve">48</w:t>
      </w:r>
      <w:r>
        <w:t xml:space="preserve">(1), 39–50. https://doi.org/10.1177/0022219413487407</w:t>
      </w:r>
    </w:p>
    <w:p>
      <w:pPr>
        <w:pStyle w:val="MDPI81references"/>
        <w:numPr>
          <w:ilvl w:val="0"/>
          <w:numId w:val="0"/>
        </w:numPr>
        <w:ind w:left="425" w:hanging="425"/>
        <w:jc w:val="left"/>
      </w:pPr>
      <w: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Pr>
          <w:i/>
        </w:rPr>
        <w:t xml:space="preserve">BMJ</w:t>
      </w:r>
      <w:r>
        <w:t xml:space="preserve">, </w:t>
      </w:r>
      <w:r>
        <w:rPr>
          <w:i/>
        </w:rPr>
        <w:t xml:space="preserve">355</w:t>
      </w:r>
      <w:r>
        <w:t xml:space="preserve">, Article i4919. https://doi.org/10.1136/bmj.i4919</w:t>
      </w:r>
    </w:p>
    <w:p>
      <w:pPr>
        <w:pStyle w:val="MDPI81references"/>
        <w:numPr>
          <w:ilvl w:val="0"/>
          <w:numId w:val="0"/>
        </w:numPr>
        <w:ind w:left="425" w:hanging="425"/>
        <w:jc w:val="left"/>
      </w:pPr>
      <w:r>
        <w:t xml:space="preserve">Sterne, J. A. C., Savović, J., Page, M. J., Elbers, R. G., Blencowe, N. S., Boutron, I., Cates, C. J., Cheng, H.-Y., Corbett, M. S., Eldridge, S. M., Emberson, J. R., Hernán, M. A., Hopewell, S., Hróbjartsson, A., Junqueira, D. R., Jüni, P., Kirkham, J. J., Lasserson, T., Li, T., ... Higgins, J. P. T. (2019). RoB 2: A revised tool for assessing risk of bias in randomised trials. </w:t>
      </w:r>
      <w:r>
        <w:rPr>
          <w:i/>
        </w:rPr>
        <w:t xml:space="preserve">BMJ</w:t>
      </w:r>
      <w:r>
        <w:t xml:space="preserve">, </w:t>
      </w:r>
      <w:r>
        <w:rPr>
          <w:i/>
        </w:rPr>
        <w:t xml:space="preserve">366</w:t>
      </w:r>
      <w:r>
        <w:t xml:space="preserve">, Article l4898. https://doi.org/10.1136/bmj.l4898</w:t>
      </w:r>
    </w:p>
    <w:p>
      <w:pPr>
        <w:pStyle w:val="MDPI81references"/>
        <w:numPr>
          <w:ilvl w:val="0"/>
          <w:numId w:val="0"/>
        </w:numPr>
        <w:ind w:left="425" w:hanging="425"/>
        <w:jc w:val="left"/>
      </w:pPr>
      <w:r>
        <w:t xml:space="preserve">Stodden, R. A., Roberts, K. D., Takahashi, K., Park, H. J., &amp; Stodden, N. J. (2012). Use of text-to-speech software to improve reading skills of high school struggling readers. </w:t>
      </w:r>
      <w:r>
        <w:rPr>
          <w:i/>
        </w:rPr>
        <w:t xml:space="preserve">Procedia Computer Science</w:t>
      </w:r>
      <w:r>
        <w:t xml:space="preserve">, </w:t>
      </w:r>
      <w:r>
        <w:rPr>
          <w:i/>
        </w:rPr>
        <w:t xml:space="preserve">14</w:t>
      </w:r>
      <w:r>
        <w:t xml:space="preserve">, 359–362. https://doi.org/10.1016/j.procs.2012.10.041</w:t>
      </w:r>
    </w:p>
    <w:p>
      <w:pPr>
        <w:pStyle w:val="MDPI81references"/>
        <w:numPr>
          <w:ilvl w:val="0"/>
          <w:numId w:val="0"/>
        </w:numPr>
        <w:ind w:left="425" w:hanging="425"/>
        <w:jc w:val="left"/>
      </w:pPr>
      <w:r>
        <w:t xml:space="preserve">Sulaimon, T., &amp; Schaefer, J. (2023). The impact of text-to-speech on reading comprehension of students with learning disabilities in an urban school. </w:t>
      </w:r>
      <w:r>
        <w:rPr>
          <w:i/>
        </w:rPr>
        <w:t xml:space="preserve">TechTrends</w:t>
      </w:r>
      <w:r>
        <w:t xml:space="preserve">, </w:t>
      </w:r>
      <w:r>
        <w:rPr>
          <w:i/>
        </w:rPr>
        <w:t xml:space="preserve">67</w:t>
      </w:r>
      <w:r>
        <w:t xml:space="preserve">(2), 376–383. https://doi.org/10.1007/s11528-022-00800-2</w:t>
      </w:r>
    </w:p>
    <w:p>
      <w:pPr>
        <w:pStyle w:val="MDPI81references"/>
        <w:numPr>
          <w:ilvl w:val="0"/>
          <w:numId w:val="0"/>
        </w:numPr>
        <w:ind w:left="425" w:hanging="425"/>
        <w:jc w:val="left"/>
      </w:pPr>
      <w:r>
        <w:t xml:space="preserve">Sulaimon, T. O., Alber-Morgan, S., &amp; Gallmeyer, M. M. (2025). The effects of student-generated self-questions on listening comprehension of secondary school students. </w:t>
      </w:r>
      <w:r>
        <w:rPr>
          <w:i/>
        </w:rPr>
        <w:t xml:space="preserve">Insights into Learning Disabilities</w:t>
      </w:r>
      <w:r>
        <w:t xml:space="preserve">, </w:t>
      </w:r>
      <w:r>
        <w:rPr>
          <w:i/>
        </w:rPr>
        <w:t xml:space="preserve">22</w:t>
      </w:r>
      <w:r>
        <w:t xml:space="preserve">(2), 107–128. https://files.eric.ed.gov/fulltext/EJ1490183.pdf</w:t>
      </w:r>
    </w:p>
    <w:p>
      <w:pPr>
        <w:pStyle w:val="MDPI81references"/>
        <w:numPr>
          <w:ilvl w:val="0"/>
          <w:numId w:val="0"/>
        </w:numPr>
        <w:ind w:left="425" w:hanging="425"/>
        <w:jc w:val="left"/>
      </w:pPr>
      <w:r>
        <w:t xml:space="preserve">Svensson, I., Nilsson, S., Fälth, L., Selenius, H., &amp; Sand, C. (2026). Text-to-speech as reading aid for students with intellectual disabilities: A single-subject design. </w:t>
      </w:r>
      <w:r>
        <w:rPr>
          <w:i/>
        </w:rPr>
        <w:t xml:space="preserve">Journal of Special Education Technology</w:t>
      </w:r>
      <w:r>
        <w:t xml:space="preserve">, </w:t>
      </w:r>
      <w:r>
        <w:rPr>
          <w:i/>
        </w:rPr>
        <w:t xml:space="preserve">41</w:t>
      </w:r>
      <w:r>
        <w:t xml:space="preserve">(3), 328–341. https://doi.org/10.1177/01626434251403017</w:t>
      </w:r>
    </w:p>
    <w:p>
      <w:pPr>
        <w:pStyle w:val="MDPI81references"/>
        <w:numPr>
          <w:ilvl w:val="0"/>
          <w:numId w:val="0"/>
        </w:numPr>
        <w:ind w:left="425" w:hanging="425"/>
        <w:jc w:val="left"/>
      </w:pPr>
      <w:r>
        <w:t xml:space="preserve">Svensson, I., Nordström, T., Lindeblad, E., Gustafson, S., Björn, M., Sand, C., Almgren/Bäck, G., &amp; Nilsson, S. (2021). Effects of assistive technology for students with reading and writing disabilities. </w:t>
      </w:r>
      <w:r>
        <w:rPr>
          <w:i/>
        </w:rPr>
        <w:t xml:space="preserve">Disability and Rehabilitation: Assistive Technology</w:t>
      </w:r>
      <w:r>
        <w:t xml:space="preserve">, </w:t>
      </w:r>
      <w:r>
        <w:rPr>
          <w:i/>
        </w:rPr>
        <w:t xml:space="preserve">16</w:t>
      </w:r>
      <w:r>
        <w:t xml:space="preserve">(2), 196–208. https://doi.org/10.1080/17483107.2019.1646821</w:t>
      </w:r>
    </w:p>
    <w:p>
      <w:pPr>
        <w:pStyle w:val="MDPI81references"/>
        <w:numPr>
          <w:ilvl w:val="0"/>
          <w:numId w:val="0"/>
        </w:numPr>
        <w:ind w:left="425" w:hanging="425"/>
        <w:jc w:val="left"/>
      </w:pPr>
      <w:r>
        <w:t xml:space="preserve">United Nations. (2006). </w:t>
      </w:r>
      <w:r>
        <w:rPr>
          <w:i/>
        </w:rPr>
        <w:t xml:space="preserve">Convention on the rights of persons with disabilities</w:t>
      </w:r>
      <w:r>
        <w:t xml:space="preserve">. https://www.ohchr.org/en/instruments-mechanisms/instruments/convention-rights-persons-disabilities</w:t>
      </w:r>
    </w:p>
    <w:p>
      <w:pPr>
        <w:pStyle w:val="MDPI81references"/>
        <w:numPr>
          <w:ilvl w:val="0"/>
          <w:numId w:val="0"/>
        </w:numPr>
        <w:ind w:left="425" w:hanging="425"/>
        <w:jc w:val="left"/>
      </w:pPr>
      <w:r>
        <w:t xml:space="preserve">United Nations Children’s Fund. (2021). </w:t>
      </w:r>
      <w:r>
        <w:rPr>
          <w:i/>
        </w:rPr>
        <w:t xml:space="preserve">Seen, counted, included: Using data to shed light on the well-being of children with disabilities</w:t>
      </w:r>
      <w:r>
        <w:t xml:space="preserve">. https://data.unicef.org/wp-content/uploads/2022/12/Disabilities-Report_11_30.pdf</w:t>
      </w:r>
    </w:p>
    <w:p>
      <w:pPr>
        <w:pStyle w:val="MDPI81references"/>
        <w:numPr>
          <w:ilvl w:val="0"/>
          <w:numId w:val="0"/>
        </w:numPr>
        <w:ind w:left="425" w:hanging="425"/>
        <w:jc w:val="left"/>
      </w:pPr>
      <w:r>
        <w:t xml:space="preserve">Wei, X. (2024). Text-to-speech technology and math performance: A comparative study of students with disabilities, English language learners, and their general education peers. </w:t>
      </w:r>
      <w:r>
        <w:rPr>
          <w:i/>
        </w:rPr>
        <w:t xml:space="preserve">Educational Researcher</w:t>
      </w:r>
      <w:r>
        <w:t xml:space="preserve">, </w:t>
      </w:r>
      <w:r>
        <w:rPr>
          <w:i/>
        </w:rPr>
        <w:t xml:space="preserve">53</w:t>
      </w:r>
      <w:r>
        <w:t xml:space="preserve">(5), 285–295. https://doi.org/10.3102/0013189X241232995</w:t>
      </w:r>
    </w:p>
    <w:p>
      <w:pPr>
        <w:pStyle w:val="MDPI81references"/>
        <w:numPr>
          <w:ilvl w:val="0"/>
          <w:numId w:val="0"/>
        </w:numPr>
        <w:ind w:left="425" w:hanging="425"/>
        <w:jc w:val="left"/>
      </w:pPr>
      <w:r>
        <w:t xml:space="preserve">Wei, X. (2025). Universal design element utilization and mathematics performance: Implications for diverse student populations. </w:t>
      </w:r>
      <w:r>
        <w:rPr>
          <w:i/>
        </w:rPr>
        <w:t xml:space="preserve">Journal of Special Education Technology</w:t>
      </w:r>
      <w:r>
        <w:t xml:space="preserve">, </w:t>
      </w:r>
      <w:r>
        <w:rPr>
          <w:i/>
        </w:rPr>
        <w:t xml:space="preserve">40</w:t>
      </w:r>
      <w:r>
        <w:t xml:space="preserve">(3), 356–367. https://doi.org/10.1177/01626434241289951</w:t>
      </w:r>
    </w:p>
    <w:p>
      <w:pPr>
        <w:pStyle w:val="MDPI81references"/>
        <w:numPr>
          <w:ilvl w:val="0"/>
          <w:numId w:val="0"/>
        </w:numPr>
        <w:ind w:left="425" w:hanging="425"/>
        <w:jc w:val="left"/>
      </w:pPr>
      <w:r>
        <w:t xml:space="preserve">Wei, X. (2026). Analyzing text-to-speech usage in math assessments: Proficiency-specific implication and insights. </w:t>
      </w:r>
      <w:r>
        <w:rPr>
          <w:i/>
        </w:rPr>
        <w:t xml:space="preserve">Educational Research and Evaluation</w:t>
      </w:r>
      <w:r>
        <w:t xml:space="preserve">, </w:t>
      </w:r>
      <w:r>
        <w:rPr>
          <w:i/>
        </w:rPr>
        <w:t xml:space="preserve">31</w:t>
      </w:r>
      <w:r>
        <w:t xml:space="preserve">(5–6), 439–458. https://doi.org/10.1080/13803611.2026.2655305</w:t>
      </w:r>
    </w:p>
    <w:p>
      <w:pPr>
        <w:pStyle w:val="MDPI81references"/>
        <w:numPr>
          <w:ilvl w:val="0"/>
          <w:numId w:val="0"/>
        </w:numPr>
        <w:ind w:left="425" w:hanging="425"/>
        <w:jc w:val="left"/>
      </w:pPr>
      <w:r>
        <w:t xml:space="preserve">What Works Clearinghouse. (2022). </w:t>
      </w:r>
      <w:r>
        <w:rPr>
          <w:i/>
        </w:rPr>
        <w:t xml:space="preserve">What Works Clearinghouse procedures and standards handbook, version 5.0</w:t>
      </w:r>
      <w:r>
        <w:t xml:space="preserve">. U.S. Department of Education, Institute of Education Sciences. https://ies.ed.gov/ncee/wwc/Docs/referenceresources/Final_WWC-HandbookVer5.0-0-508.pdf</w:t>
      </w:r>
    </w:p>
    <w:p>
      <w:pPr>
        <w:pStyle w:val="MDPI81references"/>
        <w:numPr>
          <w:ilvl w:val="0"/>
          <w:numId w:val="0"/>
        </w:numPr>
        <w:ind w:left="425" w:hanging="425"/>
        <w:jc w:val="left"/>
      </w:pPr>
      <w:r>
        <w:t xml:space="preserve">Witmer, S. E., &amp; Bouck, E. C. (2023). Predictors of accessibility tool use on a low-stakes computer-based math test. </w:t>
      </w:r>
      <w:r>
        <w:rPr>
          <w:i/>
        </w:rPr>
        <w:t xml:space="preserve">Assessment for Effective Intervention</w:t>
      </w:r>
      <w:r>
        <w:t xml:space="preserve">, </w:t>
      </w:r>
      <w:r>
        <w:rPr>
          <w:i/>
        </w:rPr>
        <w:t xml:space="preserve">49</w:t>
      </w:r>
      <w:r>
        <w:t xml:space="preserve">(1), 7–17. https://doi.org/10.1177/15345084231152477</w:t>
      </w:r>
    </w:p>
    <w:p>
      <w:pPr>
        <w:pStyle w:val="MDPI81references"/>
        <w:numPr>
          <w:ilvl w:val="0"/>
          <w:numId w:val="0"/>
        </w:numPr>
        <w:ind w:left="425" w:hanging="425"/>
        <w:jc w:val="left"/>
      </w:pPr>
      <w:r>
        <w:t xml:space="preserve">Wood, L., Browder, D. M., &amp; Spooner, F. (2020). Teaching listening comprehension of science e-texts for students with moderate intellectual disability. </w:t>
      </w:r>
      <w:r>
        <w:rPr>
          <w:i/>
        </w:rPr>
        <w:t xml:space="preserve">Journal of Special Education Technology</w:t>
      </w:r>
      <w:r>
        <w:t xml:space="preserve">, </w:t>
      </w:r>
      <w:r>
        <w:rPr>
          <w:i/>
        </w:rPr>
        <w:t xml:space="preserve">35</w:t>
      </w:r>
      <w:r>
        <w:t xml:space="preserve">(4), 272–285. https://doi.org/10.1177/0162643419882421</w:t>
      </w:r>
    </w:p>
    <w:p>
      <w:pPr>
        <w:pStyle w:val="MDPI81references"/>
        <w:numPr>
          <w:ilvl w:val="0"/>
          <w:numId w:val="0"/>
        </w:numPr>
        <w:ind w:left="425" w:hanging="425"/>
        <w:jc w:val="left"/>
      </w:pPr>
      <w:r>
        <w:t xml:space="preserve">Wood, S. G., Moxley, J. H., Tighe, E. L., &amp; Wagner, R. K. (2018). Does use of text-to-speech and related read-aloud tools improve reading comprehension for students with reading disabilities? A meta-analysis. </w:t>
      </w:r>
      <w:r>
        <w:rPr>
          <w:i/>
        </w:rPr>
        <w:t xml:space="preserve">Journal of Learning Disabilities</w:t>
      </w:r>
      <w:r>
        <w:t xml:space="preserve">, </w:t>
      </w:r>
      <w:r>
        <w:rPr>
          <w:i/>
        </w:rPr>
        <w:t xml:space="preserve">51</w:t>
      </w:r>
      <w:r>
        <w:t xml:space="preserve">(1), 73–84. https://doi.org/10.1177/0022219416688170</w:t>
      </w:r>
    </w:p>
    <w:p>
      <w:pPr>
        <w:pStyle w:val="MDPI81references"/>
        <w:numPr>
          <w:ilvl w:val="0"/>
          <w:numId w:val="0"/>
        </w:numPr>
        <w:ind w:left="425" w:hanging="425"/>
        <w:jc w:val="left"/>
      </w:pPr>
      <w:r>
        <w:t xml:space="preserve">World Health Assembly. (2018). </w:t>
      </w:r>
      <w:r>
        <w:rPr>
          <w:i/>
        </w:rPr>
        <w:t xml:space="preserve">Improving access to assistive technology</w:t>
      </w:r>
      <w:r>
        <w:t xml:space="preserve"> (Resolution WHA71.8). World Health Organization. https://apps.who.int/gb/ebwha/pdf_files/WHA71/A71_R8-en.pdf</w:t>
      </w:r>
    </w:p>
    <w:p>
      <w:pPr>
        <w:pStyle w:val="MDPI81references"/>
        <w:numPr>
          <w:ilvl w:val="0"/>
          <w:numId w:val="0"/>
        </w:numPr>
        <w:ind w:left="425" w:hanging="425"/>
        <w:jc w:val="left"/>
      </w:pPr>
      <w:r>
        <w:t xml:space="preserve">World Health Organization, &amp; United Nations Children’s Fund. (2022). </w:t>
      </w:r>
      <w:r>
        <w:rPr>
          <w:i/>
        </w:rPr>
        <w:t xml:space="preserve">Global report on assistive technology</w:t>
      </w:r>
      <w:r>
        <w:t xml:space="preserve">. World Health Organization. https://www.who.int/publications/i/item/9789240049451</w:t>
      </w:r>
    </w:p>
    <w:p>
      <w:pPr>
        <w:pStyle w:val="MDPI81references"/>
        <w:numPr>
          <w:ilvl w:val="0"/>
          <w:numId w:val="0"/>
        </w:numPr>
        <w:ind w:left="425" w:hanging="425"/>
        <w:jc w:val="left"/>
      </w:pPr>
      <w:r>
        <w:t xml:space="preserve">Young, M. C., Courtad, C. A., Douglas, K. H., &amp; Chung, Y.-C. (2019). The effects of text-to-speech on reading outcomes for secondary students with learning disabilities. </w:t>
      </w:r>
      <w:r>
        <w:rPr>
          <w:i/>
        </w:rPr>
        <w:t xml:space="preserve">Journal of Special Education Technology</w:t>
      </w:r>
      <w:r>
        <w:t xml:space="preserve">, </w:t>
      </w:r>
      <w:r>
        <w:rPr>
          <w:i/>
        </w:rPr>
        <w:t xml:space="preserve">34</w:t>
      </w:r>
      <w:r>
        <w:t xml:space="preserve">(2), 80–91. https://doi.org/10.1177/0162643418786047</w:t>
      </w:r>
    </w:p>
    <w:p w14:paraId="01CBF694" w14:textId="63EEA8DB" w:rsidR="00F40265" w:rsidRPr="002D3A93" w:rsidRDefault="002D3A93" w:rsidP="00147A79">
      <w:pPr>
        <w:pStyle w:val="MDPI63notes"/>
      </w:pPr>
      <w:r w:rsidRPr="00093A5B">
        <w:rPr>
          <w:b/>
        </w:rPr>
        <w:t>Disclaimer/Publisher’s Note:</w:t>
      </w:r>
      <w:r w:rsidRPr="00093A5B">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40265" w:rsidRPr="002D3A93" w:rsidSect="00147A79">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DA72" w14:textId="77777777" w:rsidR="00270F68" w:rsidRPr="00093A5B" w:rsidRDefault="00270F68">
      <w:pPr>
        <w:spacing w:line="240" w:lineRule="auto"/>
      </w:pPr>
      <w:r w:rsidRPr="00093A5B">
        <w:separator/>
      </w:r>
    </w:p>
  </w:endnote>
  <w:endnote w:type="continuationSeparator" w:id="0">
    <w:p w14:paraId="6AFF05C4" w14:textId="77777777" w:rsidR="00270F68" w:rsidRPr="00093A5B" w:rsidRDefault="00270F68">
      <w:pPr>
        <w:spacing w:line="240" w:lineRule="auto"/>
      </w:pPr>
      <w:r w:rsidRPr="00093A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MT">
    <w:altName w:val="Klee One"/>
    <w:panose1 w:val="00000000000000000000"/>
    <w:charset w:val="80"/>
    <w:family w:val="auto"/>
    <w:notTrueType/>
    <w:pitch w:val="default"/>
    <w:sig w:usb0="00000001" w:usb1="080F0000" w:usb2="00000010" w:usb3="00000000" w:csb0="00060000" w:csb1="00000000"/>
  </w:font>
  <w:font w:name="TimesNewRomanPSMT">
    <w:altName w:val="微软雅黑"/>
    <w:panose1 w:val="00000000000000000000"/>
    <w:charset w:val="86"/>
    <w:family w:val="auto"/>
    <w:notTrueType/>
    <w:pitch w:val="default"/>
    <w:sig w:usb0="00000001" w:usb1="080E0000" w:usb2="00000010" w:usb3="00000000" w:csb0="00040000"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FFB2" w14:textId="77777777" w:rsidR="0096616C" w:rsidRDefault="00966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F37B" w14:textId="41B358A5" w:rsidR="00B46F8E" w:rsidRPr="00B46F8E" w:rsidRDefault="00B46F8E" w:rsidP="00B46F8E">
    <w:pPr>
      <w:pStyle w:val="Footer"/>
      <w:spacing w:line="240" w:lineRule="auto"/>
      <w:jc w:val="right"/>
    </w:pPr>
    <w:r w:rsidRPr="0096616C">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15C" w14:textId="77777777" w:rsidR="00FC1F6C" w:rsidRPr="00093A5B" w:rsidRDefault="00FC1F6C" w:rsidP="004631A2">
    <w:pPr>
      <w:pBdr>
        <w:top w:val="single" w:sz="4" w:space="0" w:color="000000"/>
      </w:pBdr>
      <w:tabs>
        <w:tab w:val="right" w:pos="8844"/>
      </w:tabs>
      <w:adjustRightInd w:val="0"/>
      <w:snapToGrid w:val="0"/>
      <w:spacing w:before="480" w:line="100" w:lineRule="exact"/>
      <w:jc w:val="left"/>
      <w:rPr>
        <w:i/>
        <w:sz w:val="16"/>
        <w:szCs w:val="16"/>
      </w:rPr>
    </w:pPr>
  </w:p>
  <w:p w14:paraId="0351F8B4" w14:textId="56B8718C" w:rsidR="00547C57" w:rsidRPr="00093A5B" w:rsidRDefault="00547C57" w:rsidP="005B05F3">
    <w:pPr>
      <w:tabs>
        <w:tab w:val="right" w:pos="10466"/>
      </w:tabs>
      <w:adjustRightInd w:val="0"/>
      <w:snapToGrid w:val="0"/>
      <w:spacing w:line="240" w:lineRule="auto"/>
      <w:rPr>
        <w:sz w:val="16"/>
        <w:szCs w:val="16"/>
      </w:rPr>
    </w:pPr>
    <w:r w:rsidRPr="00093A5B">
      <w:rPr>
        <w:i/>
        <w:sz w:val="16"/>
        <w:szCs w:val="16"/>
      </w:rPr>
      <w:t xml:space="preserve">Behav. Sci. </w:t>
    </w:r>
    <w:r w:rsidR="00B46F8E">
      <w:rPr>
        <w:b/>
        <w:bCs/>
        <w:iCs/>
        <w:sz w:val="16"/>
        <w:szCs w:val="16"/>
      </w:rPr>
      <w:t>2026</w:t>
    </w:r>
    <w:r w:rsidR="00A95BD4" w:rsidRPr="00093A5B">
      <w:rPr>
        <w:bCs/>
        <w:iCs/>
        <w:sz w:val="16"/>
        <w:szCs w:val="16"/>
      </w:rPr>
      <w:t>,</w:t>
    </w:r>
    <w:r w:rsidR="00147A79" w:rsidRPr="00093A5B">
      <w:rPr>
        <w:bCs/>
        <w:i/>
        <w:iCs/>
        <w:sz w:val="16"/>
        <w:szCs w:val="16"/>
      </w:rPr>
      <w:t xml:space="preserve"> </w:t>
    </w:r>
    <w:r w:rsidR="00B46F8E">
      <w:rPr>
        <w:bCs/>
        <w:i/>
        <w:iCs/>
        <w:sz w:val="16"/>
        <w:szCs w:val="16"/>
      </w:rPr>
      <w:t>16</w:t>
    </w:r>
    <w:r w:rsidR="00A95BD4" w:rsidRPr="00093A5B">
      <w:rPr>
        <w:bCs/>
        <w:iCs/>
        <w:sz w:val="16"/>
        <w:szCs w:val="16"/>
      </w:rPr>
      <w:t xml:space="preserve">, </w:t>
    </w:r>
    <w:r w:rsidR="00120448" w:rsidRPr="00093A5B">
      <w:rPr>
        <w:bCs/>
        <w:iCs/>
        <w:sz w:val="16"/>
        <w:szCs w:val="16"/>
      </w:rPr>
      <w:t>x</w:t>
    </w:r>
    <w:r w:rsidR="005B05F3" w:rsidRPr="00093A5B">
      <w:rPr>
        <w:sz w:val="16"/>
        <w:szCs w:val="16"/>
      </w:rPr>
      <w:tab/>
    </w:r>
    <w:r w:rsidR="00B46F8E" w:rsidRPr="0096616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514F" w14:textId="77777777" w:rsidR="00270F68" w:rsidRPr="00093A5B" w:rsidRDefault="00270F68">
      <w:pPr>
        <w:spacing w:line="240" w:lineRule="auto"/>
      </w:pPr>
      <w:r w:rsidRPr="00093A5B">
        <w:separator/>
      </w:r>
    </w:p>
  </w:footnote>
  <w:footnote w:type="continuationSeparator" w:id="0">
    <w:p w14:paraId="618A21B1" w14:textId="77777777" w:rsidR="00270F68" w:rsidRPr="00093A5B" w:rsidRDefault="00270F68">
      <w:pPr>
        <w:spacing w:line="240" w:lineRule="auto"/>
      </w:pPr>
      <w:r w:rsidRPr="00093A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39B0" w14:textId="77777777" w:rsidR="00547C57" w:rsidRPr="00093A5B" w:rsidRDefault="00547C57" w:rsidP="00547C5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16C0" w14:textId="6086F69E" w:rsidR="00FC1F6C" w:rsidRPr="00093A5B" w:rsidRDefault="00547C57" w:rsidP="005B05F3">
    <w:pPr>
      <w:tabs>
        <w:tab w:val="right" w:pos="10466"/>
      </w:tabs>
      <w:adjustRightInd w:val="0"/>
      <w:snapToGrid w:val="0"/>
      <w:spacing w:line="240" w:lineRule="auto"/>
      <w:rPr>
        <w:sz w:val="16"/>
      </w:rPr>
    </w:pPr>
    <w:r w:rsidRPr="00093A5B">
      <w:rPr>
        <w:i/>
        <w:sz w:val="16"/>
      </w:rPr>
      <w:t xml:space="preserve">Behav. Sci. </w:t>
    </w:r>
    <w:r w:rsidR="00B46F8E">
      <w:rPr>
        <w:b/>
        <w:sz w:val="16"/>
      </w:rPr>
      <w:t>2026</w:t>
    </w:r>
    <w:r w:rsidR="00A95BD4" w:rsidRPr="00093A5B">
      <w:rPr>
        <w:sz w:val="16"/>
      </w:rPr>
      <w:t>,</w:t>
    </w:r>
    <w:r w:rsidR="00147A79" w:rsidRPr="00093A5B">
      <w:rPr>
        <w:i/>
        <w:sz w:val="16"/>
      </w:rPr>
      <w:t xml:space="preserve"> </w:t>
    </w:r>
    <w:r w:rsidR="00B46F8E">
      <w:rPr>
        <w:i/>
        <w:sz w:val="16"/>
      </w:rPr>
      <w:t>16</w:t>
    </w:r>
    <w:r w:rsidR="00120448" w:rsidRPr="00093A5B">
      <w:rPr>
        <w:sz w:val="16"/>
      </w:rPr>
      <w:t xml:space="preserve">, x </w:t>
    </w:r>
    <w:r w:rsidR="00147A79" w:rsidRPr="00093A5B">
      <w:rPr>
        <w:sz w:val="16"/>
      </w:rPr>
      <w:t>FOR PEER REVIEW</w:t>
    </w:r>
    <w:r w:rsidR="00147A79" w:rsidRPr="00093A5B">
      <w:rPr>
        <w:sz w:val="16"/>
      </w:rPr>
      <w:ptab w:relativeTo="margin" w:alignment="right" w:leader="none"/>
    </w:r>
    <w:r w:rsidR="00147A79" w:rsidRPr="00093A5B">
      <w:rPr>
        <w:sz w:val="16"/>
      </w:rPr>
      <w:fldChar w:fldCharType="begin"/>
    </w:r>
    <w:r w:rsidR="00147A79" w:rsidRPr="00093A5B">
      <w:rPr>
        <w:sz w:val="16"/>
      </w:rPr>
      <w:instrText xml:space="preserve"> PAGE   \* MERGEFORMAT </w:instrText>
    </w:r>
    <w:r w:rsidR="00147A79" w:rsidRPr="00093A5B">
      <w:rPr>
        <w:sz w:val="16"/>
      </w:rPr>
      <w:fldChar w:fldCharType="separate"/>
    </w:r>
    <w:r w:rsidR="00147A79" w:rsidRPr="00093A5B">
      <w:rPr>
        <w:sz w:val="16"/>
      </w:rPr>
      <w:t>2</w:t>
    </w:r>
    <w:r w:rsidR="00147A79" w:rsidRPr="00093A5B">
      <w:rPr>
        <w:sz w:val="16"/>
      </w:rPr>
      <w:fldChar w:fldCharType="end"/>
    </w:r>
    <w:r w:rsidR="00147A79" w:rsidRPr="00093A5B">
      <w:rPr>
        <w:sz w:val="16"/>
      </w:rPr>
      <w:t xml:space="preserve"> of </w:t>
    </w:r>
    <w:r w:rsidR="00147A79" w:rsidRPr="00093A5B">
      <w:rPr>
        <w:sz w:val="16"/>
      </w:rPr>
      <w:fldChar w:fldCharType="begin"/>
    </w:r>
    <w:r w:rsidR="00147A79" w:rsidRPr="00093A5B">
      <w:rPr>
        <w:sz w:val="16"/>
      </w:rPr>
      <w:instrText xml:space="preserve"> NUMPAGES   \* MERGEFORMAT </w:instrText>
    </w:r>
    <w:r w:rsidR="00147A79" w:rsidRPr="00093A5B">
      <w:rPr>
        <w:sz w:val="16"/>
      </w:rPr>
      <w:fldChar w:fldCharType="separate"/>
    </w:r>
    <w:r w:rsidR="00147A79" w:rsidRPr="00093A5B">
      <w:rPr>
        <w:sz w:val="16"/>
      </w:rPr>
      <w:t>7</w:t>
    </w:r>
    <w:r w:rsidR="00147A79" w:rsidRPr="00093A5B">
      <w:rPr>
        <w:sz w:val="16"/>
      </w:rPr>
      <w:fldChar w:fldCharType="end"/>
    </w:r>
  </w:p>
  <w:p w14:paraId="1FF38983" w14:textId="77777777" w:rsidR="00547C57" w:rsidRPr="00093A5B" w:rsidRDefault="00547C57" w:rsidP="004631A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C1F6C" w:rsidRPr="00093A5B" w14:paraId="0233B2E0" w14:textId="77777777" w:rsidTr="001F04DA">
      <w:trPr>
        <w:trHeight w:val="686"/>
      </w:trPr>
      <w:tc>
        <w:tcPr>
          <w:tcW w:w="3679" w:type="dxa"/>
          <w:vAlign w:val="center"/>
        </w:tcPr>
        <w:p w14:paraId="5C65E8BC" w14:textId="79329CC0" w:rsidR="00FC1F6C" w:rsidRPr="00093A5B" w:rsidRDefault="009740EF" w:rsidP="005B05F3">
          <w:pPr>
            <w:pStyle w:val="Header"/>
            <w:pBdr>
              <w:bottom w:val="none" w:sz="0" w:space="0" w:color="auto"/>
            </w:pBdr>
            <w:jc w:val="left"/>
            <w:rPr>
              <w:rFonts w:eastAsia="等线"/>
              <w:b/>
              <w:bCs/>
            </w:rPr>
          </w:pPr>
          <w:r w:rsidRPr="00093A5B">
            <w:rPr>
              <w:rFonts w:eastAsia="等线"/>
              <w:b/>
              <w:bCs/>
              <w:noProof/>
            </w:rPr>
            <w:drawing>
              <wp:inline distT="0" distB="0" distL="0" distR="0" wp14:anchorId="25B46D29" wp14:editId="5485B1D0">
                <wp:extent cx="1959211" cy="432000"/>
                <wp:effectExtent l="0" t="0" r="3175" b="6350"/>
                <wp:docPr id="89494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9540" name=""/>
                        <pic:cNvPicPr/>
                      </pic:nvPicPr>
                      <pic:blipFill>
                        <a:blip r:embed="rId1"/>
                        <a:stretch>
                          <a:fillRect/>
                        </a:stretch>
                      </pic:blipFill>
                      <pic:spPr>
                        <a:xfrm>
                          <a:off x="0" y="0"/>
                          <a:ext cx="1959211" cy="432000"/>
                        </a:xfrm>
                        <a:prstGeom prst="rect">
                          <a:avLst/>
                        </a:prstGeom>
                      </pic:spPr>
                    </pic:pic>
                  </a:graphicData>
                </a:graphic>
              </wp:inline>
            </w:drawing>
          </w:r>
        </w:p>
      </w:tc>
      <w:tc>
        <w:tcPr>
          <w:tcW w:w="4535" w:type="dxa"/>
          <w:vAlign w:val="center"/>
        </w:tcPr>
        <w:p w14:paraId="4C9E5135" w14:textId="77777777" w:rsidR="00FC1F6C" w:rsidRPr="00093A5B" w:rsidRDefault="00FC1F6C" w:rsidP="005B05F3">
          <w:pPr>
            <w:pStyle w:val="Header"/>
            <w:pBdr>
              <w:bottom w:val="none" w:sz="0" w:space="0" w:color="auto"/>
            </w:pBdr>
            <w:rPr>
              <w:rFonts w:eastAsia="等线"/>
              <w:b/>
              <w:bCs/>
            </w:rPr>
          </w:pPr>
        </w:p>
      </w:tc>
      <w:tc>
        <w:tcPr>
          <w:tcW w:w="2273" w:type="dxa"/>
          <w:vAlign w:val="center"/>
        </w:tcPr>
        <w:p w14:paraId="709E4115" w14:textId="455EA1A8" w:rsidR="00FC1F6C" w:rsidRPr="00093A5B" w:rsidRDefault="001F04DA" w:rsidP="001F04DA">
          <w:pPr>
            <w:pStyle w:val="Header"/>
            <w:pBdr>
              <w:bottom w:val="none" w:sz="0" w:space="0" w:color="auto"/>
            </w:pBdr>
            <w:jc w:val="right"/>
            <w:rPr>
              <w:rFonts w:eastAsia="等线"/>
              <w:b/>
              <w:bCs/>
            </w:rPr>
          </w:pPr>
          <w:r w:rsidRPr="00093A5B">
            <w:rPr>
              <w:rFonts w:eastAsia="等线"/>
              <w:b/>
              <w:bCs/>
              <w:noProof/>
            </w:rPr>
            <w:drawing>
              <wp:inline distT="0" distB="0" distL="0" distR="0" wp14:anchorId="5A6C8405" wp14:editId="43F3B997">
                <wp:extent cx="540000" cy="360000"/>
                <wp:effectExtent l="0" t="0" r="0" b="2540"/>
                <wp:docPr id="939112222" name="Picture 1"/>
                <wp:cNvGraphicFramePr/>
                <a:graphic xmlns:a="http://schemas.openxmlformats.org/drawingml/2006/main">
                  <a:graphicData uri="http://schemas.openxmlformats.org/drawingml/2006/picture">
                    <pic:pic xmlns:pic="http://schemas.openxmlformats.org/drawingml/2006/picture">
                      <pic:nvPicPr>
                        <pic:cNvPr id="939112222" name=""/>
                        <pic:cNvPicPr/>
                      </pic:nvPicPr>
                      <pic:blipFill>
                        <a:blip r:embed="rId2"/>
                        <a:stretch>
                          <a:fillRect/>
                        </a:stretch>
                      </pic:blipFill>
                      <pic:spPr>
                        <a:xfrm>
                          <a:off x="0" y="0"/>
                          <a:ext cx="540000" cy="360000"/>
                        </a:xfrm>
                        <a:prstGeom prst="rect">
                          <a:avLst/>
                        </a:prstGeom>
                      </pic:spPr>
                    </pic:pic>
                  </a:graphicData>
                </a:graphic>
              </wp:inline>
            </w:drawing>
          </w:r>
        </w:p>
      </w:tc>
    </w:tr>
  </w:tbl>
  <w:p w14:paraId="1461F2C0" w14:textId="77777777" w:rsidR="00547C57" w:rsidRPr="00093A5B" w:rsidRDefault="00547C57" w:rsidP="00147A7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44D5"/>
    <w:multiLevelType w:val="hybridMultilevel"/>
    <w:tmpl w:val="CA5839F6"/>
    <w:lvl w:ilvl="0" w:tplc="C1E608B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D0921A9A"/>
    <w:lvl w:ilvl="0" w:tplc="25AEDD5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34D2D8DE"/>
    <w:lvl w:ilvl="0" w:tplc="1C5E87D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97451"/>
    <w:multiLevelType w:val="hybridMultilevel"/>
    <w:tmpl w:val="BA8E614E"/>
    <w:lvl w:ilvl="0" w:tplc="F3FA4DB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359138">
    <w:abstractNumId w:val="5"/>
  </w:num>
  <w:num w:numId="2" w16cid:durableId="1878463367">
    <w:abstractNumId w:val="7"/>
  </w:num>
  <w:num w:numId="3" w16cid:durableId="14624578">
    <w:abstractNumId w:val="4"/>
  </w:num>
  <w:num w:numId="4" w16cid:durableId="80372627">
    <w:abstractNumId w:val="6"/>
  </w:num>
  <w:num w:numId="5" w16cid:durableId="1558010044">
    <w:abstractNumId w:val="9"/>
  </w:num>
  <w:num w:numId="6" w16cid:durableId="246350979">
    <w:abstractNumId w:val="3"/>
  </w:num>
  <w:num w:numId="7" w16cid:durableId="537594026">
    <w:abstractNumId w:val="9"/>
  </w:num>
  <w:num w:numId="8" w16cid:durableId="88670674">
    <w:abstractNumId w:val="3"/>
  </w:num>
  <w:num w:numId="9" w16cid:durableId="476384113">
    <w:abstractNumId w:val="9"/>
  </w:num>
  <w:num w:numId="10" w16cid:durableId="675184597">
    <w:abstractNumId w:val="3"/>
  </w:num>
  <w:num w:numId="11" w16cid:durableId="117352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5699982">
    <w:abstractNumId w:val="1"/>
  </w:num>
  <w:num w:numId="13" w16cid:durableId="818766436">
    <w:abstractNumId w:val="10"/>
  </w:num>
  <w:num w:numId="14" w16cid:durableId="1050030624">
    <w:abstractNumId w:val="9"/>
  </w:num>
  <w:num w:numId="15" w16cid:durableId="309940233">
    <w:abstractNumId w:val="3"/>
  </w:num>
  <w:num w:numId="16" w16cid:durableId="1501964301">
    <w:abstractNumId w:val="2"/>
  </w:num>
  <w:num w:numId="17" w16cid:durableId="1579366127">
    <w:abstractNumId w:val="8"/>
  </w:num>
  <w:num w:numId="18" w16cid:durableId="1419256257">
    <w:abstractNumId w:val="0"/>
  </w:num>
  <w:num w:numId="19" w16cid:durableId="1229850791">
    <w:abstractNumId w:val="9"/>
  </w:num>
  <w:num w:numId="20" w16cid:durableId="82338894">
    <w:abstractNumId w:val="3"/>
  </w:num>
  <w:num w:numId="21" w16cid:durableId="41562331">
    <w:abstractNumId w:val="2"/>
  </w:num>
  <w:num w:numId="22" w16cid:durableId="1506356562">
    <w:abstractNumId w:val="0"/>
  </w:num>
  <w:num w:numId="23" w16cid:durableId="422452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1F"/>
    <w:rsid w:val="00001B9D"/>
    <w:rsid w:val="000033BE"/>
    <w:rsid w:val="000132BB"/>
    <w:rsid w:val="00042C91"/>
    <w:rsid w:val="00046701"/>
    <w:rsid w:val="00054ACA"/>
    <w:rsid w:val="00060798"/>
    <w:rsid w:val="00076F37"/>
    <w:rsid w:val="000811BB"/>
    <w:rsid w:val="0008504A"/>
    <w:rsid w:val="00093A5B"/>
    <w:rsid w:val="000E256B"/>
    <w:rsid w:val="000F7E25"/>
    <w:rsid w:val="001070B1"/>
    <w:rsid w:val="00110443"/>
    <w:rsid w:val="00110A22"/>
    <w:rsid w:val="00120448"/>
    <w:rsid w:val="00123054"/>
    <w:rsid w:val="00125B2E"/>
    <w:rsid w:val="00144F85"/>
    <w:rsid w:val="001461C9"/>
    <w:rsid w:val="00147A79"/>
    <w:rsid w:val="00157279"/>
    <w:rsid w:val="00160BAD"/>
    <w:rsid w:val="00174C1F"/>
    <w:rsid w:val="0018583F"/>
    <w:rsid w:val="0019437F"/>
    <w:rsid w:val="001A5BD7"/>
    <w:rsid w:val="001B4491"/>
    <w:rsid w:val="001D0F29"/>
    <w:rsid w:val="001D3EC3"/>
    <w:rsid w:val="001E2AEB"/>
    <w:rsid w:val="001F04DA"/>
    <w:rsid w:val="001F2D59"/>
    <w:rsid w:val="00202DD1"/>
    <w:rsid w:val="002140C8"/>
    <w:rsid w:val="00222D0A"/>
    <w:rsid w:val="00232B3A"/>
    <w:rsid w:val="00241860"/>
    <w:rsid w:val="00246B13"/>
    <w:rsid w:val="00255DF7"/>
    <w:rsid w:val="00270F68"/>
    <w:rsid w:val="002719FC"/>
    <w:rsid w:val="002758F4"/>
    <w:rsid w:val="00294A0E"/>
    <w:rsid w:val="00295161"/>
    <w:rsid w:val="0029654B"/>
    <w:rsid w:val="002A3026"/>
    <w:rsid w:val="002A44FA"/>
    <w:rsid w:val="002A644D"/>
    <w:rsid w:val="002B0591"/>
    <w:rsid w:val="002B1B9E"/>
    <w:rsid w:val="002B60FB"/>
    <w:rsid w:val="002C4BB9"/>
    <w:rsid w:val="002C6088"/>
    <w:rsid w:val="002C79BE"/>
    <w:rsid w:val="002D3148"/>
    <w:rsid w:val="002D3A93"/>
    <w:rsid w:val="00317124"/>
    <w:rsid w:val="00321697"/>
    <w:rsid w:val="00326141"/>
    <w:rsid w:val="003641C8"/>
    <w:rsid w:val="00370E9B"/>
    <w:rsid w:val="003A2D29"/>
    <w:rsid w:val="003B637B"/>
    <w:rsid w:val="003E68BF"/>
    <w:rsid w:val="003F29BE"/>
    <w:rsid w:val="00401D30"/>
    <w:rsid w:val="00406DCB"/>
    <w:rsid w:val="00416226"/>
    <w:rsid w:val="00416372"/>
    <w:rsid w:val="00416BA1"/>
    <w:rsid w:val="00417249"/>
    <w:rsid w:val="00454A4A"/>
    <w:rsid w:val="004631A2"/>
    <w:rsid w:val="004A1CBA"/>
    <w:rsid w:val="004A3E2F"/>
    <w:rsid w:val="004A7A48"/>
    <w:rsid w:val="004C4ADA"/>
    <w:rsid w:val="004D3A86"/>
    <w:rsid w:val="004E6864"/>
    <w:rsid w:val="004F082A"/>
    <w:rsid w:val="004F58C1"/>
    <w:rsid w:val="00507625"/>
    <w:rsid w:val="005146D0"/>
    <w:rsid w:val="005203B1"/>
    <w:rsid w:val="005226E8"/>
    <w:rsid w:val="005318DF"/>
    <w:rsid w:val="0053336C"/>
    <w:rsid w:val="0054117D"/>
    <w:rsid w:val="005458EA"/>
    <w:rsid w:val="00545B32"/>
    <w:rsid w:val="00547C57"/>
    <w:rsid w:val="005623CE"/>
    <w:rsid w:val="0056426E"/>
    <w:rsid w:val="005666CC"/>
    <w:rsid w:val="00580C2D"/>
    <w:rsid w:val="00584C02"/>
    <w:rsid w:val="00590EE0"/>
    <w:rsid w:val="005B05F3"/>
    <w:rsid w:val="005C19F9"/>
    <w:rsid w:val="005D5639"/>
    <w:rsid w:val="005D606F"/>
    <w:rsid w:val="005F4270"/>
    <w:rsid w:val="005F44F2"/>
    <w:rsid w:val="00610F34"/>
    <w:rsid w:val="006323AC"/>
    <w:rsid w:val="00653DB2"/>
    <w:rsid w:val="006622C8"/>
    <w:rsid w:val="00663269"/>
    <w:rsid w:val="006639F4"/>
    <w:rsid w:val="006913E9"/>
    <w:rsid w:val="00692393"/>
    <w:rsid w:val="00696B0F"/>
    <w:rsid w:val="006A081D"/>
    <w:rsid w:val="006D32CF"/>
    <w:rsid w:val="00710839"/>
    <w:rsid w:val="007131B6"/>
    <w:rsid w:val="00714490"/>
    <w:rsid w:val="007159D6"/>
    <w:rsid w:val="00720949"/>
    <w:rsid w:val="00723840"/>
    <w:rsid w:val="007336DF"/>
    <w:rsid w:val="00733EDC"/>
    <w:rsid w:val="00736A96"/>
    <w:rsid w:val="00751493"/>
    <w:rsid w:val="00761E72"/>
    <w:rsid w:val="007621DD"/>
    <w:rsid w:val="00777D5E"/>
    <w:rsid w:val="00792F8B"/>
    <w:rsid w:val="007D3F94"/>
    <w:rsid w:val="007D71DF"/>
    <w:rsid w:val="007E0FB1"/>
    <w:rsid w:val="007E6A49"/>
    <w:rsid w:val="00811A3E"/>
    <w:rsid w:val="00813C5B"/>
    <w:rsid w:val="008361DF"/>
    <w:rsid w:val="00844578"/>
    <w:rsid w:val="00865AC6"/>
    <w:rsid w:val="008742FC"/>
    <w:rsid w:val="00894FDF"/>
    <w:rsid w:val="008F1249"/>
    <w:rsid w:val="008F7BEB"/>
    <w:rsid w:val="00913B24"/>
    <w:rsid w:val="00917983"/>
    <w:rsid w:val="00920C76"/>
    <w:rsid w:val="009424CB"/>
    <w:rsid w:val="00944D2B"/>
    <w:rsid w:val="0096616C"/>
    <w:rsid w:val="009740EF"/>
    <w:rsid w:val="00986811"/>
    <w:rsid w:val="00987CB0"/>
    <w:rsid w:val="009C0E46"/>
    <w:rsid w:val="009F70E6"/>
    <w:rsid w:val="00A05007"/>
    <w:rsid w:val="00A128A0"/>
    <w:rsid w:val="00A12F43"/>
    <w:rsid w:val="00A221F2"/>
    <w:rsid w:val="00A37154"/>
    <w:rsid w:val="00A508DC"/>
    <w:rsid w:val="00A54A21"/>
    <w:rsid w:val="00A902CF"/>
    <w:rsid w:val="00A92DB2"/>
    <w:rsid w:val="00A95BD4"/>
    <w:rsid w:val="00AA00D6"/>
    <w:rsid w:val="00AB0EB8"/>
    <w:rsid w:val="00AC17A8"/>
    <w:rsid w:val="00AC37DB"/>
    <w:rsid w:val="00B042B4"/>
    <w:rsid w:val="00B134A8"/>
    <w:rsid w:val="00B338AA"/>
    <w:rsid w:val="00B367CE"/>
    <w:rsid w:val="00B46045"/>
    <w:rsid w:val="00B46F8E"/>
    <w:rsid w:val="00B95336"/>
    <w:rsid w:val="00BA3A78"/>
    <w:rsid w:val="00BA7D50"/>
    <w:rsid w:val="00BE47C1"/>
    <w:rsid w:val="00C02FA0"/>
    <w:rsid w:val="00C03889"/>
    <w:rsid w:val="00C07745"/>
    <w:rsid w:val="00C15F82"/>
    <w:rsid w:val="00C24827"/>
    <w:rsid w:val="00C26A58"/>
    <w:rsid w:val="00C27D89"/>
    <w:rsid w:val="00C30B6E"/>
    <w:rsid w:val="00C3638E"/>
    <w:rsid w:val="00C4748F"/>
    <w:rsid w:val="00C72FF9"/>
    <w:rsid w:val="00C87E77"/>
    <w:rsid w:val="00C90850"/>
    <w:rsid w:val="00C95065"/>
    <w:rsid w:val="00CA673F"/>
    <w:rsid w:val="00CC5F55"/>
    <w:rsid w:val="00CD3C40"/>
    <w:rsid w:val="00D0253B"/>
    <w:rsid w:val="00D04E6A"/>
    <w:rsid w:val="00D06375"/>
    <w:rsid w:val="00D253DE"/>
    <w:rsid w:val="00D301A9"/>
    <w:rsid w:val="00D3440E"/>
    <w:rsid w:val="00D36E5D"/>
    <w:rsid w:val="00D52E26"/>
    <w:rsid w:val="00D6081B"/>
    <w:rsid w:val="00D62611"/>
    <w:rsid w:val="00D66734"/>
    <w:rsid w:val="00D67153"/>
    <w:rsid w:val="00D700E8"/>
    <w:rsid w:val="00D71CEF"/>
    <w:rsid w:val="00D868A2"/>
    <w:rsid w:val="00DA26A2"/>
    <w:rsid w:val="00DA40B2"/>
    <w:rsid w:val="00DA4DBF"/>
    <w:rsid w:val="00DB11B6"/>
    <w:rsid w:val="00DC1482"/>
    <w:rsid w:val="00DE5DB4"/>
    <w:rsid w:val="00DE6228"/>
    <w:rsid w:val="00E125FC"/>
    <w:rsid w:val="00E1339D"/>
    <w:rsid w:val="00E30038"/>
    <w:rsid w:val="00E4157B"/>
    <w:rsid w:val="00E44176"/>
    <w:rsid w:val="00E60F4E"/>
    <w:rsid w:val="00E62678"/>
    <w:rsid w:val="00E63AD7"/>
    <w:rsid w:val="00E70ECC"/>
    <w:rsid w:val="00EA3F84"/>
    <w:rsid w:val="00ED612A"/>
    <w:rsid w:val="00EE54B7"/>
    <w:rsid w:val="00EF556B"/>
    <w:rsid w:val="00F02618"/>
    <w:rsid w:val="00F07B0B"/>
    <w:rsid w:val="00F34FEE"/>
    <w:rsid w:val="00F400BD"/>
    <w:rsid w:val="00F40265"/>
    <w:rsid w:val="00F5148E"/>
    <w:rsid w:val="00F71623"/>
    <w:rsid w:val="00F724C3"/>
    <w:rsid w:val="00F7412F"/>
    <w:rsid w:val="00FB335B"/>
    <w:rsid w:val="00FB621B"/>
    <w:rsid w:val="00FC1303"/>
    <w:rsid w:val="00FC1F6C"/>
    <w:rsid w:val="00FC7782"/>
    <w:rsid w:val="00FD3A24"/>
    <w:rsid w:val="00FE1F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ED3C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265"/>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4026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4026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4026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4026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4026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4026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4026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A4DB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4026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4026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40265"/>
    <w:rPr>
      <w:rFonts w:ascii="Palatino Linotype" w:hAnsi="Palatino Linotype"/>
      <w:noProof/>
      <w:color w:val="000000"/>
      <w:szCs w:val="18"/>
    </w:rPr>
  </w:style>
  <w:style w:type="paragraph" w:customStyle="1" w:styleId="MDPI32textnoindent">
    <w:name w:val="MDPI_3.2_text_no_indent"/>
    <w:basedOn w:val="MDPI31text"/>
    <w:qFormat/>
    <w:rsid w:val="00F40265"/>
    <w:pPr>
      <w:ind w:firstLine="0"/>
    </w:pPr>
  </w:style>
  <w:style w:type="paragraph" w:customStyle="1" w:styleId="MDPI31text">
    <w:name w:val="MDPI_3.1_text"/>
    <w:qFormat/>
    <w:rsid w:val="00C72FF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4026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4026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4026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E5DB4"/>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E5DB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4026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4026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4026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2C608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4026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4026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4026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40265"/>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40265"/>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40265"/>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90EE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40265"/>
    <w:rPr>
      <w:rFonts w:cs="Tahoma"/>
      <w:szCs w:val="18"/>
    </w:rPr>
  </w:style>
  <w:style w:type="character" w:customStyle="1" w:styleId="BalloonTextChar">
    <w:name w:val="Balloon Text Char"/>
    <w:link w:val="BalloonText"/>
    <w:uiPriority w:val="99"/>
    <w:rsid w:val="00F40265"/>
    <w:rPr>
      <w:rFonts w:ascii="Palatino Linotype" w:hAnsi="Palatino Linotype" w:cs="Tahoma"/>
      <w:noProof/>
      <w:color w:val="000000"/>
      <w:szCs w:val="18"/>
    </w:rPr>
  </w:style>
  <w:style w:type="character" w:styleId="LineNumber">
    <w:name w:val="line number"/>
    <w:uiPriority w:val="99"/>
    <w:rsid w:val="00D66734"/>
    <w:rPr>
      <w:rFonts w:ascii="Palatino Linotype" w:hAnsi="Palatino Linotype"/>
      <w:sz w:val="16"/>
    </w:rPr>
  </w:style>
  <w:style w:type="table" w:customStyle="1" w:styleId="MDPI41threelinetable">
    <w:name w:val="MDPI_4.1_three_line_table"/>
    <w:basedOn w:val="TableNormal"/>
    <w:uiPriority w:val="99"/>
    <w:rsid w:val="00F4026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40265"/>
    <w:rPr>
      <w:color w:val="0000FF"/>
      <w:u w:val="single"/>
    </w:rPr>
  </w:style>
  <w:style w:type="character" w:styleId="UnresolvedMention">
    <w:name w:val="Unresolved Mention"/>
    <w:uiPriority w:val="99"/>
    <w:semiHidden/>
    <w:unhideWhenUsed/>
    <w:rsid w:val="00777D5E"/>
    <w:rPr>
      <w:color w:val="605E5C"/>
      <w:shd w:val="clear" w:color="auto" w:fill="E1DFDD"/>
    </w:rPr>
  </w:style>
  <w:style w:type="paragraph" w:styleId="Footer">
    <w:name w:val="footer"/>
    <w:basedOn w:val="Normal"/>
    <w:link w:val="FooterChar"/>
    <w:uiPriority w:val="99"/>
    <w:rsid w:val="00F4026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40265"/>
    <w:rPr>
      <w:rFonts w:ascii="Palatino Linotype" w:hAnsi="Palatino Linotype"/>
      <w:noProof/>
      <w:color w:val="000000"/>
      <w:szCs w:val="18"/>
    </w:rPr>
  </w:style>
  <w:style w:type="table" w:styleId="PlainTable4">
    <w:name w:val="Plain Table 4"/>
    <w:basedOn w:val="TableNormal"/>
    <w:uiPriority w:val="44"/>
    <w:rsid w:val="00A95BD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4026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4026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4026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4026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4026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461C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4026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4026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5148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4026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40265"/>
  </w:style>
  <w:style w:type="paragraph" w:styleId="Bibliography">
    <w:name w:val="Bibliography"/>
    <w:basedOn w:val="Normal"/>
    <w:next w:val="Normal"/>
    <w:uiPriority w:val="37"/>
    <w:semiHidden/>
    <w:unhideWhenUsed/>
    <w:rsid w:val="00F40265"/>
  </w:style>
  <w:style w:type="paragraph" w:styleId="BodyText">
    <w:name w:val="Body Text"/>
    <w:link w:val="BodyTextChar"/>
    <w:rsid w:val="00F4026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40265"/>
    <w:rPr>
      <w:rFonts w:ascii="Palatino Linotype" w:hAnsi="Palatino Linotype"/>
      <w:color w:val="000000"/>
      <w:sz w:val="24"/>
      <w:lang w:eastAsia="de-DE"/>
    </w:rPr>
  </w:style>
  <w:style w:type="character" w:styleId="CommentReference">
    <w:name w:val="annotation reference"/>
    <w:rsid w:val="00F40265"/>
    <w:rPr>
      <w:sz w:val="21"/>
      <w:szCs w:val="21"/>
    </w:rPr>
  </w:style>
  <w:style w:type="paragraph" w:styleId="CommentText">
    <w:name w:val="annotation text"/>
    <w:basedOn w:val="Normal"/>
    <w:link w:val="CommentTextChar"/>
    <w:rsid w:val="00F40265"/>
  </w:style>
  <w:style w:type="character" w:customStyle="1" w:styleId="CommentTextChar">
    <w:name w:val="Comment Text Char"/>
    <w:link w:val="CommentText"/>
    <w:rsid w:val="00F40265"/>
    <w:rPr>
      <w:rFonts w:ascii="Palatino Linotype" w:hAnsi="Palatino Linotype"/>
      <w:noProof/>
      <w:color w:val="000000"/>
    </w:rPr>
  </w:style>
  <w:style w:type="paragraph" w:styleId="CommentSubject">
    <w:name w:val="annotation subject"/>
    <w:basedOn w:val="CommentText"/>
    <w:next w:val="CommentText"/>
    <w:link w:val="CommentSubjectChar"/>
    <w:rsid w:val="00F40265"/>
    <w:rPr>
      <w:b/>
      <w:bCs/>
    </w:rPr>
  </w:style>
  <w:style w:type="character" w:customStyle="1" w:styleId="CommentSubjectChar">
    <w:name w:val="Comment Subject Char"/>
    <w:link w:val="CommentSubject"/>
    <w:rsid w:val="00F40265"/>
    <w:rPr>
      <w:rFonts w:ascii="Palatino Linotype" w:hAnsi="Palatino Linotype"/>
      <w:b/>
      <w:bCs/>
      <w:noProof/>
      <w:color w:val="000000"/>
    </w:rPr>
  </w:style>
  <w:style w:type="character" w:styleId="EndnoteReference">
    <w:name w:val="endnote reference"/>
    <w:rsid w:val="00F40265"/>
    <w:rPr>
      <w:vertAlign w:val="superscript"/>
    </w:rPr>
  </w:style>
  <w:style w:type="paragraph" w:styleId="EndnoteText">
    <w:name w:val="endnote text"/>
    <w:basedOn w:val="Normal"/>
    <w:link w:val="EndnoteTextChar"/>
    <w:semiHidden/>
    <w:unhideWhenUsed/>
    <w:rsid w:val="00F40265"/>
    <w:pPr>
      <w:spacing w:line="240" w:lineRule="auto"/>
    </w:pPr>
  </w:style>
  <w:style w:type="character" w:customStyle="1" w:styleId="EndnoteTextChar">
    <w:name w:val="Endnote Text Char"/>
    <w:link w:val="EndnoteText"/>
    <w:semiHidden/>
    <w:rsid w:val="00F40265"/>
    <w:rPr>
      <w:rFonts w:ascii="Palatino Linotype" w:hAnsi="Palatino Linotype"/>
      <w:noProof/>
      <w:color w:val="000000"/>
    </w:rPr>
  </w:style>
  <w:style w:type="character" w:styleId="FollowedHyperlink">
    <w:name w:val="FollowedHyperlink"/>
    <w:rsid w:val="00F40265"/>
    <w:rPr>
      <w:color w:val="954F72"/>
      <w:u w:val="single"/>
    </w:rPr>
  </w:style>
  <w:style w:type="paragraph" w:styleId="FootnoteText">
    <w:name w:val="footnote text"/>
    <w:basedOn w:val="Normal"/>
    <w:link w:val="FootnoteTextChar"/>
    <w:semiHidden/>
    <w:unhideWhenUsed/>
    <w:rsid w:val="00F40265"/>
    <w:pPr>
      <w:spacing w:line="240" w:lineRule="auto"/>
    </w:pPr>
  </w:style>
  <w:style w:type="character" w:customStyle="1" w:styleId="FootnoteTextChar">
    <w:name w:val="Footnote Text Char"/>
    <w:link w:val="FootnoteText"/>
    <w:semiHidden/>
    <w:rsid w:val="00F40265"/>
    <w:rPr>
      <w:rFonts w:ascii="Palatino Linotype" w:hAnsi="Palatino Linotype"/>
      <w:noProof/>
      <w:color w:val="000000"/>
    </w:rPr>
  </w:style>
  <w:style w:type="paragraph" w:styleId="NormalWeb">
    <w:name w:val="Normal (Web)"/>
    <w:basedOn w:val="Normal"/>
    <w:uiPriority w:val="99"/>
    <w:rsid w:val="00F40265"/>
    <w:rPr>
      <w:szCs w:val="24"/>
    </w:rPr>
  </w:style>
  <w:style w:type="paragraph" w:customStyle="1" w:styleId="MsoFootnoteText0">
    <w:name w:val="MsoFootnoteText"/>
    <w:basedOn w:val="NormalWeb"/>
    <w:qFormat/>
    <w:rsid w:val="00F40265"/>
    <w:rPr>
      <w:rFonts w:ascii="Times New Roman" w:hAnsi="Times New Roman"/>
    </w:rPr>
  </w:style>
  <w:style w:type="character" w:styleId="PageNumber">
    <w:name w:val="page number"/>
    <w:rsid w:val="00F40265"/>
  </w:style>
  <w:style w:type="character" w:styleId="PlaceholderText">
    <w:name w:val="Placeholder Text"/>
    <w:uiPriority w:val="99"/>
    <w:semiHidden/>
    <w:rsid w:val="00F40265"/>
    <w:rPr>
      <w:color w:val="808080"/>
    </w:rPr>
  </w:style>
  <w:style w:type="paragraph" w:customStyle="1" w:styleId="MDPI71footnotes">
    <w:name w:val="MDPI_7.1_footnotes"/>
    <w:qFormat/>
    <w:rsid w:val="00A05007"/>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10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oter" Target="footer1.xml"/><Relationship Id="rIdFig1" Type="http://schemas.openxmlformats.org/officeDocument/2006/relationships/image" Target="media/figur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behavsci-template.dot</Template>
  <TotalTime>0</TotalTime>
  <Pages>2</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Ashit Kumar Dutta</dc:creator>
  <cp:keywords/>
  <dc:description/>
  <cp:lastModifiedBy>Ashit Kumar Dutta</cp:lastModifiedBy>
  <cp:revision>2</cp:revision>
  <dcterms:created xsi:type="dcterms:W3CDTF">2025-12-08T09:19:00Z</dcterms:created>
  <dcterms:modified xsi:type="dcterms:W3CDTF">2025-12-08T09:19:00Z</dcterms:modified>
  <dc:title>Assisted Performance or Unaided Learning? A Systematic Review of Speech and Braille Technologies for School-Age Learners with Disabilities</dc:title>
</cp:coreProperties>
</file>