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pPr>
      <w:r>
        <w:rPr>
          <w:rFonts w:ascii="Arial" w:cs="Arial" w:eastAsia="Arial" w:hAnsi="Arial"/>
          <w:b/>
          <w:bCs/>
          <w:color w:val="1F3864"/>
          <w:sz w:val="30"/>
          <w:szCs w:val="30"/>
        </w:rPr>
        <w:t xml:space="preserve">Supplementary File 2</w:t>
      </w:r>
    </w:p>
    <w:p>
      <w:pPr>
        <w:spacing w:after="120" w:before="0" w:line="276"/>
      </w:pPr>
      <w:r>
        <w:rPr>
          <w:rFonts w:ascii="Arial" w:cs="Arial" w:eastAsia="Arial" w:hAnsi="Arial"/>
          <w:b/>
          <w:bCs/>
          <w:sz w:val="26"/>
          <w:szCs w:val="26"/>
        </w:rPr>
        <w:t xml:space="preserve">Consolidated Criteria for Reporting Qualitative Research (COREQ) Checklist</w:t>
      </w:r>
    </w:p>
    <w:p>
      <w:pPr>
        <w:spacing w:after="160" w:before="0" w:line="276"/>
      </w:pPr>
      <w:r>
        <w:rPr>
          <w:rFonts w:ascii="Arial" w:cs="Arial" w:eastAsia="Arial" w:hAnsi="Arial"/>
          <w:i/>
          <w:iCs/>
          <w:sz w:val="21"/>
          <w:szCs w:val="21"/>
        </w:rPr>
        <w:t xml:space="preserve">Confidential Needs, Visible Assignments: Nurse Managers’ Judgements About Privacy and Fairness in Health-Related Workplace Adjustments—An Interpretive Description</w:t>
      </w:r>
    </w:p>
    <w:p>
      <w:pPr>
        <w:spacing w:after="120" w:before="0" w:line="276"/>
      </w:pPr>
      <w:r>
        <w:rPr>
          <w:rFonts w:ascii="Arial" w:cs="Arial" w:eastAsia="Arial" w:hAnsi="Arial"/>
          <w:sz w:val="21"/>
          <w:szCs w:val="21"/>
        </w:rPr>
        <w:t xml:space="preserve">This checklist follows the 32-item COREQ framework (Tong et al., 2007). The “Reported in” column refers to manuscript sections (4.x = Methods; 5.x = Findings), tables and supplementary files (SF). Section references are used instead of page numbers so the checklist stays accurate after typesetting.</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00"/>
        <w:gridCol w:w="1500"/>
        <w:gridCol w:w="6400"/>
      </w:tblGrid>
      <w:tr>
        <w:trPr>
          <w:cantSplit/>
          <w:tblHeader/>
        </w:trPr>
        <w:tc>
          <w:tcPr>
            <w:tcW w:type="dxa" w:w="600"/>
            <w:tcBorders>
              <w:top w:val="single" w:color="8EA3C2" w:sz="4"/>
              <w:left w:val="single" w:color="8EA3C2" w:sz="4"/>
              <w:bottom w:val="single" w:color="8EA3C2" w:sz="4"/>
              <w:right w:val="single" w:color="8EA3C2" w:sz="4"/>
            </w:tcBorders>
            <w:shd w:fill="D9E2F3"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No.</w:t>
            </w:r>
          </w:p>
        </w:tc>
        <w:tc>
          <w:tcPr>
            <w:tcW w:type="dxa" w:w="2000"/>
            <w:tcBorders>
              <w:top w:val="single" w:color="8EA3C2" w:sz="4"/>
              <w:left w:val="single" w:color="8EA3C2" w:sz="4"/>
              <w:bottom w:val="single" w:color="8EA3C2" w:sz="4"/>
              <w:right w:val="single" w:color="8EA3C2" w:sz="4"/>
            </w:tcBorders>
            <w:shd w:fill="D9E2F3"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Item</w:t>
            </w:r>
          </w:p>
        </w:tc>
        <w:tc>
          <w:tcPr>
            <w:tcW w:type="dxa" w:w="3300"/>
            <w:tcBorders>
              <w:top w:val="single" w:color="8EA3C2" w:sz="4"/>
              <w:left w:val="single" w:color="8EA3C2" w:sz="4"/>
              <w:bottom w:val="single" w:color="8EA3C2" w:sz="4"/>
              <w:right w:val="single" w:color="8EA3C2" w:sz="4"/>
            </w:tcBorders>
            <w:shd w:fill="D9E2F3"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Guide question</w:t>
            </w:r>
          </w:p>
        </w:tc>
        <w:tc>
          <w:tcPr>
            <w:tcW w:type="dxa" w:w="1500"/>
            <w:tcBorders>
              <w:top w:val="single" w:color="8EA3C2" w:sz="4"/>
              <w:left w:val="single" w:color="8EA3C2" w:sz="4"/>
              <w:bottom w:val="single" w:color="8EA3C2" w:sz="4"/>
              <w:right w:val="single" w:color="8EA3C2" w:sz="4"/>
            </w:tcBorders>
            <w:shd w:fill="D9E2F3"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Reported in</w:t>
            </w:r>
          </w:p>
        </w:tc>
        <w:tc>
          <w:tcPr>
            <w:tcW w:type="dxa" w:w="6400"/>
            <w:tcBorders>
              <w:top w:val="single" w:color="8EA3C2" w:sz="4"/>
              <w:left w:val="single" w:color="8EA3C2" w:sz="4"/>
              <w:bottom w:val="single" w:color="8EA3C2" w:sz="4"/>
              <w:right w:val="single" w:color="8EA3C2" w:sz="4"/>
            </w:tcBorders>
            <w:shd w:fill="D9E2F3"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How the item is addressed</w:t>
            </w:r>
          </w:p>
        </w:tc>
      </w:tr>
      <w:tr>
        <w:trPr>
          <w:cantSplit/>
        </w:trPr>
        <w:tc>
          <w:tcPr>
            <w:tcW w:type="dxa" w:w="13800"/>
            <w:gridSpan w:val="5"/>
            <w:tcBorders>
              <w:top w:val="single" w:color="8EA3C2" w:sz="4"/>
              <w:left w:val="single" w:color="8EA3C2" w:sz="4"/>
              <w:bottom w:val="single" w:color="8EA3C2" w:sz="4"/>
              <w:right w:val="single" w:color="8EA3C2" w:sz="4"/>
            </w:tcBorders>
            <w:shd w:fill="F2F2F2"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Domain 1: Research team and reflexivity — Personal characteristics</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1</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Interviewer/facilitator</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Which author/s conducted the interview or focus group?</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4.5</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Two members of the research team conducted all 27 interviews (one female, n = 17; one male, n = 10). Their identities appear on the title page to preserve blind review.</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2</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Credentials</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What were the researcher’s credentials?</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4.5; 4.8</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Both interviewers were doctorally prepared registered nurses. The team comprised nursing academics holding PhD or MSN qualifications.</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3</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Occupation</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What was their occupation at the time of the study?</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4.8</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Nursing academics with expertise in nursing administration, qualitative methodology, clinical nursing management and occupational health nursing.</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Gender</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Was the researcher male or female?</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4.5</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One female and one male interviewer. Participants could request an interviewer of a particular gender (six did so).</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5</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Experience and training</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What experience or training did the researcher have?</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4.5</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Both interviewers were bilingual (Arabic–English) and experienced in qualitative interviewing.</w:t>
            </w:r>
          </w:p>
        </w:tc>
      </w:tr>
      <w:tr>
        <w:trPr>
          <w:cantSplit/>
        </w:trPr>
        <w:tc>
          <w:tcPr>
            <w:tcW w:type="dxa" w:w="13800"/>
            <w:gridSpan w:val="5"/>
            <w:tcBorders>
              <w:top w:val="single" w:color="8EA3C2" w:sz="4"/>
              <w:left w:val="single" w:color="8EA3C2" w:sz="4"/>
              <w:bottom w:val="single" w:color="8EA3C2" w:sz="4"/>
              <w:right w:val="single" w:color="8EA3C2" w:sz="4"/>
            </w:tcBorders>
            <w:shd w:fill="F2F2F2"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Domain 1: Research team and reflexivity — Relationship with participants</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6</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Relationship established</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Was a relationship established prior to study commencement?</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4.5; 4.8</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One interviewer knew four managers through earlier regional continuing-education activities, with no supervisory, evaluative or employment relationship. The other interviewer interviewed these four. No researcher held authority over participants or worked at the study sites.</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7</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Participant knowledge of the interviewer</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What did the participants know about the researcher? e.g. personal goals, reasons for doing the research</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4.4; 4.8; SF1 Section B</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Participants received bilingual information sheets describing the study aim and the researchers’ academic roles. Interviews were framed as research conversations, not assessments of managerial performance.</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8</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Interviewer characteristics</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What characteristics were reported about the interviewer/facilitator? e.g. bias, assumptions, reasons and interests in the research topic</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4.8</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Prior understandings were documented before data collection. Possible assumptions about confidentiality and fair allocation are reported, with a documented example of reflexive influence on the analysis.</w:t>
            </w:r>
          </w:p>
        </w:tc>
      </w:tr>
      <w:tr>
        <w:trPr>
          <w:cantSplit/>
        </w:trPr>
        <w:tc>
          <w:tcPr>
            <w:tcW w:type="dxa" w:w="13800"/>
            <w:gridSpan w:val="5"/>
            <w:tcBorders>
              <w:top w:val="single" w:color="8EA3C2" w:sz="4"/>
              <w:left w:val="single" w:color="8EA3C2" w:sz="4"/>
              <w:bottom w:val="single" w:color="8EA3C2" w:sz="4"/>
              <w:right w:val="single" w:color="8EA3C2" w:sz="4"/>
            </w:tcBorders>
            <w:shd w:fill="F2F2F2"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Domain 2: Study design — Theoretical framework</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9</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Methodological orientation and theory</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What methodological orientation was stated to underpin the study?</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4.1</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Interpretive Description (Thorne, 2025) within a naturalistic, constructivist orientation. Sensitising concepts: organisational justice, and the distinction between privacy and confidentiality.</w:t>
            </w:r>
          </w:p>
        </w:tc>
      </w:tr>
      <w:tr>
        <w:trPr>
          <w:cantSplit/>
        </w:trPr>
        <w:tc>
          <w:tcPr>
            <w:tcW w:type="dxa" w:w="13800"/>
            <w:gridSpan w:val="5"/>
            <w:tcBorders>
              <w:top w:val="single" w:color="8EA3C2" w:sz="4"/>
              <w:left w:val="single" w:color="8EA3C2" w:sz="4"/>
              <w:bottom w:val="single" w:color="8EA3C2" w:sz="4"/>
              <w:right w:val="single" w:color="8EA3C2" w:sz="4"/>
            </w:tcBorders>
            <w:shd w:fill="F2F2F2"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Domain 2: Study design — Participant selection</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10</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Sampling</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How were participants selected?</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4.3</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Purposive maximum variation sampling (Patton, 2015). From the ninth interview onwards, recruitment was guided by the developing analysis to seek contrasting accounts.</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11</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Method of approach</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How were participants approached?</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4.4</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Nursing directorates emailed bilingual invitations. Interested managers contacted the research team directly, and gatekeepers were not told who took part.</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12</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Sample size</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How many participants were in the study?</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4.3; Table 1</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27 nurse managers from five hospitals (5–6 per hospital).</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13</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Non-participation</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How many people refused to participate or dropped out? Reasons?</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4.4</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34 expressed interest: 3 were ineligible (no recent adjustment experience), 2 declined (workload) and 2 were not interviewed because recruitment had closed. No participant withdrew.</w:t>
            </w:r>
          </w:p>
        </w:tc>
      </w:tr>
      <w:tr>
        <w:trPr>
          <w:cantSplit/>
        </w:trPr>
        <w:tc>
          <w:tcPr>
            <w:tcW w:type="dxa" w:w="13800"/>
            <w:gridSpan w:val="5"/>
            <w:tcBorders>
              <w:top w:val="single" w:color="8EA3C2" w:sz="4"/>
              <w:left w:val="single" w:color="8EA3C2" w:sz="4"/>
              <w:bottom w:val="single" w:color="8EA3C2" w:sz="4"/>
              <w:right w:val="single" w:color="8EA3C2" w:sz="4"/>
            </w:tcBorders>
            <w:shd w:fill="F2F2F2"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Domain 2: Study design — Setting</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14</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Setting of data collection</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Where was the data collected?</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4.2; 4.5</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Five public hospitals in the Jouf region. 22 interviews took place in private rooms away from clinical areas and 5 by secure video call.</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15</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Presence of non-participants</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Was anyone else present besides the participants and researchers?</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4.5</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No. Only the participant and interviewer were present.</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16</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Description of sample</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What are the important characteristics of the sample?</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Table 1</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Hospital, management role, clinical area, gender, nationality, and years of nursing and management experience (reported in aggregate).</w:t>
            </w:r>
          </w:p>
        </w:tc>
      </w:tr>
      <w:tr>
        <w:trPr>
          <w:cantSplit/>
        </w:trPr>
        <w:tc>
          <w:tcPr>
            <w:tcW w:type="dxa" w:w="13800"/>
            <w:gridSpan w:val="5"/>
            <w:tcBorders>
              <w:top w:val="single" w:color="8EA3C2" w:sz="4"/>
              <w:left w:val="single" w:color="8EA3C2" w:sz="4"/>
              <w:bottom w:val="single" w:color="8EA3C2" w:sz="4"/>
              <w:right w:val="single" w:color="8EA3C2" w:sz="4"/>
            </w:tcBorders>
            <w:shd w:fill="F2F2F2"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Domain 2: Study design — Data collection</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17</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Interview guide</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Were questions, prompts, guides provided by the authors? Was it pilot tested?</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4.5; SF1</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Yes. The full guide, its revisions and the Arabic version are in Supplementary File 1. It was reviewed by two external experts and piloted with two managers (pilot interviews excluded from analysis).</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18</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Repeat interviews</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Were repeat interviews carried out? If yes, how many?</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4.5</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No. Each participant was interviewed once.</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19</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Audio/visual recording</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Did the research use audio or visual recording to collect the data?</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4.5</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Audio-recorded with consent.</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20</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Field notes</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Were field notes made during and/or after the interview or focus group?</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4.5</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Yes, written within one hour after each interview.</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21</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Duration</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What was the duration of the interviews or focus group?</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4.5</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45–92 minutes (mean 63 minutes).</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22</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Data saturation</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Was data saturation discussed?</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4.3</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Analytic sufficiency, rather than saturation, guided the end of recruitment (Thorne, 2025; Braun &amp; Clarke, 2021). The criteria and the team’s decision after the 27th interview are reported.</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23</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Transcripts returned</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Were transcripts returned to participants for comment and/or correction?</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4.5; 4.8</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No. Participant validation focused on the interpretation, through member reflection.</w:t>
            </w:r>
          </w:p>
        </w:tc>
      </w:tr>
      <w:tr>
        <w:trPr>
          <w:cantSplit/>
        </w:trPr>
        <w:tc>
          <w:tcPr>
            <w:tcW w:type="dxa" w:w="13800"/>
            <w:gridSpan w:val="5"/>
            <w:tcBorders>
              <w:top w:val="single" w:color="8EA3C2" w:sz="4"/>
              <w:left w:val="single" w:color="8EA3C2" w:sz="4"/>
              <w:bottom w:val="single" w:color="8EA3C2" w:sz="4"/>
              <w:right w:val="single" w:color="8EA3C2" w:sz="4"/>
            </w:tcBorders>
            <w:shd w:fill="F2F2F2"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Domain 3: Analysis and findings — Data analysis</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24</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Number of data coders</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How many data coders coded the data?</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4.7</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Two researchers independently coded the first five transcripts. The lead analyst coded the rest, with a second researcher reviewing every fourth transcript. All four researchers took part in analytic meetings.</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25</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Description of the coding tree</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Did authors provide a description of the coding tree?</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Table 2; 5.1</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Four themes and eleven subthemes, with the number of supporting participants and hospitals for each.</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26</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Derivation of themes</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Were themes identified in advance or derived from the data?</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4.1; 4.7</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Derived inductively from the data. Sensitising concepts were held provisionally and did not determine codes or themes.</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27</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Software</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What software, if applicable, was used to manage the data?</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4.6</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NVivo 14.</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28</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Participant checking</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Did participants provide feedback on the findings?</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4.8</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Yes. Ten of the 20 participants who agreed to recontact were purposively selected and sent a summary; nine responded. Their feedback informed refinement of subthemes 2.3 and 3.3.</w:t>
            </w:r>
          </w:p>
        </w:tc>
      </w:tr>
      <w:tr>
        <w:trPr>
          <w:cantSplit/>
        </w:trPr>
        <w:tc>
          <w:tcPr>
            <w:tcW w:type="dxa" w:w="13800"/>
            <w:gridSpan w:val="5"/>
            <w:tcBorders>
              <w:top w:val="single" w:color="8EA3C2" w:sz="4"/>
              <w:left w:val="single" w:color="8EA3C2" w:sz="4"/>
              <w:bottom w:val="single" w:color="8EA3C2" w:sz="4"/>
              <w:right w:val="single" w:color="8EA3C2" w:sz="4"/>
            </w:tcBorders>
            <w:shd w:fill="F2F2F2" w:color="auto" w:val="clear"/>
            <w:tcMar>
              <w:top w:type="dxa" w:w="70"/>
              <w:left w:type="dxa" w:w="100"/>
              <w:bottom w:type="dxa" w:w="70"/>
              <w:right w:type="dxa" w:w="100"/>
            </w:tcMar>
            <w:vAlign w:val="top"/>
          </w:tcPr>
          <w:p>
            <w:pPr>
              <w:spacing w:after="40" w:line="260"/>
            </w:pPr>
            <w:r>
              <w:rPr>
                <w:rFonts w:ascii="Arial" w:cs="Arial" w:eastAsia="Arial" w:hAnsi="Arial"/>
                <w:b/>
                <w:bCs/>
                <w:sz w:val="19"/>
                <w:szCs w:val="19"/>
              </w:rPr>
              <w:t xml:space="preserve">Domain 3: Analysis and findings — Reporting</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29</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Quotations presented</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Were participant quotations presented to illustrate the themes/findings? Was each quotation identified?</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5.2–5.5</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Yes. Every subtheme has at least two quotations, and all 27 participants are quoted. Each quotation is identified by participant and hospital code only.</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30</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Data and findings consistent</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Was there consistency between the data presented and the findings?</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5.1–5.6</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Analytic claims are illustrated with quotations from several participants and hospitals. Table 2 shows how widely each subtheme is supported.</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31</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Clarity of major themes</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Were major themes clearly presented in the findings?</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5.1; Table 2</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An overarching interpretation (protecting the reason while justifying the difference) and four themes are presented and summarised in Section 5.6 and Figure 1.</w:t>
            </w:r>
          </w:p>
        </w:tc>
      </w:tr>
      <w:tr>
        <w:trPr>
          <w:cantSplit/>
          <w:tblHeader w:val="false"/>
        </w:trPr>
        <w:tc>
          <w:tcPr>
            <w:tcW w:type="dxa" w:w="6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32</w:t>
            </w:r>
          </w:p>
        </w:tc>
        <w:tc>
          <w:tcPr>
            <w:tcW w:type="dxa" w:w="20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Clarity of minor themes</w:t>
            </w:r>
          </w:p>
        </w:tc>
        <w:tc>
          <w:tcPr>
            <w:tcW w:type="dxa" w:w="33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Is there a description of diverse cases or discussion of minor themes?</w:t>
            </w:r>
          </w:p>
        </w:tc>
        <w:tc>
          <w:tcPr>
            <w:tcW w:type="dxa" w:w="15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5.2.2; 5.2.3; 5.6</w:t>
            </w:r>
          </w:p>
        </w:tc>
        <w:tc>
          <w:tcPr>
            <w:tcW w:type="dxa" w:w="6400"/>
            <w:tcBorders>
              <w:top w:val="single" w:color="8EA3C2" w:sz="4"/>
              <w:left w:val="single" w:color="8EA3C2" w:sz="4"/>
              <w:bottom w:val="single" w:color="8EA3C2" w:sz="4"/>
              <w:right w:val="single" w:color="8EA3C2" w:sz="4"/>
            </w:tcBorders>
            <w:tcMar>
              <w:top w:type="dxa" w:w="70"/>
              <w:left w:type="dxa" w:w="100"/>
              <w:bottom w:type="dxa" w:w="70"/>
              <w:right w:type="dxa" w:w="100"/>
            </w:tcMar>
            <w:vAlign w:val="top"/>
          </w:tcPr>
          <w:p>
            <w:pPr>
              <w:spacing w:after="40" w:line="260"/>
            </w:pPr>
            <w:r>
              <w:rPr>
                <w:rFonts w:ascii="Arial" w:cs="Arial" w:eastAsia="Arial" w:hAnsi="Arial"/>
                <w:b w:val="false"/>
                <w:bCs w:val="false"/>
                <w:sz w:val="19"/>
                <w:szCs w:val="19"/>
              </w:rPr>
              <w:t xml:space="preserve">Divergent accounts are reported, including consented disclosure and information that had already spread informally, together with the conditions under which the interpretation came under strain.</w:t>
            </w:r>
          </w:p>
        </w:tc>
      </w:tr>
    </w:tbl>
    <w:p>
      <w:pPr>
        <w:spacing w:after="120" w:before="160" w:line="276"/>
      </w:pPr>
      <w:r>
        <w:rPr>
          <w:rFonts w:ascii="Arial" w:cs="Arial" w:eastAsia="Arial" w:hAnsi="Arial"/>
          <w:i/>
          <w:iCs/>
          <w:sz w:val="18"/>
          <w:szCs w:val="18"/>
        </w:rPr>
        <w:t xml:space="preserve">Reference: Tong, A., Sainsbury, P., &amp; Craig, J. (2007). Consolidated criteria for reporting qualitative research (COREQ): A 32-item checklist for interviews and focus groups. International Journal for Quality in Health Care, 19(6), 349–357.</w:t>
      </w:r>
    </w:p>
    <w:sectPr>
      <w:footerReference w:type="default" r:id="rId7"/>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Supplementary File 2 – COREQ Checklist  |  Illustrative training example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right"/>
      <w:pPr>
        <w:ind w:right="540" w:hanging="270"/>
      </w:pPr>
    </w:lvl>
    <w:lvl w:ilvl="1" w15:tentative="1">
      <w:start w:val="1"/>
      <w:numFmt w:val="bullet"/>
      <w:lvlText w:val="–"/>
      <w:lvlJc w:val="right"/>
      <w:pPr>
        <w:ind w:right="10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2F5496"/>
      <w:sz w:val="24"/>
      <w:szCs w:val="24"/>
    </w:rPr>
  </w:style>
  <w:style w:type="paragraph" w:styleId="Heading3">
    <w:name w:val="Heading 3"/>
    <w:basedOn w:val="Normal"/>
    <w:next w:val="Normal"/>
    <w:qFormat/>
    <w:pPr>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File 2: COREQ Checklist</dc:title>
  <dc:creator>Research team</dc:creator>
  <cp:lastModifiedBy>Un-named</cp:lastModifiedBy>
  <cp:revision>1</cp:revision>
  <dcterms:created xsi:type="dcterms:W3CDTF">2026-10-27T07:07:51.726Z</dcterms:created>
  <dcterms:modified xsi:type="dcterms:W3CDTF">2026-10-27T07:07:51.726Z</dcterms:modified>
</cp:coreProperties>
</file>

<file path=docProps/custom.xml><?xml version="1.0" encoding="utf-8"?>
<Properties xmlns="http://schemas.openxmlformats.org/officeDocument/2006/custom-properties" xmlns:vt="http://schemas.openxmlformats.org/officeDocument/2006/docPropsVTypes"/>
</file>