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Two reference points for trust in AI-assisted early warning: A response to ‘Calibrated to what?’</w:t>
      </w:r>
    </w:p>
    <w:p>
      <w:pPr>
        <w:spacing w:after="120" w:line="360"/>
      </w:pP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Correspondence: Osama Mohamed Elsayed Ramadan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w:t>
      </w:r>
      <w:r>
        <w:rPr>
          <w:rFonts w:ascii="Times New Roman" w:cs="Times New Roman" w:eastAsia="Times New Roman" w:hAnsi="Times New Roman"/>
          <w:b w:val="false"/>
          <w:bCs w:val="false"/>
          <w:i/>
          <w:iCs/>
          <w:sz w:val="20"/>
          <w:szCs w:val="20"/>
          <w:shd w:fill="FFFF00" w:color="auto" w:val="clear"/>
        </w:rPr>
        <w:t xml:space="preserve">[Author names to be inserted by the Editorial Office]</w:t>
      </w:r>
      <w:r>
        <w:rPr>
          <w:rFonts w:ascii="Times New Roman" w:cs="Times New Roman" w:eastAsia="Times New Roman" w:hAnsi="Times New Roman"/>
          <w:b w:val="false"/>
          <w:bCs w:val="false"/>
          <w:i/>
          <w:iCs/>
          <w:sz w:val="20"/>
          <w:szCs w:val="20"/>
        </w:rPr>
        <w:t xml:space="preserve">. Calibrated to what? Feedback asymmetry and the limits of experiential trust in AI-assisted early warning. Nursing in Critical Care. In press.</w:t>
      </w:r>
    </w:p>
    <w:p>
      <w:pPr>
        <w:spacing w:after="240" w:before="0" w:line="360"/>
        <w:jc w:val="left"/>
      </w:pPr>
      <w:r>
        <w:rPr>
          <w:rFonts w:ascii="Times New Roman" w:cs="Times New Roman" w:eastAsia="Times New Roman" w:hAnsi="Times New Roman"/>
          <w:b w:val="false"/>
          <w:bCs w:val="false"/>
          <w:sz w:val="20"/>
          <w:szCs w:val="20"/>
        </w:rPr>
        <w:t xml:space="preserve">Word count: 1471 words (main text including headings; excluding title, author details, end statements and references). Title: 15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commentators for their close reading of our study,</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and for their recognition that silent override “deserves the governance attention the authors call for”.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They accept that interviews “capture well how nurses make sense of their reliance”; their concern is “one inferential step: from nurses’ accounts of trust to the claim that this trust is calibrated”.</w:t>
      </w:r>
      <w:r>
        <w:rPr>
          <w:rFonts w:ascii="Times New Roman" w:cs="Times New Roman" w:eastAsia="Times New Roman" w:hAnsi="Times New Roman"/>
          <w:b w:val="false"/>
          <w:bCs w:val="false"/>
          <w:sz w:val="24"/>
          <w:szCs w:val="24"/>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As our framework stated, automation bias theory “sensitised the study” while “remaining subordinate to the inductive, interpretive commitments” of the design.</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In Blumer’s terms, automation bias was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No interview can capture an unrecognised error, and we claimed to detect none. What participants could describe was the pull towards the aid: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Such reliance becomes bias only when the aid errs; our title refers to experiences of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and that interviews cannot establish it. We accept, however, that our statement that trust was “actively calibrated through experience” can be read as reporting an achievement rather than an activity.</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Elsewhere we framed calibration as work, trust that was “conditional, experience-dependent, and continually adjusted”, and our Limitations placed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‘Calibrating’ names work that can succeed or fail; ‘calibrated’ asserts its success. Our data speak to the first. Our phrase “correctly dismissing” an alert therefore went beyond them,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As Kahneman and Klein conclude, “subjective experience is not a reliable indicator of judgment accuracy”.</w:t>
      </w:r>
      <w:r>
        <w:rPr>
          <w:rFonts w:ascii="Times New Roman" w:cs="Times New Roman" w:eastAsia="Times New Roman" w:hAnsi="Times New Roman"/>
          <w:b w:val="false"/>
          <w:bCs w:val="false"/>
          <w:sz w:val="24"/>
          <w:szCs w:val="24"/>
          <w:vertAlign w:val="superscript"/>
        </w:rPr>
        <w:t xml:space="preserve">7</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concrete episodes and on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2</w:t>
      </w:r>
    </w:p>
    <w:p>
      <w:pPr>
        <w:spacing w:after="200" w:before="0" w:line="360"/>
        <w:jc w:val="both"/>
      </w:pPr>
      <w:r>
        <w:rPr>
          <w:rFonts w:ascii="Times New Roman" w:cs="Times New Roman" w:eastAsia="Times New Roman" w:hAnsi="Times New Roman"/>
          <w:b w:val="false"/>
          <w:bCs w:val="false"/>
          <w:sz w:val="24"/>
          <w:szCs w:val="24"/>
        </w:rPr>
        <w:t xml:space="preserve">Finally, we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1,5,6</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show, from inside critical care nursing,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It also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but did not follow that point through to how trust is learned.</w:t>
      </w:r>
    </w:p>
    <w:p>
      <w:pPr>
        <w:spacing w:after="200" w:before="0" w:line="360"/>
        <w:jc w:val="both"/>
      </w:pPr>
      <w:r>
        <w:rPr>
          <w:rFonts w:ascii="Times New Roman" w:cs="Times New Roman" w:eastAsia="Times New Roman" w:hAnsi="Times New Roman"/>
          <w:b w:val="false"/>
          <w:bCs w:val="false"/>
          <w:sz w:val="24"/>
          <w:szCs w:val="24"/>
        </w:rPr>
        <w:t xml:space="preserve">First, their reading, like ours, interprets the same accounts; as they note, the trajectory “equally fits” their reading.</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Interviews cannot settle the choice, and both readings can be tested.</w:t>
      </w:r>
    </w:p>
    <w:p>
      <w:pPr>
        <w:spacing w:after="200" w:before="0" w:line="360"/>
        <w:jc w:val="both"/>
      </w:pPr>
      <w:r>
        <w:rPr>
          <w:rFonts w:ascii="Times New Roman" w:cs="Times New Roman" w:eastAsia="Times New Roman" w:hAnsi="Times New Roman"/>
          <w:b w:val="false"/>
          <w:bCs w:val="false"/>
          <w:sz w:val="24"/>
          <w:szCs w:val="24"/>
        </w:rPr>
        <w:t xml:space="preserve">Second, participants’ experience was not of false alarms alone: they described patients who “appeared clinically worse than the score suggested” and learned “which situations it did not capture well”.</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These were, however, misses that nurses themselves caught (P09), and here the asymmetry bites. Surveillance reveals only the misses nurses detect, leaving misses shared by nurse and model unrecognised as model failures, and rare events accumulate slowly within 7 to 26 months of exposure.</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if surveillance erodes into alert-dependence, misses go not only undetected but unlearned. It also shows why surveillance alone is not enough. Participants already pooled knowledge “not in any manual” (P14) through “peer exchange”,</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but pooled experience shares the same asymmetry; the nurse-facing performance reports the commentators propose would supply the feedback that neither experience nor training alone provides.</w:t>
      </w:r>
    </w:p>
    <w:p>
      <w:pPr>
        <w:spacing w:after="200" w:before="0" w:line="360"/>
        <w:jc w:val="both"/>
      </w:pPr>
      <w:r>
        <w:rPr>
          <w:rFonts w:ascii="Times New Roman" w:cs="Times New Roman" w:eastAsia="Times New Roman" w:hAnsi="Times New Roman"/>
          <w:b w:val="false"/>
          <w:bCs w:val="false"/>
          <w:sz w:val="24"/>
          <w:szCs w:val="24"/>
        </w:rPr>
        <w:t xml:space="preserve">Third, algorithm aversion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Where escalation is required, visible false alarms may shape how nurses regard alerts more than whether they act on them: an audit log would record that escalation as acceptance, whereas the account shows compliance without trust. Conversely, an unrecorded override leaves no rationale to review against what happened next, and P16’s certainty that an alert was “not real” is the kind of confidence that, as the commentators argue, incomplete feedback can sustain.</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TWO REFERENCE POINTS: THE PATIENT AND THE SYSTEM</w:t>
      </w:r>
    </w:p>
    <w:p>
      <w:pPr>
        <w:spacing w:after="200" w:before="0" w:line="360"/>
        <w:jc w:val="both"/>
      </w:pPr>
      <w:r>
        <w:rPr>
          <w:rFonts w:ascii="Times New Roman" w:cs="Times New Roman" w:eastAsia="Times New Roman" w:hAnsi="Times New Roman"/>
          <w:b w:val="false"/>
          <w:bCs w:val="false"/>
          <w:sz w:val="24"/>
          <w:szCs w:val="24"/>
        </w:rPr>
        <w:t xml:space="preserve">For each alert, our participants’ reference was the patient in front of them (“I look at my patient”, P03),</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We accept the points on anchoring and concordant error, and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deterioration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Whether learned trust tracks the system’s reliability can be known only against a second reference: local performance data that include missed events and do not count averted deteriorations as false alarms.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13</w:t>
      </w:r>
      <w:r>
        <w:rPr>
          <w:rFonts w:ascii="Times New Roman" w:cs="Times New Roman" w:eastAsia="Times New Roman" w:hAnsi="Times New Roman"/>
          <w:b w:val="false"/>
          <w:bCs w:val="false"/>
          <w:sz w:val="24"/>
          <w:szCs w:val="24"/>
        </w:rPr>
        <w:t xml:space="preserve">; its estimates do not describe the general deterioration model our participants used, but its lesson transfers: performance must be measured locally and made known to nurses.</w:t>
      </w:r>
    </w:p>
    <w:p>
      <w:pPr>
        <w:spacing w:after="200" w:before="0" w:line="360"/>
        <w:jc w:val="both"/>
      </w:pPr>
      <w:r>
        <w:rPr>
          <w:rFonts w:ascii="Times New Roman" w:cs="Times New Roman" w:eastAsia="Times New Roman" w:hAnsi="Times New Roman"/>
          <w:b w:val="false"/>
          <w:bCs w:val="false"/>
          <w:sz w:val="24"/>
          <w:szCs w:val="24"/>
        </w:rPr>
        <w:t xml:space="preserve">We accept symmetric capture (recording what the system flagged, what nurses did and what happened to the patient, whether or not an alert fired) as a complement to our override field. A field required only for overrides could, as the commentators argue, “make acceptance the implicit default and attach friction to disagreement alone”,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 risk our article named in warning against positioning the algorithm as “the default standard against which nursing assessment is judged”.</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Logs, in turn, need interpretive categories: a log shows that an alert was not escalated, not whether it was assessed and judged wrong or never read, hence our proposed single-click acknowledgement,</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which symmetric capture would extend to every alert. As a low-cost first step, units could check each deterioration against alert logs to find those no alert preceded.</w:t>
      </w:r>
    </w:p>
    <w:p>
      <w:pPr>
        <w:keepNext/>
        <w:spacing w:after="120" w:before="240" w:line="360"/>
      </w:pPr>
      <w:r>
        <w:rPr>
          <w:rFonts w:ascii="Times New Roman" w:cs="Times New Roman" w:eastAsia="Times New Roman" w:hAnsi="Times New Roman"/>
          <w:b/>
          <w:bCs/>
          <w:sz w:val="24"/>
          <w:szCs w:val="24"/>
        </w:rPr>
        <w:t xml:space="preserve">5 | CONCLUSION: COMPLEMENTARY EVIDENCE</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goes further than our proposal to link accounts with audit data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audit data show what nurses did; only such designs show what the system changed. Where a deployed system cannot ethically be withheld, simulation and vignette studies offer a feasible route, and our findings suggest what to test: discordant alerts, alarms after suctioning,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Comparing nurses’ trust across patient groups with group-specific false-alarm rates and with misses, separating those nurses caught from those they did not, would show whether differentiated trust tracks the system’s reliability, as our reading predicts, or only its visible errors, as the commentators’ reading predicts. Interpretive studies, in turn, show how nurses understand and account for their reliance, what they teach, and when, by their account, disagreement goes unrecorded. Neither substitutes for the other.</w:t>
      </w:r>
    </w:p>
    <w:p>
      <w:pPr>
        <w:spacing w:after="200" w:before="0" w:line="360"/>
        <w:jc w:val="both"/>
      </w:pPr>
      <w:r>
        <w:rPr>
          <w:rFonts w:ascii="Times New Roman" w:cs="Times New Roman" w:eastAsia="Times New Roman" w:hAnsi="Times New Roman"/>
          <w:b w:val="false"/>
          <w:bCs w:val="false"/>
          <w:sz w:val="24"/>
          <w:szCs w:val="24"/>
        </w:rPr>
        <w:t xml:space="preserve">‘Calibrated to what?’ is the right question, and it has two answers. At the bedside, each alert is weighed against the patient, a real-time but fallible reference. Across alerts, learned trust must be checked against the system’s measured performance, misses included. Our study described the first; the commentators rightly insist on the second. Safe AI-assisted early warning needs both, and nurses who keep watching closely enough to notice when alert and patient disagree. We thank the commentators for sharpening this agenda.</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2</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w:t>
      </w:r>
      <w:r>
        <w:rPr>
          <w:rFonts w:ascii="Times New Roman" w:cs="Times New Roman" w:eastAsia="Times New Roman" w:hAnsi="Times New Roman"/>
          <w:b w:val="false"/>
          <w:bCs w:val="false"/>
          <w:sz w:val="22"/>
          <w:szCs w:val="22"/>
          <w:shd w:fill="FFFF00" w:color="auto" w:val="clear"/>
        </w:rPr>
        <w:t xml:space="preserve">[Author names to be inserted by the Editorial Office]</w:t>
      </w:r>
      <w:r>
        <w:rPr>
          <w:rFonts w:ascii="Times New Roman" w:cs="Times New Roman" w:eastAsia="Times New Roman" w:hAnsi="Times New Roman"/>
          <w:b w:val="false"/>
          <w:bCs w:val="false"/>
          <w:sz w:val="22"/>
          <w:szCs w:val="22"/>
        </w:rPr>
        <w:t xml:space="preserve">. Calibrated to what? Feedback asymmetry and the limits of experiential trust in AI-assisted early warning. Nursing in Critical Care. In press. </w:t>
      </w:r>
      <w:r>
        <w:rPr>
          <w:rFonts w:ascii="Times New Roman" w:cs="Times New Roman" w:eastAsia="Times New Roman" w:hAnsi="Times New Roman"/>
          <w:b w:val="false"/>
          <w:bCs w:val="false"/>
          <w:sz w:val="22"/>
          <w:szCs w:val="22"/>
          <w:shd w:fill="FFFF00" w:color="auto" w:val="clear"/>
        </w:rPr>
        <w:t xml:space="preserve">doi:[to be inserted by the Editorial Office]</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Kahneman D, Klein G. Conditions for intuitive expertise: a failure to disagree. American Psychologist. 2009;64(6):515-526. doi:10.1037/a0016755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13. Wong A, Otles E, Donnelly JP, et al. External validation of a widely implemented proprietary sepsis prediction model in hospitalized patients. JAMA Internal Medicine. 2021;181(8):1065-1070. doi:10.1001/jamainternmed.2021.2626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reference points for trust in AI-assisted early warning: A response to ‘Calibrated to what?’</dc:title>
  <dc:creator>Osama Mohamed Elsayed Ramadan</dc:creator>
  <cp:lastModifiedBy>Un-named</cp:lastModifiedBy>
  <cp:revision>1</cp:revision>
  <dcterms:created xsi:type="dcterms:W3CDTF">2026-10-08T23:49:29.401Z</dcterms:created>
  <dcterms:modified xsi:type="dcterms:W3CDTF">2026-10-08T23:49:29.405Z</dcterms:modified>
</cp:coreProperties>
</file>

<file path=docProps/custom.xml><?xml version="1.0" encoding="utf-8"?>
<Properties xmlns="http://schemas.openxmlformats.org/officeDocument/2006/custom-properties" xmlns:vt="http://schemas.openxmlformats.org/officeDocument/2006/docPropsVTypes"/>
</file>