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2 – SUBMITTING THE RESPONSE</w:t>
      </w:r>
    </w:p>
    <w:p>
      <w:pPr>
        <w:spacing w:after="240" w:before="0" w:line="360"/>
        <w:jc w:val="left"/>
      </w:pPr>
      <w:r>
        <w:rPr>
          <w:rFonts w:ascii="Times New Roman" w:cs="Times New Roman" w:eastAsia="Times New Roman" w:hAnsi="Times New Roman"/>
          <w:b w:val="false"/>
          <w:bCs w:val="false"/>
          <w:i/>
          <w:iCs/>
          <w:sz w:val="20"/>
          <w:szCs w:val="20"/>
        </w:rPr>
        <w:t xml:space="preserve">Send no later than 25 October 2026, to everyone in copy on the co-editors’ email, with 01_Response_to_Commentary_NICC.docx attached.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Response to commentary on Samy et al., Nursing in Critical Care 2026;31(5):e70620</w:t>
      </w:r>
    </w:p>
    <w:p>
      <w:pPr>
        <w:spacing w:after="80"/>
      </w:pPr>
      <w:r>
        <w:rPr>
          <w:rFonts w:ascii="Times New Roman" w:cs="Times New Roman" w:eastAsia="Times New Roman" w:hAnsi="Times New Roman"/>
          <w:b/>
          <w:bCs/>
          <w:sz w:val="24"/>
          <w:szCs w:val="24"/>
        </w:rPr>
        <w:t xml:space="preserve">Attachment: </w:t>
      </w:r>
      <w:r>
        <w:rPr>
          <w:rFonts w:ascii="Times New Roman" w:cs="Times New Roman" w:eastAsia="Times New Roman" w:hAnsi="Times New Roman"/>
          <w:b w:val="false"/>
          <w:bCs w:val="false"/>
          <w:sz w:val="24"/>
          <w:szCs w:val="24"/>
        </w:rPr>
        <w:t xml:space="preserve">01_Response_to_Commentary_NICC.docx</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As agreed, please find attached our response to the commentary “Calibrated to what? Feedback asymmetry and the limits of experiential trust in AI-assisted early warning”, which discusses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Our response is entitled “Two reference points for trust in AI-assisted early warning: A response to ‘Calibrated to what?’”. Its main text runs to 1,471 words, including headings and excluding the title (15 words), end statements and references, within the 1,500-word limit. All three authors have read and approved it.</w:t>
      </w:r>
    </w:p>
    <w:p>
      <w:pPr>
        <w:spacing w:after="200" w:before="0" w:line="360"/>
        <w:jc w:val="left"/>
      </w:pPr>
      <w:r>
        <w:rPr>
          <w:rFonts w:ascii="Times New Roman" w:cs="Times New Roman" w:eastAsia="Times New Roman" w:hAnsi="Times New Roman"/>
          <w:b w:val="false"/>
          <w:bCs w:val="false"/>
          <w:sz w:val="24"/>
          <w:szCs w:val="24"/>
        </w:rPr>
        <w:t xml:space="preserve">We are grateful to the commentators for their thoughtful critique. In our response we: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clarify what our interpretive study claimed about nurses’ trust, and accept that the wording “actively calibrated” is better read as “calibrating”, the work nurses described, rather than as a verified outcome;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engage with the feedback asymmetry they describe and show how it connects with our findings on nursing surveillance and silent override; and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set out where our recommendations converge with theirs, including symmetric, log-based capture of alert outputs, responses and outcomes, nurse-facing performance reports that include missed events, and behavioural designs that complement interview research.</w:t>
      </w:r>
    </w:p>
    <w:p>
      <w:pPr>
        <w:spacing w:after="200" w:before="0" w:line="360"/>
        <w:jc w:val="left"/>
      </w:pPr>
      <w:r>
        <w:rPr>
          <w:rFonts w:ascii="Times New Roman" w:cs="Times New Roman" w:eastAsia="Times New Roman" w:hAnsi="Times New Roman"/>
          <w:b w:val="false"/>
          <w:bCs w:val="false"/>
          <w:sz w:val="24"/>
          <w:szCs w:val="24"/>
        </w:rPr>
        <w:t xml:space="preserve">As the commentary was shared with us without the authors’ names, the author field and DOI of the commentary (in the “Response to” line and in reference 1) are highlighted for the Editorial Office to complete.</w:t>
      </w:r>
    </w:p>
    <w:p>
      <w:pPr>
        <w:spacing w:after="200" w:before="0" w:line="360"/>
        <w:jc w:val="left"/>
      </w:pPr>
      <w:r>
        <w:rPr>
          <w:rFonts w:ascii="Times New Roman" w:cs="Times New Roman" w:eastAsia="Times New Roman" w:hAnsi="Times New Roman"/>
          <w:b w:val="false"/>
          <w:bCs w:val="false"/>
          <w:sz w:val="24"/>
          <w:szCs w:val="24"/>
        </w:rPr>
        <w:t xml:space="preserve">We would be happy to make any editorial changes you require.</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Attach the final 01_Response_to_Commentary_NICC.docx and confirm that both co-authors have approved that exact version.</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Confirm the Funding statement (“This response received no specific funding”) with your co-authors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Word counts in this email are generated from the response file and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commentary on Samy et al., Nursing in Critical Care 2026;31(5):e70620</dc:title>
  <dc:creator>Osama Mohamed Elsayed Ramadan</dc:creator>
  <cp:lastModifiedBy>Un-named</cp:lastModifiedBy>
  <cp:revision>1</cp:revision>
  <dcterms:created xsi:type="dcterms:W3CDTF">2026-10-08T23:49:29.420Z</dcterms:created>
  <dcterms:modified xsi:type="dcterms:W3CDTF">2026-10-08T23:49:29.420Z</dcterms:modified>
</cp:coreProperties>
</file>

<file path=docProps/custom.xml><?xml version="1.0" encoding="utf-8"?>
<Properties xmlns="http://schemas.openxmlformats.org/officeDocument/2006/custom-properties" xmlns:vt="http://schemas.openxmlformats.org/officeDocument/2006/docPropsVTypes"/>
</file>