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Results</w:t>
      </w:r>
    </w:p>
    <w:p>
      <w:pPr>
        <w:pStyle w:val="Heading2"/>
      </w:pPr>
      <w:r>
        <w:t>3.1 Participants</w:t>
      </w:r>
    </w:p>
    <w:p>
      <w:r>
        <w:rPr>
          <w:b w:val="0"/>
        </w:rPr>
        <w:t>Twenty-three unit-level nurse managers from six hospitals took part (Table 1). Most were women (n = 17), aged 35–54 years (n = 18) and held a bachelor’s degree as their highest nursing qualification (n = 14). Thirteen were Saudi nationals educated in Saudi Arabia, and ten had completed their basic nursing education abroad. Participants had 7–31 years of nursing experience (mean 17.6) and had held their current post for a median of 4 years (range 0.5–14). Nine worked in the two tertiary hospitals (H1, H2) and 14 in the four secondary hospitals (H3–H6).</w:t>
      </w:r>
    </w:p>
    <w:p>
      <w:r>
        <w:rPr>
          <w:b/>
        </w:rPr>
        <w:t>Table 1. Participant characteristics (N = 23)</w:t>
      </w:r>
    </w:p>
    <w:tbl>
      <w:tblPr>
        <w:tblStyle w:val="TableGrid"/>
        <w:tblW w:type="auto" w:w="0"/>
        <w:tblLayout w:type="fixed"/>
        <w:tblLook w:firstColumn="1" w:firstRow="1" w:lastColumn="0" w:lastRow="0" w:noHBand="0" w:noVBand="1" w:val="04A0"/>
      </w:tblPr>
      <w:tblGrid>
        <w:gridCol w:w="6623"/>
        <w:gridCol w:w="2304"/>
      </w:tblGrid>
      <w:tr>
        <w:tc>
          <w:tcPr>
            <w:tcW w:type="dxa" w:w="6624"/>
            <w:shd w:val="clear" w:color="auto" w:fill="D9E2F3"/>
          </w:tcPr>
          <w:p>
            <w:r/>
            <w:r>
              <w:rPr>
                <w:b/>
                <w:sz w:val="19"/>
              </w:rPr>
              <w:t>Characteristic</w:t>
            </w:r>
          </w:p>
        </w:tc>
        <w:tc>
          <w:tcPr>
            <w:tcW w:type="dxa" w:w="2304"/>
            <w:shd w:val="clear" w:color="auto" w:fill="D9E2F3"/>
          </w:tcPr>
          <w:p>
            <w:r/>
            <w:r>
              <w:rPr>
                <w:b/>
                <w:sz w:val="19"/>
              </w:rPr>
              <w:t>n (%)</w:t>
            </w:r>
          </w:p>
        </w:tc>
      </w:tr>
      <w:tr>
        <w:tc>
          <w:tcPr>
            <w:tcW w:type="dxa" w:w="2304"/>
            <w:gridSpan w:val="2"/>
            <w:shd w:val="clear" w:color="auto" w:fill="F2F2F2"/>
          </w:tcPr>
          <w:p>
            <w:r/>
            <w:r>
              <w:rPr>
                <w:b/>
                <w:sz w:val="19"/>
              </w:rPr>
              <w:t>Age group (years)</w:t>
            </w:r>
          </w:p>
        </w:tc>
      </w:tr>
      <w:tr>
        <w:tc>
          <w:tcPr>
            <w:tcW w:type="dxa" w:w="6624"/>
          </w:tcPr>
          <w:p>
            <w:r/>
            <w:r>
              <w:rPr>
                <w:sz w:val="19"/>
              </w:rPr>
              <w:t>25–34</w:t>
            </w:r>
          </w:p>
        </w:tc>
        <w:tc>
          <w:tcPr>
            <w:tcW w:type="dxa" w:w="2304"/>
          </w:tcPr>
          <w:p>
            <w:r/>
            <w:r>
              <w:rPr>
                <w:sz w:val="19"/>
              </w:rPr>
              <w:t>3 (13.0)</w:t>
            </w:r>
          </w:p>
        </w:tc>
      </w:tr>
      <w:tr>
        <w:tc>
          <w:tcPr>
            <w:tcW w:type="dxa" w:w="6624"/>
          </w:tcPr>
          <w:p>
            <w:r/>
            <w:r>
              <w:rPr>
                <w:sz w:val="19"/>
              </w:rPr>
              <w:t>35–44</w:t>
            </w:r>
          </w:p>
        </w:tc>
        <w:tc>
          <w:tcPr>
            <w:tcW w:type="dxa" w:w="2304"/>
          </w:tcPr>
          <w:p>
            <w:r/>
            <w:r>
              <w:rPr>
                <w:sz w:val="19"/>
              </w:rPr>
              <w:t>11 (47.8)</w:t>
            </w:r>
          </w:p>
        </w:tc>
      </w:tr>
      <w:tr>
        <w:tc>
          <w:tcPr>
            <w:tcW w:type="dxa" w:w="6624"/>
          </w:tcPr>
          <w:p>
            <w:r/>
            <w:r>
              <w:rPr>
                <w:sz w:val="19"/>
              </w:rPr>
              <w:t>45–54</w:t>
            </w:r>
          </w:p>
        </w:tc>
        <w:tc>
          <w:tcPr>
            <w:tcW w:type="dxa" w:w="2304"/>
          </w:tcPr>
          <w:p>
            <w:r/>
            <w:r>
              <w:rPr>
                <w:sz w:val="19"/>
              </w:rPr>
              <w:t>7 (30.4)</w:t>
            </w:r>
          </w:p>
        </w:tc>
      </w:tr>
      <w:tr>
        <w:tc>
          <w:tcPr>
            <w:tcW w:type="dxa" w:w="6624"/>
          </w:tcPr>
          <w:p>
            <w:r/>
            <w:r>
              <w:rPr>
                <w:sz w:val="19"/>
              </w:rPr>
              <w:t>55 or older</w:t>
            </w:r>
          </w:p>
        </w:tc>
        <w:tc>
          <w:tcPr>
            <w:tcW w:type="dxa" w:w="2304"/>
          </w:tcPr>
          <w:p>
            <w:r/>
            <w:r>
              <w:rPr>
                <w:sz w:val="19"/>
              </w:rPr>
              <w:t>2 (8.7)</w:t>
            </w:r>
          </w:p>
        </w:tc>
      </w:tr>
      <w:tr>
        <w:tc>
          <w:tcPr>
            <w:tcW w:type="dxa" w:w="2304"/>
            <w:gridSpan w:val="2"/>
            <w:shd w:val="clear" w:color="auto" w:fill="F2F2F2"/>
          </w:tcPr>
          <w:p>
            <w:r/>
            <w:r>
              <w:rPr>
                <w:b/>
                <w:sz w:val="19"/>
              </w:rPr>
              <w:t>Gender</w:t>
            </w:r>
          </w:p>
        </w:tc>
      </w:tr>
      <w:tr>
        <w:tc>
          <w:tcPr>
            <w:tcW w:type="dxa" w:w="6624"/>
          </w:tcPr>
          <w:p>
            <w:r/>
            <w:r>
              <w:rPr>
                <w:sz w:val="19"/>
              </w:rPr>
              <w:t>Female</w:t>
            </w:r>
          </w:p>
        </w:tc>
        <w:tc>
          <w:tcPr>
            <w:tcW w:type="dxa" w:w="2304"/>
          </w:tcPr>
          <w:p>
            <w:r/>
            <w:r>
              <w:rPr>
                <w:sz w:val="19"/>
              </w:rPr>
              <w:t>17 (73.9)</w:t>
            </w:r>
          </w:p>
        </w:tc>
      </w:tr>
      <w:tr>
        <w:tc>
          <w:tcPr>
            <w:tcW w:type="dxa" w:w="6624"/>
          </w:tcPr>
          <w:p>
            <w:r/>
            <w:r>
              <w:rPr>
                <w:sz w:val="19"/>
              </w:rPr>
              <w:t>Male</w:t>
            </w:r>
          </w:p>
        </w:tc>
        <w:tc>
          <w:tcPr>
            <w:tcW w:type="dxa" w:w="2304"/>
          </w:tcPr>
          <w:p>
            <w:r/>
            <w:r>
              <w:rPr>
                <w:sz w:val="19"/>
              </w:rPr>
              <w:t>6 (26.1)</w:t>
            </w:r>
          </w:p>
        </w:tc>
      </w:tr>
      <w:tr>
        <w:tc>
          <w:tcPr>
            <w:tcW w:type="dxa" w:w="2304"/>
            <w:gridSpan w:val="2"/>
            <w:shd w:val="clear" w:color="auto" w:fill="F2F2F2"/>
          </w:tcPr>
          <w:p>
            <w:r/>
            <w:r>
              <w:rPr>
                <w:b/>
                <w:sz w:val="19"/>
              </w:rPr>
              <w:t>Nationality group</w:t>
            </w:r>
          </w:p>
        </w:tc>
      </w:tr>
      <w:tr>
        <w:tc>
          <w:tcPr>
            <w:tcW w:type="dxa" w:w="6624"/>
          </w:tcPr>
          <w:p>
            <w:r/>
            <w:r>
              <w:rPr>
                <w:sz w:val="19"/>
              </w:rPr>
              <w:t>Saudi</w:t>
            </w:r>
          </w:p>
        </w:tc>
        <w:tc>
          <w:tcPr>
            <w:tcW w:type="dxa" w:w="2304"/>
          </w:tcPr>
          <w:p>
            <w:r/>
            <w:r>
              <w:rPr>
                <w:sz w:val="19"/>
              </w:rPr>
              <w:t>13 (56.5)</w:t>
            </w:r>
          </w:p>
        </w:tc>
      </w:tr>
      <w:tr>
        <w:tc>
          <w:tcPr>
            <w:tcW w:type="dxa" w:w="6624"/>
          </w:tcPr>
          <w:p>
            <w:r/>
            <w:r>
              <w:rPr>
                <w:sz w:val="19"/>
              </w:rPr>
              <w:t>Non-Saudi</w:t>
            </w:r>
          </w:p>
        </w:tc>
        <w:tc>
          <w:tcPr>
            <w:tcW w:type="dxa" w:w="2304"/>
          </w:tcPr>
          <w:p>
            <w:r/>
            <w:r>
              <w:rPr>
                <w:sz w:val="19"/>
              </w:rPr>
              <w:t>10 (43.5)</w:t>
            </w:r>
          </w:p>
        </w:tc>
      </w:tr>
      <w:tr>
        <w:tc>
          <w:tcPr>
            <w:tcW w:type="dxa" w:w="2304"/>
            <w:gridSpan w:val="2"/>
            <w:shd w:val="clear" w:color="auto" w:fill="F2F2F2"/>
          </w:tcPr>
          <w:p>
            <w:r/>
            <w:r>
              <w:rPr>
                <w:b/>
                <w:sz w:val="19"/>
              </w:rPr>
              <w:t>Country of basic nursing education</w:t>
            </w:r>
          </w:p>
        </w:tc>
      </w:tr>
      <w:tr>
        <w:tc>
          <w:tcPr>
            <w:tcW w:type="dxa" w:w="6624"/>
          </w:tcPr>
          <w:p>
            <w:r/>
            <w:r>
              <w:rPr>
                <w:sz w:val="19"/>
              </w:rPr>
              <w:t>Saudi Arabia</w:t>
            </w:r>
          </w:p>
        </w:tc>
        <w:tc>
          <w:tcPr>
            <w:tcW w:type="dxa" w:w="2304"/>
          </w:tcPr>
          <w:p>
            <w:r/>
            <w:r>
              <w:rPr>
                <w:sz w:val="19"/>
              </w:rPr>
              <w:t>13 (56.5)</w:t>
            </w:r>
          </w:p>
        </w:tc>
      </w:tr>
      <w:tr>
        <w:tc>
          <w:tcPr>
            <w:tcW w:type="dxa" w:w="6624"/>
          </w:tcPr>
          <w:p>
            <w:r/>
            <w:r>
              <w:rPr>
                <w:sz w:val="19"/>
              </w:rPr>
              <w:t>Philippines</w:t>
            </w:r>
          </w:p>
        </w:tc>
        <w:tc>
          <w:tcPr>
            <w:tcW w:type="dxa" w:w="2304"/>
          </w:tcPr>
          <w:p>
            <w:r/>
            <w:r>
              <w:rPr>
                <w:sz w:val="19"/>
              </w:rPr>
              <w:t>4 (17.4)</w:t>
            </w:r>
          </w:p>
        </w:tc>
      </w:tr>
      <w:tr>
        <w:tc>
          <w:tcPr>
            <w:tcW w:type="dxa" w:w="6624"/>
          </w:tcPr>
          <w:p>
            <w:r/>
            <w:r>
              <w:rPr>
                <w:sz w:val="19"/>
              </w:rPr>
              <w:t>India</w:t>
            </w:r>
          </w:p>
        </w:tc>
        <w:tc>
          <w:tcPr>
            <w:tcW w:type="dxa" w:w="2304"/>
          </w:tcPr>
          <w:p>
            <w:r/>
            <w:r>
              <w:rPr>
                <w:sz w:val="19"/>
              </w:rPr>
              <w:t>3 (13.0)</w:t>
            </w:r>
          </w:p>
        </w:tc>
      </w:tr>
      <w:tr>
        <w:tc>
          <w:tcPr>
            <w:tcW w:type="dxa" w:w="6624"/>
          </w:tcPr>
          <w:p>
            <w:r/>
            <w:r>
              <w:rPr>
                <w:sz w:val="19"/>
              </w:rPr>
              <w:t>Egypt</w:t>
            </w:r>
          </w:p>
        </w:tc>
        <w:tc>
          <w:tcPr>
            <w:tcW w:type="dxa" w:w="2304"/>
          </w:tcPr>
          <w:p>
            <w:r/>
            <w:r>
              <w:rPr>
                <w:sz w:val="19"/>
              </w:rPr>
              <w:t>2 (8.7)</w:t>
            </w:r>
          </w:p>
        </w:tc>
      </w:tr>
      <w:tr>
        <w:tc>
          <w:tcPr>
            <w:tcW w:type="dxa" w:w="6624"/>
          </w:tcPr>
          <w:p>
            <w:r/>
            <w:r>
              <w:rPr>
                <w:sz w:val="19"/>
              </w:rPr>
              <w:t>Jordan</w:t>
            </w:r>
          </w:p>
        </w:tc>
        <w:tc>
          <w:tcPr>
            <w:tcW w:type="dxa" w:w="2304"/>
          </w:tcPr>
          <w:p>
            <w:r/>
            <w:r>
              <w:rPr>
                <w:sz w:val="19"/>
              </w:rPr>
              <w:t>1 (4.3)</w:t>
            </w:r>
          </w:p>
        </w:tc>
      </w:tr>
      <w:tr>
        <w:tc>
          <w:tcPr>
            <w:tcW w:type="dxa" w:w="2304"/>
            <w:gridSpan w:val="2"/>
            <w:shd w:val="clear" w:color="auto" w:fill="F2F2F2"/>
          </w:tcPr>
          <w:p>
            <w:r/>
            <w:r>
              <w:rPr>
                <w:b/>
                <w:sz w:val="19"/>
              </w:rPr>
              <w:t>Highest nursing qualification</w:t>
            </w:r>
          </w:p>
        </w:tc>
      </w:tr>
      <w:tr>
        <w:tc>
          <w:tcPr>
            <w:tcW w:type="dxa" w:w="6624"/>
          </w:tcPr>
          <w:p>
            <w:r/>
            <w:r>
              <w:rPr>
                <w:sz w:val="19"/>
              </w:rPr>
              <w:t>Diploma</w:t>
            </w:r>
          </w:p>
        </w:tc>
        <w:tc>
          <w:tcPr>
            <w:tcW w:type="dxa" w:w="2304"/>
          </w:tcPr>
          <w:p>
            <w:r/>
            <w:r>
              <w:rPr>
                <w:sz w:val="19"/>
              </w:rPr>
              <w:t>1 (4.3)</w:t>
            </w:r>
          </w:p>
        </w:tc>
      </w:tr>
      <w:tr>
        <w:tc>
          <w:tcPr>
            <w:tcW w:type="dxa" w:w="6624"/>
          </w:tcPr>
          <w:p>
            <w:r/>
            <w:r>
              <w:rPr>
                <w:sz w:val="19"/>
              </w:rPr>
              <w:t>Bachelor’s</w:t>
            </w:r>
          </w:p>
        </w:tc>
        <w:tc>
          <w:tcPr>
            <w:tcW w:type="dxa" w:w="2304"/>
          </w:tcPr>
          <w:p>
            <w:r/>
            <w:r>
              <w:rPr>
                <w:sz w:val="19"/>
              </w:rPr>
              <w:t>14 (60.9)</w:t>
            </w:r>
          </w:p>
        </w:tc>
      </w:tr>
      <w:tr>
        <w:tc>
          <w:tcPr>
            <w:tcW w:type="dxa" w:w="6624"/>
          </w:tcPr>
          <w:p>
            <w:r/>
            <w:r>
              <w:rPr>
                <w:sz w:val="19"/>
              </w:rPr>
              <w:t>Master’s</w:t>
            </w:r>
          </w:p>
        </w:tc>
        <w:tc>
          <w:tcPr>
            <w:tcW w:type="dxa" w:w="2304"/>
          </w:tcPr>
          <w:p>
            <w:r/>
            <w:r>
              <w:rPr>
                <w:sz w:val="19"/>
              </w:rPr>
              <w:t>7 (30.4)</w:t>
            </w:r>
          </w:p>
        </w:tc>
      </w:tr>
      <w:tr>
        <w:tc>
          <w:tcPr>
            <w:tcW w:type="dxa" w:w="6624"/>
          </w:tcPr>
          <w:p>
            <w:r/>
            <w:r>
              <w:rPr>
                <w:sz w:val="19"/>
              </w:rPr>
              <w:t>Doctorate</w:t>
            </w:r>
          </w:p>
        </w:tc>
        <w:tc>
          <w:tcPr>
            <w:tcW w:type="dxa" w:w="2304"/>
          </w:tcPr>
          <w:p>
            <w:r/>
            <w:r>
              <w:rPr>
                <w:sz w:val="19"/>
              </w:rPr>
              <w:t>1 (4.3)</w:t>
            </w:r>
          </w:p>
        </w:tc>
      </w:tr>
      <w:tr>
        <w:tc>
          <w:tcPr>
            <w:tcW w:type="dxa" w:w="2304"/>
            <w:gridSpan w:val="2"/>
            <w:shd w:val="clear" w:color="auto" w:fill="F2F2F2"/>
          </w:tcPr>
          <w:p>
            <w:r/>
            <w:r>
              <w:rPr>
                <w:b/>
                <w:sz w:val="19"/>
              </w:rPr>
              <w:t>Experience</w:t>
            </w:r>
          </w:p>
        </w:tc>
      </w:tr>
      <w:tr>
        <w:tc>
          <w:tcPr>
            <w:tcW w:type="dxa" w:w="6624"/>
          </w:tcPr>
          <w:p>
            <w:r/>
            <w:r>
              <w:rPr>
                <w:sz w:val="19"/>
              </w:rPr>
              <w:t>Years as a registered nurse, mean (range)</w:t>
            </w:r>
          </w:p>
        </w:tc>
        <w:tc>
          <w:tcPr>
            <w:tcW w:type="dxa" w:w="2304"/>
          </w:tcPr>
          <w:p>
            <w:r/>
            <w:r>
              <w:rPr>
                <w:sz w:val="19"/>
              </w:rPr>
              <w:t>17.6 (7–31)</w:t>
            </w:r>
          </w:p>
        </w:tc>
      </w:tr>
      <w:tr>
        <w:tc>
          <w:tcPr>
            <w:tcW w:type="dxa" w:w="6624"/>
          </w:tcPr>
          <w:p>
            <w:r/>
            <w:r>
              <w:rPr>
                <w:sz w:val="19"/>
              </w:rPr>
              <w:t>Years in a managerial role: &lt;5</w:t>
            </w:r>
          </w:p>
        </w:tc>
        <w:tc>
          <w:tcPr>
            <w:tcW w:type="dxa" w:w="2304"/>
          </w:tcPr>
          <w:p>
            <w:r/>
            <w:r>
              <w:rPr>
                <w:sz w:val="19"/>
              </w:rPr>
              <w:t>7 (30.4)</w:t>
            </w:r>
          </w:p>
        </w:tc>
      </w:tr>
      <w:tr>
        <w:tc>
          <w:tcPr>
            <w:tcW w:type="dxa" w:w="6624"/>
          </w:tcPr>
          <w:p>
            <w:r/>
            <w:r>
              <w:rPr>
                <w:sz w:val="19"/>
              </w:rPr>
              <w:t>Years in a managerial role: 5–10</w:t>
            </w:r>
          </w:p>
        </w:tc>
        <w:tc>
          <w:tcPr>
            <w:tcW w:type="dxa" w:w="2304"/>
          </w:tcPr>
          <w:p>
            <w:r/>
            <w:r>
              <w:rPr>
                <w:sz w:val="19"/>
              </w:rPr>
              <w:t>10 (43.5)</w:t>
            </w:r>
          </w:p>
        </w:tc>
      </w:tr>
      <w:tr>
        <w:tc>
          <w:tcPr>
            <w:tcW w:type="dxa" w:w="6624"/>
          </w:tcPr>
          <w:p>
            <w:r/>
            <w:r>
              <w:rPr>
                <w:sz w:val="19"/>
              </w:rPr>
              <w:t>Years in a managerial role: &gt;10</w:t>
            </w:r>
          </w:p>
        </w:tc>
        <w:tc>
          <w:tcPr>
            <w:tcW w:type="dxa" w:w="2304"/>
          </w:tcPr>
          <w:p>
            <w:r/>
            <w:r>
              <w:rPr>
                <w:sz w:val="19"/>
              </w:rPr>
              <w:t>6 (26.1)</w:t>
            </w:r>
          </w:p>
        </w:tc>
      </w:tr>
      <w:tr>
        <w:tc>
          <w:tcPr>
            <w:tcW w:type="dxa" w:w="6624"/>
          </w:tcPr>
          <w:p>
            <w:r/>
            <w:r>
              <w:rPr>
                <w:sz w:val="19"/>
              </w:rPr>
              <w:t>Years in current post, median (range)</w:t>
            </w:r>
          </w:p>
        </w:tc>
        <w:tc>
          <w:tcPr>
            <w:tcW w:type="dxa" w:w="2304"/>
          </w:tcPr>
          <w:p>
            <w:r/>
            <w:r>
              <w:rPr>
                <w:sz w:val="19"/>
              </w:rPr>
              <w:t>4 (0.5–14)</w:t>
            </w:r>
          </w:p>
        </w:tc>
      </w:tr>
      <w:tr>
        <w:tc>
          <w:tcPr>
            <w:tcW w:type="dxa" w:w="2304"/>
            <w:gridSpan w:val="2"/>
            <w:shd w:val="clear" w:color="auto" w:fill="F2F2F2"/>
          </w:tcPr>
          <w:p>
            <w:r/>
            <w:r>
              <w:rPr>
                <w:b/>
                <w:sz w:val="19"/>
              </w:rPr>
              <w:t>Unit type</w:t>
            </w:r>
          </w:p>
        </w:tc>
      </w:tr>
      <w:tr>
        <w:tc>
          <w:tcPr>
            <w:tcW w:type="dxa" w:w="6624"/>
          </w:tcPr>
          <w:p>
            <w:r/>
            <w:r>
              <w:rPr>
                <w:sz w:val="19"/>
              </w:rPr>
              <w:t>Medical</w:t>
            </w:r>
          </w:p>
        </w:tc>
        <w:tc>
          <w:tcPr>
            <w:tcW w:type="dxa" w:w="2304"/>
          </w:tcPr>
          <w:p>
            <w:r/>
            <w:r>
              <w:rPr>
                <w:sz w:val="19"/>
              </w:rPr>
              <w:t>5 (21.7)</w:t>
            </w:r>
          </w:p>
        </w:tc>
      </w:tr>
      <w:tr>
        <w:tc>
          <w:tcPr>
            <w:tcW w:type="dxa" w:w="6624"/>
          </w:tcPr>
          <w:p>
            <w:r/>
            <w:r>
              <w:rPr>
                <w:sz w:val="19"/>
              </w:rPr>
              <w:t>Surgical</w:t>
            </w:r>
          </w:p>
        </w:tc>
        <w:tc>
          <w:tcPr>
            <w:tcW w:type="dxa" w:w="2304"/>
          </w:tcPr>
          <w:p>
            <w:r/>
            <w:r>
              <w:rPr>
                <w:sz w:val="19"/>
              </w:rPr>
              <w:t>5 (21.7)</w:t>
            </w:r>
          </w:p>
        </w:tc>
      </w:tr>
      <w:tr>
        <w:tc>
          <w:tcPr>
            <w:tcW w:type="dxa" w:w="6624"/>
          </w:tcPr>
          <w:p>
            <w:r/>
            <w:r>
              <w:rPr>
                <w:sz w:val="19"/>
              </w:rPr>
              <w:t>Critical care</w:t>
            </w:r>
          </w:p>
        </w:tc>
        <w:tc>
          <w:tcPr>
            <w:tcW w:type="dxa" w:w="2304"/>
          </w:tcPr>
          <w:p>
            <w:r/>
            <w:r>
              <w:rPr>
                <w:sz w:val="19"/>
              </w:rPr>
              <w:t>5 (21.7)</w:t>
            </w:r>
          </w:p>
        </w:tc>
      </w:tr>
      <w:tr>
        <w:tc>
          <w:tcPr>
            <w:tcW w:type="dxa" w:w="6624"/>
          </w:tcPr>
          <w:p>
            <w:r/>
            <w:r>
              <w:rPr>
                <w:sz w:val="19"/>
              </w:rPr>
              <w:t>Emergency</w:t>
            </w:r>
          </w:p>
        </w:tc>
        <w:tc>
          <w:tcPr>
            <w:tcW w:type="dxa" w:w="2304"/>
          </w:tcPr>
          <w:p>
            <w:r/>
            <w:r>
              <w:rPr>
                <w:sz w:val="19"/>
              </w:rPr>
              <w:t>3 (13.0)</w:t>
            </w:r>
          </w:p>
        </w:tc>
      </w:tr>
      <w:tr>
        <w:tc>
          <w:tcPr>
            <w:tcW w:type="dxa" w:w="6624"/>
          </w:tcPr>
          <w:p>
            <w:r/>
            <w:r>
              <w:rPr>
                <w:sz w:val="19"/>
              </w:rPr>
              <w:t>Maternity</w:t>
            </w:r>
          </w:p>
        </w:tc>
        <w:tc>
          <w:tcPr>
            <w:tcW w:type="dxa" w:w="2304"/>
          </w:tcPr>
          <w:p>
            <w:r/>
            <w:r>
              <w:rPr>
                <w:sz w:val="19"/>
              </w:rPr>
              <w:t>3 (13.0)</w:t>
            </w:r>
          </w:p>
        </w:tc>
      </w:tr>
      <w:tr>
        <w:tc>
          <w:tcPr>
            <w:tcW w:type="dxa" w:w="6624"/>
          </w:tcPr>
          <w:p>
            <w:r/>
            <w:r>
              <w:rPr>
                <w:sz w:val="19"/>
              </w:rPr>
              <w:t>Paediatric</w:t>
            </w:r>
          </w:p>
        </w:tc>
        <w:tc>
          <w:tcPr>
            <w:tcW w:type="dxa" w:w="2304"/>
          </w:tcPr>
          <w:p>
            <w:r/>
            <w:r>
              <w:rPr>
                <w:sz w:val="19"/>
              </w:rPr>
              <w:t>2 (8.7)</w:t>
            </w:r>
          </w:p>
        </w:tc>
      </w:tr>
      <w:tr>
        <w:tc>
          <w:tcPr>
            <w:tcW w:type="dxa" w:w="2304"/>
            <w:gridSpan w:val="2"/>
            <w:shd w:val="clear" w:color="auto" w:fill="F2F2F2"/>
          </w:tcPr>
          <w:p>
            <w:r/>
            <w:r>
              <w:rPr>
                <w:b/>
                <w:sz w:val="19"/>
              </w:rPr>
              <w:t>Hospital level of care</w:t>
            </w:r>
          </w:p>
        </w:tc>
      </w:tr>
      <w:tr>
        <w:tc>
          <w:tcPr>
            <w:tcW w:type="dxa" w:w="6624"/>
          </w:tcPr>
          <w:p>
            <w:r/>
            <w:r>
              <w:rPr>
                <w:sz w:val="19"/>
              </w:rPr>
              <w:t>Tertiary (H1, H2)</w:t>
            </w:r>
          </w:p>
        </w:tc>
        <w:tc>
          <w:tcPr>
            <w:tcW w:type="dxa" w:w="2304"/>
          </w:tcPr>
          <w:p>
            <w:r/>
            <w:r>
              <w:rPr>
                <w:sz w:val="19"/>
              </w:rPr>
              <w:t>9 (39.1)</w:t>
            </w:r>
          </w:p>
        </w:tc>
      </w:tr>
      <w:tr>
        <w:tc>
          <w:tcPr>
            <w:tcW w:type="dxa" w:w="6624"/>
          </w:tcPr>
          <w:p>
            <w:r/>
            <w:r>
              <w:rPr>
                <w:sz w:val="19"/>
              </w:rPr>
              <w:t>Secondary (H3–H6)</w:t>
            </w:r>
          </w:p>
        </w:tc>
        <w:tc>
          <w:tcPr>
            <w:tcW w:type="dxa" w:w="2304"/>
          </w:tcPr>
          <w:p>
            <w:r/>
            <w:r>
              <w:rPr>
                <w:sz w:val="19"/>
              </w:rPr>
              <w:t>14 (60.9)</w:t>
            </w:r>
          </w:p>
        </w:tc>
      </w:tr>
      <w:tr>
        <w:tc>
          <w:tcPr>
            <w:tcW w:type="dxa" w:w="2304"/>
            <w:gridSpan w:val="2"/>
            <w:shd w:val="clear" w:color="auto" w:fill="F2F2F2"/>
          </w:tcPr>
          <w:p>
            <w:r/>
            <w:r>
              <w:rPr>
                <w:b/>
                <w:sz w:val="19"/>
              </w:rPr>
              <w:t>Interview</w:t>
            </w:r>
          </w:p>
        </w:tc>
      </w:tr>
      <w:tr>
        <w:tc>
          <w:tcPr>
            <w:tcW w:type="dxa" w:w="6624"/>
          </w:tcPr>
          <w:p>
            <w:r/>
            <w:r>
              <w:rPr>
                <w:sz w:val="19"/>
              </w:rPr>
              <w:t>Arabic</w:t>
            </w:r>
          </w:p>
        </w:tc>
        <w:tc>
          <w:tcPr>
            <w:tcW w:type="dxa" w:w="2304"/>
          </w:tcPr>
          <w:p>
            <w:r/>
            <w:r>
              <w:rPr>
                <w:sz w:val="19"/>
              </w:rPr>
              <w:t>14 (60.9)</w:t>
            </w:r>
          </w:p>
        </w:tc>
      </w:tr>
      <w:tr>
        <w:tc>
          <w:tcPr>
            <w:tcW w:type="dxa" w:w="6624"/>
          </w:tcPr>
          <w:p>
            <w:r/>
            <w:r>
              <w:rPr>
                <w:sz w:val="19"/>
              </w:rPr>
              <w:t>English</w:t>
            </w:r>
          </w:p>
        </w:tc>
        <w:tc>
          <w:tcPr>
            <w:tcW w:type="dxa" w:w="2304"/>
          </w:tcPr>
          <w:p>
            <w:r/>
            <w:r>
              <w:rPr>
                <w:sz w:val="19"/>
              </w:rPr>
              <w:t>9 (39.1)</w:t>
            </w:r>
          </w:p>
        </w:tc>
      </w:tr>
      <w:tr>
        <w:tc>
          <w:tcPr>
            <w:tcW w:type="dxa" w:w="6624"/>
          </w:tcPr>
          <w:p>
            <w:r/>
            <w:r>
              <w:rPr>
                <w:sz w:val="19"/>
              </w:rPr>
              <w:t>Face to face</w:t>
            </w:r>
          </w:p>
        </w:tc>
        <w:tc>
          <w:tcPr>
            <w:tcW w:type="dxa" w:w="2304"/>
          </w:tcPr>
          <w:p>
            <w:r/>
            <w:r>
              <w:rPr>
                <w:sz w:val="19"/>
              </w:rPr>
              <w:t>18 (78.3)</w:t>
            </w:r>
          </w:p>
        </w:tc>
      </w:tr>
      <w:tr>
        <w:tc>
          <w:tcPr>
            <w:tcW w:type="dxa" w:w="6624"/>
          </w:tcPr>
          <w:p>
            <w:r/>
            <w:r>
              <w:rPr>
                <w:sz w:val="19"/>
              </w:rPr>
              <w:t>Video</w:t>
            </w:r>
          </w:p>
        </w:tc>
        <w:tc>
          <w:tcPr>
            <w:tcW w:type="dxa" w:w="2304"/>
          </w:tcPr>
          <w:p>
            <w:r/>
            <w:r>
              <w:rPr>
                <w:sz w:val="19"/>
              </w:rPr>
              <w:t>5 (21.7)</w:t>
            </w:r>
          </w:p>
        </w:tc>
      </w:tr>
      <w:tr>
        <w:tc>
          <w:tcPr>
            <w:tcW w:type="dxa" w:w="6624"/>
          </w:tcPr>
          <w:p>
            <w:r/>
            <w:r>
              <w:rPr>
                <w:sz w:val="19"/>
              </w:rPr>
              <w:t>Duration in minutes, mean (range)</w:t>
            </w:r>
          </w:p>
        </w:tc>
        <w:tc>
          <w:tcPr>
            <w:tcW w:type="dxa" w:w="2304"/>
          </w:tcPr>
          <w:p>
            <w:r/>
            <w:r>
              <w:rPr>
                <w:sz w:val="19"/>
              </w:rPr>
              <w:t>58 (42–81)</w:t>
            </w:r>
          </w:p>
        </w:tc>
      </w:tr>
    </w:tbl>
    <w:p>
      <w:r>
        <w:rPr>
          <w:i/>
          <w:sz w:val="18"/>
        </w:rPr>
        <w:t>Percentages may not total 100 because of rounding.</w:t>
      </w:r>
    </w:p>
    <w:p>
      <w:pPr>
        <w:pStyle w:val="Heading2"/>
      </w:pPr>
      <w:r>
        <w:t>3.2 Incident accounts</w:t>
      </w:r>
    </w:p>
    <w:p>
      <w:r>
        <w:rPr>
          <w:b w:val="0"/>
        </w:rPr>
        <w:t>Nineteen managers described a recent occasion when a nurse raised a concern while, by their account, the unit’s routinely reported indicators appeared satisfactory. Two described concerns raised when indicators were unfavourable or were not referred to, and two described their usual practice without a specific incident. These four accounts contributed to findings on anticipated evidential demands and organisational conditions (Sections 3.5.3 and 3.7), but not to findings about judgements in qualifying situations.</w:t>
      </w:r>
    </w:p>
    <w:p>
      <w:r>
        <w:rPr>
          <w:b w:val="0"/>
        </w:rPr>
        <w:t>In the 19 qualifying accounts, managers referred most often to falls (n = 8) and hospital-acquired pressure injuries (n = 6), followed by patient-experience scores (n = 3) and medication-administration incidents (n = 2). The concerns related to staffing or skill mix (n = 7), missed or delayed care (n = 6), patient deterioration or clinical monitoring (n = 3) and clinical practice or communication (n = 3). In 15 accounts, the indicator the manager cited did not measure the aspect or period of care to which the concern related; in the remaining four, the indicator and the concern addressed the same domain. These counts describe the accounts analysed and are not used to represent the frequency of such situations in practice.</w:t>
      </w:r>
    </w:p>
    <w:p>
      <w:pPr>
        <w:pStyle w:val="Heading2"/>
      </w:pPr>
      <w:r>
        <w:t>3.3 Overview of themes</w:t>
      </w:r>
    </w:p>
    <w:p>
      <w:r>
        <w:rPr>
          <w:b w:val="0"/>
        </w:rPr>
        <w:t>Four themes describe how managers judged and responded to nurses’ concerns when indicators appeared reassuring (Table 2). Managers first weighed concerns against a presumption of safety created by satisfactory indicators (Theme 1). They then decided who should establish that a concern warranted action (Theme 2), and responded through local adjustment, negotiated escalation and largely informal feedback (Theme 3). Organisational arrangements shaped each of these steps (Theme 4).</w:t>
      </w:r>
    </w:p>
    <w:p>
      <w:r>
        <w:rPr>
          <w:b w:val="0"/>
        </w:rPr>
        <w:t>Quotations are attributed by participant and hospital code; † indicates a quotation translated from Arabic. Words in square brackets were added to clarify meaning or replaced to protect anonymity.</w:t>
      </w:r>
    </w:p>
    <w:p>
      <w:r>
        <w:rPr>
          <w:b/>
        </w:rPr>
        <w:t>Table 2. Themes, subthemes, descriptions and corresponding study objectives</w:t>
      </w:r>
    </w:p>
    <w:tbl>
      <w:tblPr>
        <w:tblStyle w:val="TableGrid"/>
        <w:tblW w:type="auto" w:w="0"/>
        <w:tblLayout w:type="fixed"/>
        <w:tblLook w:firstColumn="1" w:firstRow="1" w:lastColumn="0" w:lastRow="0" w:noHBand="0" w:noVBand="1" w:val="04A0"/>
      </w:tblPr>
      <w:tblGrid>
        <w:gridCol w:w="1872"/>
        <w:gridCol w:w="2736"/>
        <w:gridCol w:w="3960"/>
        <w:gridCol w:w="1080"/>
      </w:tblGrid>
      <w:tr>
        <w:tc>
          <w:tcPr>
            <w:tcW w:type="dxa" w:w="1872"/>
            <w:shd w:val="clear" w:color="auto" w:fill="D9E2F3"/>
          </w:tcPr>
          <w:p>
            <w:r/>
            <w:r>
              <w:rPr>
                <w:b/>
                <w:sz w:val="19"/>
              </w:rPr>
              <w:t>Theme</w:t>
            </w:r>
          </w:p>
        </w:tc>
        <w:tc>
          <w:tcPr>
            <w:tcW w:type="dxa" w:w="2736"/>
            <w:shd w:val="clear" w:color="auto" w:fill="D9E2F3"/>
          </w:tcPr>
          <w:p>
            <w:r/>
            <w:r>
              <w:rPr>
                <w:b/>
                <w:sz w:val="19"/>
              </w:rPr>
              <w:t>Subtheme</w:t>
            </w:r>
          </w:p>
        </w:tc>
        <w:tc>
          <w:tcPr>
            <w:tcW w:type="dxa" w:w="3960"/>
            <w:shd w:val="clear" w:color="auto" w:fill="D9E2F3"/>
          </w:tcPr>
          <w:p>
            <w:r/>
            <w:r>
              <w:rPr>
                <w:b/>
                <w:sz w:val="19"/>
              </w:rPr>
              <w:t>Description</w:t>
            </w:r>
          </w:p>
        </w:tc>
        <w:tc>
          <w:tcPr>
            <w:tcW w:type="dxa" w:w="1080"/>
            <w:shd w:val="clear" w:color="auto" w:fill="D9E2F3"/>
          </w:tcPr>
          <w:p>
            <w:r/>
            <w:r>
              <w:rPr>
                <w:b/>
                <w:sz w:val="19"/>
              </w:rPr>
              <w:t>Objective</w:t>
            </w:r>
          </w:p>
        </w:tc>
      </w:tr>
      <w:tr>
        <w:tc>
          <w:tcPr>
            <w:tcW w:type="dxa" w:w="1872"/>
            <w:vMerge w:val="restart"/>
          </w:tcPr>
          <w:p>
            <w:r/>
            <w:r>
              <w:rPr>
                <w:sz w:val="19"/>
              </w:rPr>
              <w:t>Theme 1. Weighing concerns against reassuring indicators</w:t>
            </w:r>
          </w:p>
        </w:tc>
        <w:tc>
          <w:tcPr>
            <w:tcW w:type="dxa" w:w="2736"/>
          </w:tcPr>
          <w:p>
            <w:r/>
            <w:r>
              <w:rPr>
                <w:sz w:val="19"/>
              </w:rPr>
              <w:t>“Green means safe until shown otherwise”: indicators as the starting presumption</w:t>
            </w:r>
          </w:p>
        </w:tc>
        <w:tc>
          <w:tcPr>
            <w:tcW w:type="dxa" w:w="3960"/>
          </w:tcPr>
          <w:p>
            <w:r/>
            <w:r>
              <w:rPr>
                <w:sz w:val="19"/>
              </w:rPr>
              <w:t>Satisfactory indicators established a default presumption that care was safe, which a concern had to overcome.</w:t>
            </w:r>
          </w:p>
        </w:tc>
        <w:tc>
          <w:tcPr>
            <w:tcW w:type="dxa" w:w="1080"/>
            <w:vMerge w:val="restart"/>
          </w:tcPr>
          <w:p>
            <w:pPr>
              <w:jc w:val="center"/>
            </w:pPr>
            <w:r/>
            <w:r>
              <w:rPr>
                <w:sz w:val="19"/>
              </w:rPr>
              <w:t>1</w:t>
            </w:r>
          </w:p>
        </w:tc>
      </w:tr>
      <w:tr>
        <w:tc>
          <w:tcPr>
            <w:tcW w:type="dxa" w:w="1872"/>
            <w:vMerge/>
          </w:tcPr>
          <w:p/>
        </w:tc>
        <w:tc>
          <w:tcPr>
            <w:tcW w:type="dxa" w:w="2736"/>
          </w:tcPr>
          <w:p>
            <w:r/>
            <w:r>
              <w:rPr>
                <w:sz w:val="19"/>
              </w:rPr>
              <w:t>“The dashboard is about last month”: recognising what indicators cannot show</w:t>
            </w:r>
          </w:p>
        </w:tc>
        <w:tc>
          <w:tcPr>
            <w:tcW w:type="dxa" w:w="3960"/>
          </w:tcPr>
          <w:p>
            <w:r/>
            <w:r>
              <w:rPr>
                <w:sz w:val="19"/>
              </w:rPr>
              <w:t>Indicators recorded past outcomes, whereas concerns described current processes and conditions; where both addressed the same domain, a reassuring result could prompt doubt.</w:t>
            </w:r>
          </w:p>
        </w:tc>
        <w:tc>
          <w:tcPr>
            <w:tcW w:type="dxa" w:w="1080"/>
            <w:vMerge/>
          </w:tcPr>
          <w:p/>
        </w:tc>
      </w:tr>
      <w:tr>
        <w:tc>
          <w:tcPr>
            <w:tcW w:type="dxa" w:w="1872"/>
            <w:vMerge/>
          </w:tcPr>
          <w:p/>
        </w:tc>
        <w:tc>
          <w:tcPr>
            <w:tcW w:type="dxa" w:w="2736"/>
          </w:tcPr>
          <w:p>
            <w:r/>
            <w:r>
              <w:rPr>
                <w:sz w:val="19"/>
              </w:rPr>
              <w:t>“Who is saying it, and how”: credibility through the messenger and the detail</w:t>
            </w:r>
          </w:p>
        </w:tc>
        <w:tc>
          <w:tcPr>
            <w:tcW w:type="dxa" w:w="3960"/>
          </w:tcPr>
          <w:p>
            <w:r/>
            <w:r>
              <w:rPr>
                <w:sz w:val="19"/>
              </w:rPr>
              <w:t>Credibility depended on who raised the concern, how specific the account was and whether others said the same thing independently.</w:t>
            </w:r>
          </w:p>
        </w:tc>
        <w:tc>
          <w:tcPr>
            <w:tcW w:type="dxa" w:w="1080"/>
            <w:vMerge/>
          </w:tcPr>
          <w:p/>
        </w:tc>
      </w:tr>
      <w:tr>
        <w:tc>
          <w:tcPr>
            <w:tcW w:type="dxa" w:w="1872"/>
            <w:vMerge w:val="restart"/>
          </w:tcPr>
          <w:p>
            <w:r/>
            <w:r>
              <w:rPr>
                <w:sz w:val="19"/>
              </w:rPr>
              <w:t>Theme 2. Allocating the burden of proof</w:t>
            </w:r>
          </w:p>
        </w:tc>
        <w:tc>
          <w:tcPr>
            <w:tcW w:type="dxa" w:w="2736"/>
          </w:tcPr>
          <w:p>
            <w:r/>
            <w:r>
              <w:rPr>
                <w:sz w:val="19"/>
              </w:rPr>
              <w:t>“Put it in writing”: asking nurses to document concerns</w:t>
            </w:r>
          </w:p>
        </w:tc>
        <w:tc>
          <w:tcPr>
            <w:tcW w:type="dxa" w:w="3960"/>
          </w:tcPr>
          <w:p>
            <w:r/>
            <w:r>
              <w:rPr>
                <w:sz w:val="19"/>
              </w:rPr>
              <w:t>Managers asked nurses for written reports to make concerns visible to the organisation; this could also delay action.</w:t>
            </w:r>
          </w:p>
        </w:tc>
        <w:tc>
          <w:tcPr>
            <w:tcW w:type="dxa" w:w="1080"/>
            <w:vMerge w:val="restart"/>
          </w:tcPr>
          <w:p>
            <w:pPr>
              <w:jc w:val="center"/>
            </w:pPr>
            <w:r/>
            <w:r>
              <w:rPr>
                <w:sz w:val="19"/>
              </w:rPr>
              <w:t>2</w:t>
            </w:r>
          </w:p>
        </w:tc>
      </w:tr>
      <w:tr>
        <w:tc>
          <w:tcPr>
            <w:tcW w:type="dxa" w:w="1872"/>
            <w:vMerge/>
          </w:tcPr>
          <w:p/>
        </w:tc>
        <w:tc>
          <w:tcPr>
            <w:tcW w:type="dxa" w:w="2736"/>
          </w:tcPr>
          <w:p>
            <w:r/>
            <w:r>
              <w:rPr>
                <w:sz w:val="19"/>
              </w:rPr>
              <w:t>“I went and saw it myself”: managers carrying the burden</w:t>
            </w:r>
          </w:p>
        </w:tc>
        <w:tc>
          <w:tcPr>
            <w:tcW w:type="dxa" w:w="3960"/>
          </w:tcPr>
          <w:p>
            <w:r/>
            <w:r>
              <w:rPr>
                <w:sz w:val="19"/>
              </w:rPr>
              <w:t>Some managers gathered evidence themselves through observation and audit, often in their own time.</w:t>
            </w:r>
          </w:p>
        </w:tc>
        <w:tc>
          <w:tcPr>
            <w:tcW w:type="dxa" w:w="1080"/>
            <w:vMerge/>
          </w:tcPr>
          <w:p/>
        </w:tc>
      </w:tr>
      <w:tr>
        <w:tc>
          <w:tcPr>
            <w:tcW w:type="dxa" w:w="1872"/>
            <w:vMerge/>
          </w:tcPr>
          <w:p/>
        </w:tc>
        <w:tc>
          <w:tcPr>
            <w:tcW w:type="dxa" w:w="2736"/>
          </w:tcPr>
          <w:p>
            <w:r/>
            <w:r>
              <w:rPr>
                <w:sz w:val="19"/>
              </w:rPr>
              <w:t>“Upstairs they ask for numbers”: anticipating evidential demands from above</w:t>
            </w:r>
          </w:p>
        </w:tc>
        <w:tc>
          <w:tcPr>
            <w:tcW w:type="dxa" w:w="3960"/>
          </w:tcPr>
          <w:p>
            <w:r/>
            <w:r>
              <w:rPr>
                <w:sz w:val="19"/>
              </w:rPr>
              <w:t>Managers’ requests reflected the evidence they expected senior managers and quality meetings to require, so demands passed down the hierarchy.</w:t>
            </w:r>
          </w:p>
        </w:tc>
        <w:tc>
          <w:tcPr>
            <w:tcW w:type="dxa" w:w="1080"/>
            <w:vMerge/>
          </w:tcPr>
          <w:p/>
        </w:tc>
      </w:tr>
      <w:tr>
        <w:tc>
          <w:tcPr>
            <w:tcW w:type="dxa" w:w="1872"/>
            <w:vMerge/>
          </w:tcPr>
          <w:p/>
        </w:tc>
        <w:tc>
          <w:tcPr>
            <w:tcW w:type="dxa" w:w="2736"/>
          </w:tcPr>
          <w:p>
            <w:r/>
            <w:r>
              <w:rPr>
                <w:sz w:val="19"/>
              </w:rPr>
              <w:t>“Some things you do not wait to prove”: acting without substantiation</w:t>
            </w:r>
          </w:p>
        </w:tc>
        <w:tc>
          <w:tcPr>
            <w:tcW w:type="dxa" w:w="3960"/>
          </w:tcPr>
          <w:p>
            <w:r/>
            <w:r>
              <w:rPr>
                <w:sz w:val="19"/>
              </w:rPr>
              <w:t>Concerns involving immediate clinical risk were acted on without substantiation; concerns with resource implications required a case.</w:t>
            </w:r>
          </w:p>
        </w:tc>
        <w:tc>
          <w:tcPr>
            <w:tcW w:type="dxa" w:w="1080"/>
            <w:vMerge/>
          </w:tcPr>
          <w:p/>
        </w:tc>
      </w:tr>
      <w:tr>
        <w:tc>
          <w:tcPr>
            <w:tcW w:type="dxa" w:w="1872"/>
            <w:vMerge w:val="restart"/>
          </w:tcPr>
          <w:p>
            <w:r/>
            <w:r>
              <w:rPr>
                <w:sz w:val="19"/>
              </w:rPr>
              <w:t>Theme 3. Responding, escalating and closing the loop</w:t>
            </w:r>
          </w:p>
        </w:tc>
        <w:tc>
          <w:tcPr>
            <w:tcW w:type="dxa" w:w="2736"/>
          </w:tcPr>
          <w:p>
            <w:r/>
            <w:r>
              <w:rPr>
                <w:sz w:val="19"/>
              </w:rPr>
              <w:t>“Fix it inside the unit”: graduated local responses</w:t>
            </w:r>
          </w:p>
        </w:tc>
        <w:tc>
          <w:tcPr>
            <w:tcW w:type="dxa" w:w="3960"/>
          </w:tcPr>
          <w:p>
            <w:r/>
            <w:r>
              <w:rPr>
                <w:sz w:val="19"/>
              </w:rPr>
              <w:t>Concerns were often resolved within the unit, which was quick but left no trace in organisational information.</w:t>
            </w:r>
          </w:p>
        </w:tc>
        <w:tc>
          <w:tcPr>
            <w:tcW w:type="dxa" w:w="1080"/>
            <w:vMerge w:val="restart"/>
          </w:tcPr>
          <w:p>
            <w:pPr>
              <w:jc w:val="center"/>
            </w:pPr>
            <w:r/>
            <w:r>
              <w:rPr>
                <w:sz w:val="19"/>
              </w:rPr>
              <w:t>3</w:t>
            </w:r>
          </w:p>
        </w:tc>
      </w:tr>
      <w:tr>
        <w:tc>
          <w:tcPr>
            <w:tcW w:type="dxa" w:w="1872"/>
            <w:vMerge/>
          </w:tcPr>
          <w:p/>
        </w:tc>
        <w:tc>
          <w:tcPr>
            <w:tcW w:type="dxa" w:w="2736"/>
          </w:tcPr>
          <w:p>
            <w:r/>
            <w:r>
              <w:rPr>
                <w:sz w:val="19"/>
              </w:rPr>
              <w:t>“Dress the concern in numbers”: escalation as translation</w:t>
            </w:r>
          </w:p>
        </w:tc>
        <w:tc>
          <w:tcPr>
            <w:tcW w:type="dxa" w:w="3960"/>
          </w:tcPr>
          <w:p>
            <w:r/>
            <w:r>
              <w:rPr>
                <w:sz w:val="19"/>
              </w:rPr>
              <w:t>Escalation required concerns to be reframed in measures senior managers recognised; some gained attention only after harm was counted.</w:t>
            </w:r>
          </w:p>
        </w:tc>
        <w:tc>
          <w:tcPr>
            <w:tcW w:type="dxa" w:w="1080"/>
            <w:vMerge/>
          </w:tcPr>
          <w:p/>
        </w:tc>
      </w:tr>
      <w:tr>
        <w:tc>
          <w:tcPr>
            <w:tcW w:type="dxa" w:w="1872"/>
            <w:vMerge/>
          </w:tcPr>
          <w:p/>
        </w:tc>
        <w:tc>
          <w:tcPr>
            <w:tcW w:type="dxa" w:w="2736"/>
          </w:tcPr>
          <w:p>
            <w:r/>
            <w:r>
              <w:rPr>
                <w:sz w:val="19"/>
              </w:rPr>
              <w:t>“I told her in the corridor”: informal and uneven feedback</w:t>
            </w:r>
          </w:p>
        </w:tc>
        <w:tc>
          <w:tcPr>
            <w:tcW w:type="dxa" w:w="3960"/>
          </w:tcPr>
          <w:p>
            <w:r/>
            <w:r>
              <w:rPr>
                <w:sz w:val="19"/>
              </w:rPr>
              <w:t>Feedback to nurses was usually informal and unrecorded, and sometimes absent, with consequences for future speaking up.</w:t>
            </w:r>
          </w:p>
        </w:tc>
        <w:tc>
          <w:tcPr>
            <w:tcW w:type="dxa" w:w="1080"/>
            <w:vMerge/>
          </w:tcPr>
          <w:p/>
        </w:tc>
      </w:tr>
      <w:tr>
        <w:tc>
          <w:tcPr>
            <w:tcW w:type="dxa" w:w="1872"/>
            <w:vMerge w:val="restart"/>
          </w:tcPr>
          <w:p>
            <w:r/>
            <w:r>
              <w:rPr>
                <w:sz w:val="19"/>
              </w:rPr>
              <w:t>Theme 4. Organisational conditions shaping the burden of proof</w:t>
            </w:r>
          </w:p>
        </w:tc>
        <w:tc>
          <w:tcPr>
            <w:tcW w:type="dxa" w:w="2736"/>
          </w:tcPr>
          <w:p>
            <w:r/>
            <w:r>
              <w:rPr>
                <w:sz w:val="19"/>
              </w:rPr>
              <w:t>“There is no slide for worry”: dashboard-centred quality meetings</w:t>
            </w:r>
          </w:p>
        </w:tc>
        <w:tc>
          <w:tcPr>
            <w:tcW w:type="dxa" w:w="3960"/>
          </w:tcPr>
          <w:p>
            <w:r/>
            <w:r>
              <w:rPr>
                <w:sz w:val="19"/>
              </w:rPr>
              <w:t>Fixed, indicator-based agendas left no routine space for concerns that indicators did not capture.</w:t>
            </w:r>
          </w:p>
        </w:tc>
        <w:tc>
          <w:tcPr>
            <w:tcW w:type="dxa" w:w="1080"/>
            <w:vMerge w:val="restart"/>
          </w:tcPr>
          <w:p>
            <w:pPr>
              <w:jc w:val="center"/>
            </w:pPr>
            <w:r/>
            <w:r>
              <w:rPr>
                <w:sz w:val="19"/>
              </w:rPr>
              <w:t>4</w:t>
            </w:r>
          </w:p>
        </w:tc>
      </w:tr>
      <w:tr>
        <w:tc>
          <w:tcPr>
            <w:tcW w:type="dxa" w:w="1872"/>
            <w:vMerge/>
          </w:tcPr>
          <w:p/>
        </w:tc>
        <w:tc>
          <w:tcPr>
            <w:tcW w:type="dxa" w:w="2736"/>
          </w:tcPr>
          <w:p>
            <w:r/>
            <w:r>
              <w:rPr>
                <w:sz w:val="19"/>
              </w:rPr>
              <w:t>“Proof is the currency for resources”: limited managerial authority</w:t>
            </w:r>
          </w:p>
        </w:tc>
        <w:tc>
          <w:tcPr>
            <w:tcW w:type="dxa" w:w="3960"/>
          </w:tcPr>
          <w:p>
            <w:r/>
            <w:r>
              <w:rPr>
                <w:sz w:val="19"/>
              </w:rPr>
              <w:t>Limited authority over staffing and budgets meant that any response with a cost required evidential justification.</w:t>
            </w:r>
          </w:p>
        </w:tc>
        <w:tc>
          <w:tcPr>
            <w:tcW w:type="dxa" w:w="1080"/>
            <w:vMerge/>
          </w:tcPr>
          <w:p/>
        </w:tc>
      </w:tr>
      <w:tr>
        <w:tc>
          <w:tcPr>
            <w:tcW w:type="dxa" w:w="1872"/>
            <w:vMerge/>
          </w:tcPr>
          <w:p/>
        </w:tc>
        <w:tc>
          <w:tcPr>
            <w:tcW w:type="dxa" w:w="2736"/>
          </w:tcPr>
          <w:p>
            <w:r/>
            <w:r>
              <w:rPr>
                <w:sz w:val="19"/>
              </w:rPr>
              <w:t>“It comes on WhatsApp at night”: informal channels and a diverse workforce</w:t>
            </w:r>
          </w:p>
        </w:tc>
        <w:tc>
          <w:tcPr>
            <w:tcW w:type="dxa" w:w="3960"/>
          </w:tcPr>
          <w:p>
            <w:r/>
            <w:r>
              <w:rPr>
                <w:sz w:val="19"/>
              </w:rPr>
              <w:t>Messaging applications and differences in communication style affected how concerns were raised, recorded and recognised.</w:t>
            </w:r>
          </w:p>
        </w:tc>
        <w:tc>
          <w:tcPr>
            <w:tcW w:type="dxa" w:w="1080"/>
            <w:vMerge/>
          </w:tcPr>
          <w:p/>
        </w:tc>
      </w:tr>
    </w:tbl>
    <w:p>
      <w:r>
        <w:rPr>
          <w:i/>
          <w:sz w:val="18"/>
        </w:rPr>
        <w:t>Each theme is mapped to its primary objective; findings across themes also inform the other objectives.</w:t>
      </w:r>
    </w:p>
    <w:p>
      <w:pPr>
        <w:pStyle w:val="Heading2"/>
      </w:pPr>
      <w:r>
        <w:t>3.4 Theme 1. Weighing concerns against reassuring indicators</w:t>
      </w:r>
    </w:p>
    <w:p>
      <w:r>
        <w:rPr>
          <w:b w:val="0"/>
        </w:rPr>
        <w:t>Managers did not treat satisfactory indicators and nurses’ concerns as equal sources of information. Indicators set a starting presumption that care was safe, and a concern had to displace that presumption. How readily it did so depended on whether managers saw a gap between what the indicator measured and what the nurse described, and on who raised the concern and how.</w:t>
      </w:r>
    </w:p>
    <w:p>
      <w:pPr>
        <w:pStyle w:val="Heading3"/>
      </w:pPr>
      <w:r>
        <w:t>3.4.1 “Green means safe until shown otherwise”: indicators as the starting presumption</w:t>
      </w:r>
    </w:p>
    <w:p>
      <w:r>
        <w:rPr>
          <w:b w:val="0"/>
        </w:rPr>
        <w:t>Across hospitals, a run of satisfactory results shaped managers’ first reaction to a concern. Several described this presumption as inherited from the organisation rather than chosen:</w:t>
      </w:r>
    </w:p>
    <w:p>
      <w:pPr>
        <w:spacing w:after="160"/>
        <w:ind w:left="720" w:right="576"/>
      </w:pPr>
      <w:r>
        <w:rPr>
          <w:i/>
        </w:rPr>
        <w:t xml:space="preserve">“When the dashboard is green for three months, you start from the position that the unit is safe. Not because you decided it, but because that is what everyone above you is looking at.” </w:t>
      </w:r>
      <w:r>
        <w:t>(P05, H1)</w:t>
      </w:r>
    </w:p>
    <w:p>
      <w:r>
        <w:rPr>
          <w:b w:val="0"/>
        </w:rPr>
        <w:t>The presumption is described here as organisational rather than personal. The manager’s starting point mirrored what senior managers monitored, so the dashboard defined what counted as normal before any concern was heard. The same presumption shaped how concerns on unrelated matters were first received:</w:t>
      </w:r>
    </w:p>
    <w:p>
      <w:pPr>
        <w:spacing w:after="160"/>
        <w:ind w:left="720" w:right="576"/>
      </w:pPr>
      <w:r>
        <w:rPr>
          <w:i/>
        </w:rPr>
        <w:t xml:space="preserve">“The falls rate was zero for the whole quarter. So when she told me the night shift could not watch the confused patients, my first thought, honestly, was: but we have no falls.” </w:t>
      </w:r>
      <w:r>
        <w:t>(P15, H4†)</w:t>
      </w:r>
    </w:p>
    <w:p>
      <w:r>
        <w:rPr>
          <w:b w:val="0"/>
        </w:rPr>
        <w:t>In this account, a favourable outcome indicator was set against a concern about supervision at night as though the two were directly comparable. The absence of falls was treated, at least initially, as an answer to a concern about risk. Daily exposure to the dashboard and the quality office’s attention to it reinforced its position as the default account of the unit:</w:t>
      </w:r>
    </w:p>
    <w:p>
      <w:pPr>
        <w:spacing w:after="160"/>
        <w:ind w:left="720" w:right="576"/>
      </w:pPr>
      <w:r>
        <w:rPr>
          <w:i/>
        </w:rPr>
        <w:t xml:space="preserve">“Green is comfortable. It is the first thing I see in the morning and the first thing the quality office asks about.” </w:t>
      </w:r>
      <w:r>
        <w:t>(P23, H6)</w:t>
      </w:r>
    </w:p>
    <w:p>
      <w:r>
        <w:rPr>
          <w:b w:val="0"/>
        </w:rPr>
        <w:t>Not all managers accepted the presumption in the same way. Managers with longer managerial experience more often described having learned to treat a satisfactory result with caution:</w:t>
      </w:r>
    </w:p>
    <w:p>
      <w:pPr>
        <w:spacing w:after="160"/>
        <w:ind w:left="720" w:right="576"/>
      </w:pPr>
      <w:r>
        <w:rPr>
          <w:i/>
        </w:rPr>
        <w:t xml:space="preserve">“After many years you learn that green can mean nothing has happened yet. It does not mean nothing is happening.” </w:t>
      </w:r>
      <w:r>
        <w:t>(P10, H3)</w:t>
      </w:r>
    </w:p>
    <w:p>
      <w:r>
        <w:rPr>
          <w:b w:val="0"/>
        </w:rPr>
        <w:t>The distinction between nothing having happened and nothing happening suggests that the presumption of safety was learned within the organisation and could be revised through experience of problems that indicators had not anticipated. For less experienced managers, the presumption more often went unexamined until a concern challenged it.</w:t>
      </w:r>
    </w:p>
    <w:p>
      <w:pPr>
        <w:pStyle w:val="Heading3"/>
      </w:pPr>
      <w:r>
        <w:t>3.4.2 “The dashboard is about last month”: recognising what indicators cannot show</w:t>
      </w:r>
    </w:p>
    <w:p>
      <w:r>
        <w:rPr>
          <w:b w:val="0"/>
        </w:rPr>
        <w:t>In 15 of the 19 qualifying accounts, the indicator the manager cited did not measure the aspect or period of care the nurse was concerned about. Managers who recognised this gap described the difference in terms of timing and content:</w:t>
      </w:r>
    </w:p>
    <w:p>
      <w:pPr>
        <w:spacing w:after="160"/>
        <w:ind w:left="720" w:right="576"/>
      </w:pPr>
      <w:r>
        <w:rPr>
          <w:i/>
        </w:rPr>
        <w:t xml:space="preserve">“Our pressure injury rate was excellent. But the nurse was telling me we were turning patients every four hours instead of two because we were short. The indicator will show that in a month, maybe two. By then it is a wound.” </w:t>
      </w:r>
      <w:r>
        <w:t>(P02, H1)</w:t>
      </w:r>
    </w:p>
    <w:p>
      <w:r>
        <w:rPr>
          <w:b w:val="0"/>
        </w:rPr>
        <w:t>The manager distinguished the time frame of the indicator from that of the concern. The nurse described a process failure in the present that the outcome indicator would register only once harm had occurred. In other accounts the gap concerned what was measured rather than when:</w:t>
      </w:r>
    </w:p>
    <w:p>
      <w:pPr>
        <w:spacing w:after="160"/>
        <w:ind w:left="720" w:right="576"/>
      </w:pPr>
      <w:r>
        <w:rPr>
          <w:i/>
        </w:rPr>
        <w:t xml:space="preserve">“The indicator counts falls. Her concern was that night observations were being written but not done. No indicator in the hospital counts that.” </w:t>
      </w:r>
      <w:r>
        <w:t>(P17, H4†)</w:t>
      </w:r>
    </w:p>
    <w:p>
      <w:r>
        <w:rPr>
          <w:b w:val="0"/>
        </w:rPr>
        <w:t>Here the concern related to a practice, recorded but omitted observations, that no routine indicator was designed to capture. One manager summarised the temporal mismatch that many described:</w:t>
      </w:r>
    </w:p>
    <w:p>
      <w:pPr>
        <w:spacing w:after="160"/>
        <w:ind w:left="720" w:right="576"/>
      </w:pPr>
      <w:r>
        <w:rPr>
          <w:i/>
        </w:rPr>
        <w:t xml:space="preserve">“The dashboard is about last month. The nurse is talking about tonight.” </w:t>
      </w:r>
      <w:r>
        <w:t>(P18, H5)</w:t>
      </w:r>
    </w:p>
    <w:p>
      <w:r>
        <w:rPr>
          <w:b w:val="0"/>
        </w:rPr>
        <w:t>Patient-experience scores were described as particularly limited as a check on nurses’ concerns, because high satisfaction could reflect patients’ gratitude and short stays rather than the quality of care that nurses observed:</w:t>
      </w:r>
    </w:p>
    <w:p>
      <w:pPr>
        <w:spacing w:after="160"/>
        <w:ind w:left="720" w:right="576"/>
      </w:pPr>
      <w:r>
        <w:rPr>
          <w:i/>
        </w:rPr>
        <w:t xml:space="preserve">“Satisfaction was more than ninety percent. [Patients] are grateful and they go home quickly; they do not complain. The nurse saw what the survey never asks about.” </w:t>
      </w:r>
      <w:r>
        <w:t>(P11, H3†)</w:t>
      </w:r>
    </w:p>
    <w:p>
      <w:r>
        <w:rPr>
          <w:b w:val="0"/>
        </w:rPr>
        <w:t>Where the indicator and the concern addressed the same domain, the relationship could reverse. In one of the four matched accounts, a satisfactory result became a reason for doubt rather than reassurance:</w:t>
      </w:r>
    </w:p>
    <w:p>
      <w:pPr>
        <w:spacing w:after="160"/>
        <w:ind w:left="720" w:right="576"/>
      </w:pPr>
      <w:r>
        <w:rPr>
          <w:i/>
        </w:rPr>
        <w:t xml:space="preserve">“This time the concern and the indicator were about the same thing. And that made me more worried, not less: zero pressure injuries with that acuity and that staffing did not make sense to me. So I started asking how the skin assessments were being recorded.” </w:t>
      </w:r>
      <w:r>
        <w:t>(P07, H2†)</w:t>
      </w:r>
    </w:p>
    <w:p>
      <w:r>
        <w:rPr>
          <w:b w:val="0"/>
        </w:rPr>
        <w:t>Rather than weighing the concern against the indicator, this manager used the concern to question how the indicator data were produced. This form of active problem-sensing was uncommon in the accounts. Across the subtheme, recognising the gap between measure and concern did not by itself determine the response; it raised the question of what further information was needed, examined in Theme 2.</w:t>
      </w:r>
    </w:p>
    <w:p>
      <w:pPr>
        <w:pStyle w:val="Heading3"/>
      </w:pPr>
      <w:r>
        <w:t>3.4.3 “Who is saying it, and how”: credibility through the messenger and the detail</w:t>
      </w:r>
    </w:p>
    <w:p>
      <w:r>
        <w:rPr>
          <w:b w:val="0"/>
        </w:rPr>
        <w:t>Managers judged credibility through the nurse raising the concern, the specificity of the account and whether others said the same thing independently. The person raising the concern was often weighed as heavily as its content:</w:t>
      </w:r>
    </w:p>
    <w:p>
      <w:pPr>
        <w:spacing w:after="160"/>
        <w:ind w:left="720" w:right="576"/>
      </w:pPr>
      <w:r>
        <w:rPr>
          <w:i/>
        </w:rPr>
        <w:t xml:space="preserve">“If it comes from a senior nurse who has never complained before, I take it immediately. Some staff complain every shift, and I am sorry to say I listen to them less.” </w:t>
      </w:r>
      <w:r>
        <w:t>(P13, H3)</w:t>
      </w:r>
    </w:p>
    <w:p>
      <w:r>
        <w:rPr>
          <w:b w:val="0"/>
        </w:rPr>
        <w:t>A record of rarely complaining increased the weight given to a concern, whereas frequent complaining reduced it, which the manager acknowledged with some discomfort. Independent corroboration could also stand in for formal evidence:</w:t>
      </w:r>
    </w:p>
    <w:p>
      <w:pPr>
        <w:spacing w:after="160"/>
        <w:ind w:left="720" w:right="576"/>
      </w:pPr>
      <w:r>
        <w:rPr>
          <w:i/>
        </w:rPr>
        <w:t xml:space="preserve">“When two nurses from different shifts tell me the same thing without talking to each other, that is my evidence.” </w:t>
      </w:r>
      <w:r>
        <w:t>(P06, H2†)</w:t>
      </w:r>
    </w:p>
    <w:p>
      <w:r>
        <w:rPr>
          <w:b w:val="0"/>
        </w:rPr>
        <w:t>For this manager, agreement among nurses was sufficient substantiation, so that corroboration substituted for documentation. Specificity worked in a similar way, because it made a concern checkable:</w:t>
      </w:r>
    </w:p>
    <w:p>
      <w:pPr>
        <w:spacing w:after="160"/>
        <w:ind w:left="720" w:right="576"/>
      </w:pPr>
      <w:r>
        <w:rPr>
          <w:i/>
        </w:rPr>
        <w:t xml:space="preserve">“Detail matters. ‘The unit is unsafe’ I cannot do anything with. ‘The patient in the side room waited forty minutes for suction’, that I can check.” </w:t>
      </w:r>
      <w:r>
        <w:t>(P21, H6)</w:t>
      </w:r>
    </w:p>
    <w:p>
      <w:r>
        <w:rPr>
          <w:b w:val="0"/>
        </w:rPr>
        <w:t>General statements about safety were difficult to act on, whereas a concrete event gave the manager something to verify. Some managers recognised that these criteria could disadvantage nurses who raised concerns less often or less forcefully:</w:t>
      </w:r>
    </w:p>
    <w:p>
      <w:pPr>
        <w:spacing w:after="160"/>
        <w:ind w:left="720" w:right="576"/>
      </w:pPr>
      <w:r>
        <w:rPr>
          <w:i/>
        </w:rPr>
        <w:t xml:space="preserve">“I know I trust some nurses more than others. I worry about that, because the quiet ones are often the ones who do not tell me at all.” </w:t>
      </w:r>
      <w:r>
        <w:t>(P01, H1†)</w:t>
      </w:r>
    </w:p>
    <w:p>
      <w:r>
        <w:rPr>
          <w:b w:val="0"/>
        </w:rPr>
        <w:t>This reflection identifies a limitation of judgements based on the messenger. Nurses who were newer, less confident or who expressed concerns tentatively, including some who had trained abroad (Section 3.7.3), may have had their concerns given less weight or may not have raised them at all.</w:t>
      </w:r>
    </w:p>
    <w:p>
      <w:pPr>
        <w:pStyle w:val="Heading2"/>
      </w:pPr>
      <w:r>
        <w:t>3.5 Theme 2. Allocating the burden of proof</w:t>
      </w:r>
    </w:p>
    <w:p>
      <w:r>
        <w:rPr>
          <w:b w:val="0"/>
        </w:rPr>
        <w:t>When a concern did not match the indicators, managers decided whether further substantiation was needed and who should obtain it. These decisions were not fixed. They varied with the type of concern, with the manager’s capacity to investigate and with what managers expected to be asked for when they took the concern further.</w:t>
      </w:r>
    </w:p>
    <w:p>
      <w:pPr>
        <w:pStyle w:val="Heading3"/>
      </w:pPr>
      <w:r>
        <w:t>3.5.1 “Put it in writing”: asking nurses to document concerns</w:t>
      </w:r>
    </w:p>
    <w:p>
      <w:r>
        <w:rPr>
          <w:b w:val="0"/>
        </w:rPr>
        <w:t>In 11 of the 19 qualifying accounts, managers asked the nurse for a written account or an incident report before acting. Documentation was raised spontaneously in early interviews, which led to the documentation probe added after interview 12. Managers presented documentation as a way of making a concern visible to the organisation:</w:t>
      </w:r>
    </w:p>
    <w:p>
      <w:pPr>
        <w:spacing w:after="160"/>
        <w:ind w:left="720" w:right="576"/>
      </w:pPr>
      <w:r>
        <w:rPr>
          <w:i/>
        </w:rPr>
        <w:t xml:space="preserve">“I told her, put it in an incident report. Not to punish her. Without the report, it does not exist for the quality department.” </w:t>
      </w:r>
      <w:r>
        <w:t>(P10, H3)</w:t>
      </w:r>
    </w:p>
    <w:p>
      <w:r>
        <w:rPr>
          <w:b w:val="0"/>
        </w:rPr>
        <w:t>The manager framed documentation as a requirement of the quality system rather than a personal demand: an unreported concern had no existence in organisational information. Nurses did not always experience the request in this way:</w:t>
      </w:r>
    </w:p>
    <w:p>
      <w:pPr>
        <w:spacing w:after="160"/>
        <w:ind w:left="720" w:right="576"/>
      </w:pPr>
      <w:r>
        <w:rPr>
          <w:i/>
        </w:rPr>
        <w:t xml:space="preserve">“The nurse was upset. She said, ‘I already told you, why do I need to write it?’ I understood her, but when I go upstairs they ask me: where is the report?” </w:t>
      </w:r>
      <w:r>
        <w:t>(P12, H3†)</w:t>
      </w:r>
    </w:p>
    <w:p>
      <w:r>
        <w:rPr>
          <w:b w:val="0"/>
        </w:rPr>
        <w:t>This exchange shows the burden moving from manager to nurse. The nurse had already raised the concern verbally, and the request for writing reflected the manager’s anticipation of senior managers’ questions (Section 3.5.3) rather than doubt about the nurse’s account. One manager offered a contrasting account of why documentation was requested:</w:t>
      </w:r>
    </w:p>
    <w:p>
      <w:pPr>
        <w:spacing w:after="160"/>
        <w:ind w:left="720" w:right="576"/>
      </w:pPr>
      <w:r>
        <w:rPr>
          <w:i/>
        </w:rPr>
        <w:t xml:space="preserve">“Sometimes asking for documentation is how we slow things down. I have done that, I admit it. It gives you time, and sometimes the problem goes away by itself, and sometimes it does not.” </w:t>
      </w:r>
      <w:r>
        <w:t>(P16, H4)</w:t>
      </w:r>
    </w:p>
    <w:p>
      <w:r>
        <w:rPr>
          <w:b w:val="0"/>
        </w:rPr>
        <w:t>This account is a negative case for the view that documentation only made concerns visible. Requesting documentation could also defer action, and whether that deferral mattered depended on whether the problem resolved before the report was written.</w:t>
      </w:r>
    </w:p>
    <w:p>
      <w:pPr>
        <w:pStyle w:val="Heading3"/>
      </w:pPr>
      <w:r>
        <w:t>3.5.2 “I went and saw it myself”: managers carrying the burden</w:t>
      </w:r>
    </w:p>
    <w:p>
      <w:r>
        <w:rPr>
          <w:b w:val="0"/>
        </w:rPr>
        <w:t>Other managers took responsibility for substantiation themselves by visiting the unit at night, auditing records or working alongside staff:</w:t>
      </w:r>
    </w:p>
    <w:p>
      <w:pPr>
        <w:spacing w:after="160"/>
        <w:ind w:left="720" w:right="576"/>
      </w:pPr>
      <w:r>
        <w:rPr>
          <w:i/>
        </w:rPr>
        <w:t xml:space="preserve">“I did not ask her to bring proof. I came in on the night shift twice, without announcing it, and I saw it with my own eyes.” </w:t>
      </w:r>
      <w:r>
        <w:t>(P04, H1†)</w:t>
      </w:r>
    </w:p>
    <w:p>
      <w:r>
        <w:rPr>
          <w:b w:val="0"/>
        </w:rPr>
        <w:t>By observing the night shift directly, the manager substantiated the concern without placing the burden on the nurse. Others produced evidence through audit:</w:t>
      </w:r>
    </w:p>
    <w:p>
      <w:pPr>
        <w:spacing w:after="160"/>
        <w:ind w:left="720" w:right="576"/>
      </w:pPr>
      <w:r>
        <w:rPr>
          <w:i/>
        </w:rPr>
        <w:t xml:space="preserve">“I audited ten charts myself. It took my whole weekend, but after that nobody could argue with it.” </w:t>
      </w:r>
      <w:r>
        <w:t>(P18, H5)</w:t>
      </w:r>
    </w:p>
    <w:p>
      <w:r>
        <w:rPr>
          <w:b w:val="0"/>
        </w:rPr>
        <w:t>Self-conducted audit produced evidence that could withstand challenge but relied on unpaid time, so the capacity to carry the burden was personal rather than organisational. Some managers described this as a matter of role:</w:t>
      </w:r>
    </w:p>
    <w:p>
      <w:pPr>
        <w:spacing w:after="160"/>
        <w:ind w:left="720" w:right="576"/>
      </w:pPr>
      <w:r>
        <w:rPr>
          <w:i/>
        </w:rPr>
        <w:t xml:space="preserve">“Checking is my job, not hers. She raised it; it is my responsibility to find out whether it is true.” </w:t>
      </w:r>
      <w:r>
        <w:t>(P19, H5†)</w:t>
      </w:r>
    </w:p>
    <w:p>
      <w:r>
        <w:rPr>
          <w:b w:val="0"/>
        </w:rPr>
        <w:t>Managers who held this view described the nurse’s role as raising, not proving, concerns. Comparing these accounts with those in Section 3.5.1 suggests that whether managers asked nurses for evidence or gathered it themselves depended as much on available time as on a view of whose responsibility it was.</w:t>
      </w:r>
    </w:p>
    <w:p>
      <w:pPr>
        <w:pStyle w:val="Heading3"/>
      </w:pPr>
      <w:r>
        <w:t>3.5.3 “Upstairs they ask for numbers”: anticipating evidential demands from above</w:t>
      </w:r>
    </w:p>
    <w:p>
      <w:r>
        <w:rPr>
          <w:b w:val="0"/>
        </w:rPr>
        <w:t>Managers’ expectations of nurses were shaped by what they expected senior managers and quality meetings to require. These expectations were described by managers with and without a qualifying incident:</w:t>
      </w:r>
    </w:p>
    <w:p>
      <w:pPr>
        <w:spacing w:after="160"/>
        <w:ind w:left="720" w:right="576"/>
      </w:pPr>
      <w:r>
        <w:rPr>
          <w:i/>
        </w:rPr>
        <w:t xml:space="preserve">“In the quality meeting, if you say ‘my nurses are worried’, the first question is ‘what do your indicators show?’ If they are green, the discussion is finished.” </w:t>
      </w:r>
      <w:r>
        <w:t>(P14, H4†)</w:t>
      </w:r>
    </w:p>
    <w:p>
      <w:r>
        <w:rPr>
          <w:b w:val="0"/>
        </w:rPr>
        <w:t>In this account, a satisfactory indicator closed discussion at the organisational level, so concerns without supporting data went no further. Managers described adapting to this expectation by reproducing it with their own staff:</w:t>
      </w:r>
    </w:p>
    <w:p>
      <w:pPr>
        <w:spacing w:after="160"/>
        <w:ind w:left="720" w:right="576"/>
      </w:pPr>
      <w:r>
        <w:rPr>
          <w:i/>
        </w:rPr>
        <w:t xml:space="preserve">“So we learn to ask our nurses for the same proof the director asks us for. It passes down the line.” </w:t>
      </w:r>
      <w:r>
        <w:t>(P22, H6†)</w:t>
      </w:r>
    </w:p>
    <w:p>
      <w:r>
        <w:rPr>
          <w:b w:val="0"/>
        </w:rPr>
        <w:t>The evidence demanded of managers by directors was thus reproduced in what managers demanded of nurses. Earlier experiences of raising concerns without data could make this expectation lasting:</w:t>
      </w:r>
    </w:p>
    <w:p>
      <w:pPr>
        <w:spacing w:after="160"/>
        <w:ind w:left="720" w:right="576"/>
      </w:pPr>
      <w:r>
        <w:rPr>
          <w:i/>
        </w:rPr>
        <w:t xml:space="preserve">“I once raised a staffing concern without data and I was told I was ‘creating a problem’. Since then, I go up only with numbers.” </w:t>
      </w:r>
      <w:r>
        <w:t>(P09, H2†)</w:t>
      </w:r>
    </w:p>
    <w:p>
      <w:r>
        <w:rPr>
          <w:b w:val="0"/>
        </w:rPr>
        <w:t>Being dismissed once shaped later behaviour, showing how upward evidential demands were learned and then anticipated. Because these accounts came from managers with and without qualifying incidents and from several hospitals, anticipated demands appeared to be a general feature of the setting rather than specific to particular events.</w:t>
      </w:r>
    </w:p>
    <w:p>
      <w:pPr>
        <w:pStyle w:val="Heading3"/>
      </w:pPr>
      <w:r>
        <w:t>3.5.4 “Some things you do not wait to prove”: acting without substantiation</w:t>
      </w:r>
    </w:p>
    <w:p>
      <w:r>
        <w:rPr>
          <w:b w:val="0"/>
        </w:rPr>
        <w:t>Contrasting occasions showed that the burden of proof was not applied uniformly. Concerns involving immediate clinical risk were usually acted on without further substantiation:</w:t>
      </w:r>
    </w:p>
    <w:p>
      <w:pPr>
        <w:spacing w:after="160"/>
        <w:ind w:left="720" w:right="576"/>
      </w:pPr>
      <w:r>
        <w:rPr>
          <w:i/>
        </w:rPr>
        <w:t xml:space="preserve">“If a nurse says a patient doesn’t look right, I don’t ask for evidence. I go to the bedside. That is different from a staffing complaint.” </w:t>
      </w:r>
      <w:r>
        <w:t>(P08, H2)</w:t>
      </w:r>
    </w:p>
    <w:p>
      <w:r>
        <w:rPr>
          <w:b w:val="0"/>
        </w:rPr>
        <w:t>The manager distinguished concerns about an individual patient’s condition, which prompted direct assessment, from concerns about staffing, which required a case. A similar distinction applied to medication safety:</w:t>
      </w:r>
    </w:p>
    <w:p>
      <w:pPr>
        <w:spacing w:after="160"/>
        <w:ind w:left="720" w:right="576"/>
      </w:pPr>
      <w:r>
        <w:rPr>
          <w:i/>
        </w:rPr>
        <w:t xml:space="preserve">“With [these patients] and medications, if she has a doubt, we stop and we double-check. I do not need anything else.” </w:t>
      </w:r>
      <w:r>
        <w:t>(P03, H1†)</w:t>
      </w:r>
    </w:p>
    <w:p>
      <w:r>
        <w:rPr>
          <w:b w:val="0"/>
        </w:rPr>
        <w:t>Here a concern was accepted without substantiation because the cost of being wrong was immediate and serious. Stopping to check was itself a form of investigation, but one undertaken by the team at once rather than demanded from the nurse in advance. Few managers described an explicit rule for deciding which concerns required evidence, although one summarised the distinction:</w:t>
      </w:r>
    </w:p>
    <w:p>
      <w:pPr>
        <w:spacing w:after="160"/>
        <w:ind w:left="720" w:right="576"/>
      </w:pPr>
      <w:r>
        <w:rPr>
          <w:i/>
        </w:rPr>
        <w:t xml:space="preserve">“If it is about one patient, I act. If it is about the roster, I need a case.” </w:t>
      </w:r>
      <w:r>
        <w:t>(P16, H4)</w:t>
      </w:r>
    </w:p>
    <w:p>
      <w:r>
        <w:rPr>
          <w:b w:val="0"/>
        </w:rPr>
        <w:t>Taken together, these contrasting occasions indicate that the burden of proof attached less to how credible a concern was than to its consequences: concerns whose response would require changes to staffing or resources required stronger evidence.</w:t>
      </w:r>
    </w:p>
    <w:p>
      <w:pPr>
        <w:pStyle w:val="Heading2"/>
      </w:pPr>
      <w:r>
        <w:t>3.6 Theme 3. Responding, escalating and closing the loop</w:t>
      </w:r>
    </w:p>
    <w:p>
      <w:r>
        <w:rPr>
          <w:b w:val="0"/>
        </w:rPr>
        <w:t>Managers’ responses ranged from immediate local adjustments to formal escalation. Responses within the unit were quick but rarely recorded, escalation required concerns to be reframed in the organisation’s terms, and feedback to the nurse who raised the concern was mostly informal.</w:t>
      </w:r>
    </w:p>
    <w:p>
      <w:pPr>
        <w:pStyle w:val="Heading3"/>
      </w:pPr>
      <w:r>
        <w:t>3.6.1 “Fix it inside the unit”: graduated local responses</w:t>
      </w:r>
    </w:p>
    <w:p>
      <w:r>
        <w:rPr>
          <w:b w:val="0"/>
        </w:rPr>
        <w:t>Most managers first tried to resolve concerns within their own authority by reallocating staff, changing assignments or adding checks:</w:t>
      </w:r>
    </w:p>
    <w:p>
      <w:pPr>
        <w:spacing w:after="160"/>
        <w:ind w:left="720" w:right="576"/>
      </w:pPr>
      <w:r>
        <w:rPr>
          <w:i/>
        </w:rPr>
        <w:t xml:space="preserve">“Most of the time I solve it inside: I move a nurse from the day shift, I change the assignment. It never reaches the dashboard, good or bad.” </w:t>
      </w:r>
      <w:r>
        <w:t>(P06, H2†)</w:t>
      </w:r>
    </w:p>
    <w:p>
      <w:r>
        <w:rPr>
          <w:b w:val="0"/>
        </w:rPr>
        <w:t>Local adjustments resolved the immediate problem but bypassed organisational information. Because neither the concern nor the response was recorded, the dashboard continued to appear reassuring. Managers explained this preference by the slowness of formal routes:</w:t>
      </w:r>
    </w:p>
    <w:p>
      <w:pPr>
        <w:spacing w:after="160"/>
        <w:ind w:left="720" w:right="576"/>
      </w:pPr>
      <w:r>
        <w:rPr>
          <w:i/>
        </w:rPr>
        <w:t xml:space="preserve">“If I can fix it with my own hands, I do not escalate. Escalation takes weeks.” </w:t>
      </w:r>
      <w:r>
        <w:t>(P21, H6)</w:t>
      </w:r>
    </w:p>
    <w:p>
      <w:r>
        <w:rPr>
          <w:b w:val="0"/>
        </w:rPr>
        <w:t>Managers weighed the speed of an imperfect local fix against the uncertain outcome of formal processes. Local resolution therefore had a less visible cost: concerns managed within the unit did not inform organisational learning, and indicators remained an incomplete account of care.</w:t>
      </w:r>
    </w:p>
    <w:p>
      <w:pPr>
        <w:pStyle w:val="Heading3"/>
      </w:pPr>
      <w:r>
        <w:t>3.6.2 “Dress the concern in numbers”: escalation as translation</w:t>
      </w:r>
    </w:p>
    <w:p>
      <w:r>
        <w:rPr>
          <w:b w:val="0"/>
        </w:rPr>
        <w:t>When a concern exceeded their authority, managers described escalation as translating the nurse’s account into measures that senior managers recognised:</w:t>
      </w:r>
    </w:p>
    <w:p>
      <w:pPr>
        <w:spacing w:after="160"/>
        <w:ind w:left="720" w:right="576"/>
      </w:pPr>
      <w:r>
        <w:rPr>
          <w:i/>
        </w:rPr>
        <w:t xml:space="preserve">“I could not go to the director with ‘turning is delayed’. I went with the acuity scores and the overtime hours, because that is the language they respond to.” </w:t>
      </w:r>
      <w:r>
        <w:t>(P02, H1)</w:t>
      </w:r>
    </w:p>
    <w:p>
      <w:r>
        <w:rPr>
          <w:b w:val="0"/>
        </w:rPr>
        <w:t>The manager reframed a concern about a care process in terms of workload and overtime, the measures senior managers used. Another manager described the same process through a metaphor:</w:t>
      </w:r>
    </w:p>
    <w:p>
      <w:pPr>
        <w:spacing w:after="160"/>
        <w:ind w:left="720" w:right="576"/>
      </w:pPr>
      <w:r>
        <w:rPr>
          <w:i/>
        </w:rPr>
        <w:t xml:space="preserve">“You have to dress the concern in numbers before you take it upstairs.” </w:t>
      </w:r>
      <w:r>
        <w:t>(P12, H3†)</w:t>
      </w:r>
    </w:p>
    <w:p>
      <w:r>
        <w:rPr>
          <w:b w:val="0"/>
        </w:rPr>
        <w:t>The idea of ‘dressing’ the concern conveys that its content did not change, but its form had to match what the organisation recognised. Some managers described the limits of this translation:</w:t>
      </w:r>
    </w:p>
    <w:p>
      <w:pPr>
        <w:spacing w:after="160"/>
        <w:ind w:left="720" w:right="576"/>
      </w:pPr>
      <w:r>
        <w:rPr>
          <w:i/>
        </w:rPr>
        <w:t xml:space="preserve">“The escalation worked only after we had a fall. Then everyone listened. Before that, the concern had no number.” </w:t>
      </w:r>
      <w:r>
        <w:t>(P23, H6)</w:t>
      </w:r>
    </w:p>
    <w:p>
      <w:r>
        <w:rPr>
          <w:b w:val="0"/>
        </w:rPr>
        <w:t>Here a concern without a corresponding measure gained attention only after harm had occurred and been counted, which was the outcome the original concern had sought to prevent. This account illustrates most clearly how reliance on indicators could delay a response to concerns that indicators did not capture.</w:t>
      </w:r>
    </w:p>
    <w:p>
      <w:pPr>
        <w:pStyle w:val="Heading3"/>
      </w:pPr>
      <w:r>
        <w:t>3.6.3 “I told her in the corridor”: informal and uneven feedback</w:t>
      </w:r>
    </w:p>
    <w:p>
      <w:r>
        <w:rPr>
          <w:b w:val="0"/>
        </w:rPr>
        <w:t>Feedback to the nurse who raised the concern was rarely formal or recorded. Preliminary analysis interpreted this as an absence of feedback. Member reflection refined this interpretation: participants described feedback that was frequent but informal, given in passing conversation and not recorded, so neither the nurse nor the organisation could easily see it.</w:t>
      </w:r>
    </w:p>
    <w:p>
      <w:pPr>
        <w:spacing w:after="160"/>
        <w:ind w:left="720" w:right="576"/>
      </w:pPr>
      <w:r>
        <w:rPr>
          <w:i/>
        </w:rPr>
        <w:t xml:space="preserve">“Did I go back to her formally? No. I told her in the corridor that we had added a nurse at night. I think she knew.” </w:t>
      </w:r>
      <w:r>
        <w:t>(P05, H1)</w:t>
      </w:r>
    </w:p>
    <w:p>
      <w:r>
        <w:rPr>
          <w:b w:val="0"/>
        </w:rPr>
        <w:t>Feedback was given but not formalised, and the manager assumed the nurse understood the link between the concern and the change. Other managers acknowledged that feedback did not always happen:</w:t>
      </w:r>
    </w:p>
    <w:p>
      <w:pPr>
        <w:spacing w:after="160"/>
        <w:ind w:left="720" w:right="576"/>
      </w:pPr>
      <w:r>
        <w:rPr>
          <w:i/>
        </w:rPr>
        <w:t xml:space="preserve">“Honestly, sometimes I forget to tell them what happened. They only see that nothing changed, or that something changed and they don’t know why.” </w:t>
      </w:r>
      <w:r>
        <w:t>(P19, H5†)</w:t>
      </w:r>
    </w:p>
    <w:p>
      <w:r>
        <w:rPr>
          <w:b w:val="0"/>
        </w:rPr>
        <w:t>Without explicit feedback, nurses could see a change, or the absence of one, without knowing whether their concern had contributed. Managers linked this directly to whether nurses would speak up again:</w:t>
      </w:r>
    </w:p>
    <w:p>
      <w:pPr>
        <w:spacing w:after="160"/>
        <w:ind w:left="720" w:right="576"/>
      </w:pPr>
      <w:r>
        <w:rPr>
          <w:i/>
        </w:rPr>
        <w:t xml:space="preserve">“If the nurse does not hear back, next time she will not tell me. I learned this the hard way.” </w:t>
      </w:r>
      <w:r>
        <w:t>(P11, H3†)</w:t>
      </w:r>
    </w:p>
    <w:p>
      <w:r>
        <w:rPr>
          <w:b w:val="0"/>
        </w:rPr>
        <w:t>Because informal follow-up depended on memory and opportunity, it varied between managers and between shifts. Managers recognised its importance for future reporting but described no routine for ensuring that it happened.</w:t>
      </w:r>
    </w:p>
    <w:p>
      <w:pPr>
        <w:pStyle w:val="Heading2"/>
      </w:pPr>
      <w:r>
        <w:t>3.7 Theme 4. Organisational conditions shaping the burden of proof</w:t>
      </w:r>
    </w:p>
    <w:p>
      <w:r>
        <w:rPr>
          <w:b w:val="0"/>
        </w:rPr>
        <w:t>Managers located the sources of evidential expectations in organisational arrangements rather than in individual preference. Quality meetings centred on dashboards, limited authority over resources and the growth of informal communication channels shaped what managers felt able to accept, investigate and escalate.</w:t>
      </w:r>
    </w:p>
    <w:p>
      <w:pPr>
        <w:pStyle w:val="Heading3"/>
      </w:pPr>
      <w:r>
        <w:t>3.7.1 “There is no slide for worry”: dashboard-centred quality meetings</w:t>
      </w:r>
    </w:p>
    <w:p>
      <w:r>
        <w:rPr>
          <w:b w:val="0"/>
        </w:rPr>
        <w:t>Managers in all six hospitals described quality meetings that followed fixed agendas organised around indicator results, consistent with their shared regional governance:</w:t>
      </w:r>
    </w:p>
    <w:p>
      <w:pPr>
        <w:spacing w:after="160"/>
        <w:ind w:left="720" w:right="576"/>
      </w:pPr>
      <w:r>
        <w:rPr>
          <w:i/>
        </w:rPr>
        <w:t xml:space="preserve">“The quality meeting has fixed slides: falls, pressure injuries, infections. There is no slide for ‘what my nurses are telling me’.” </w:t>
      </w:r>
      <w:r>
        <w:t>(P20, H5†)</w:t>
      </w:r>
    </w:p>
    <w:p>
      <w:r>
        <w:rPr>
          <w:b w:val="0"/>
        </w:rPr>
        <w:t>The structure of the meeting determined what could be discussed. Concerns without a corresponding indicator had no agenda item and so no routine route into organisational decision-making. Accreditation preparation intensified this focus:</w:t>
      </w:r>
    </w:p>
    <w:p>
      <w:pPr>
        <w:spacing w:after="160"/>
        <w:ind w:left="720" w:right="576"/>
      </w:pPr>
      <w:r>
        <w:rPr>
          <w:i/>
        </w:rPr>
        <w:t xml:space="preserve">“Accreditation time is the worst. Everything is about the indicators being right for the surveyors.” </w:t>
      </w:r>
      <w:r>
        <w:t>(P10, H3)</w:t>
      </w:r>
    </w:p>
    <w:p>
      <w:r>
        <w:rPr>
          <w:b w:val="0"/>
        </w:rPr>
        <w:t>The periods of greatest organisational attention to quality were therefore also those in which indicators most dominated discussion, leaving least room for concerns that indicators did not reflect.</w:t>
      </w:r>
    </w:p>
    <w:p>
      <w:pPr>
        <w:pStyle w:val="Heading3"/>
      </w:pPr>
      <w:r>
        <w:t>3.7.2 “Proof is the currency for resources”: limited managerial authority</w:t>
      </w:r>
    </w:p>
    <w:p>
      <w:r>
        <w:rPr>
          <w:b w:val="0"/>
        </w:rPr>
        <w:t>Managers’ authority usually ended at the duty roster. Any response that required additional staff, overtime or equipment had to be justified to others:</w:t>
      </w:r>
    </w:p>
    <w:p>
      <w:pPr>
        <w:spacing w:after="160"/>
        <w:ind w:left="720" w:right="576"/>
      </w:pPr>
      <w:r>
        <w:rPr>
          <w:i/>
        </w:rPr>
        <w:t xml:space="preserve">“I cannot hire, I cannot pay overtime above the limit. Anything that costs money needs justification, so the concern needs justification.” </w:t>
      </w:r>
      <w:r>
        <w:t>(P16, H4)</w:t>
      </w:r>
    </w:p>
    <w:p>
      <w:r>
        <w:rPr>
          <w:b w:val="0"/>
        </w:rPr>
        <w:t>The evidential demand attached to resources was transferred to the concern: because any response with a cost needed justification, so did the concern that prompted it. This boundary was described in both tertiary and secondary hospitals:</w:t>
      </w:r>
    </w:p>
    <w:p>
      <w:pPr>
        <w:spacing w:after="160"/>
        <w:ind w:left="720" w:right="576"/>
      </w:pPr>
      <w:r>
        <w:rPr>
          <w:i/>
        </w:rPr>
        <w:t xml:space="preserve">“My authority ends at the roster. Beyond that, I need a case, and a case needs evidence.” </w:t>
      </w:r>
      <w:r>
        <w:t>(P09, H2†)</w:t>
      </w:r>
    </w:p>
    <w:p>
      <w:r>
        <w:rPr>
          <w:b w:val="0"/>
        </w:rPr>
        <w:t>The roster marked the limit of managerial discretion. Within it, managers could act on judgement; beyond it, they needed a case. This helps explain the pattern in Section 3.5.4, where concerns with resource implications required stronger evidence than those about individual patients.</w:t>
      </w:r>
    </w:p>
    <w:p>
      <w:pPr>
        <w:pStyle w:val="Heading3"/>
      </w:pPr>
      <w:r>
        <w:t>3.7.3 “It comes on WhatsApp at night”: informal channels and a diverse workforce</w:t>
      </w:r>
    </w:p>
    <w:p>
      <w:r>
        <w:rPr>
          <w:b w:val="0"/>
        </w:rPr>
        <w:t>Managers interviewed after the informal-channels probe was introduced described messaging applications as a common route for concerns, particularly at night:</w:t>
      </w:r>
    </w:p>
    <w:p>
      <w:pPr>
        <w:spacing w:after="160"/>
        <w:ind w:left="720" w:right="576"/>
      </w:pPr>
      <w:r>
        <w:rPr>
          <w:i/>
        </w:rPr>
        <w:t xml:space="preserve">“Many concerns come on WhatsApp at night, a photo or a short message. It is fast, but it disappears. There is no record I can take to anyone.” </w:t>
      </w:r>
      <w:r>
        <w:t>(P20, H5†)</w:t>
      </w:r>
    </w:p>
    <w:p>
      <w:r>
        <w:rPr>
          <w:b w:val="0"/>
        </w:rPr>
        <w:t>Messaging applications made it quicker to raise concerns but reduced their evidential weight, because messages left no record usable in formal processes. Managers responded by asking nurses to convert messages into formal reports:</w:t>
      </w:r>
    </w:p>
    <w:p>
      <w:pPr>
        <w:spacing w:after="160"/>
        <w:ind w:left="720" w:right="576"/>
      </w:pPr>
      <w:r>
        <w:rPr>
          <w:i/>
        </w:rPr>
        <w:t xml:space="preserve">“When the message comes on WhatsApp, I answer quickly, but I treat it as information, not as a report. If it is serious, I tell them to report it properly in the morning.” </w:t>
      </w:r>
      <w:r>
        <w:t>(P15, H4†)</w:t>
      </w:r>
    </w:p>
    <w:p>
      <w:r>
        <w:rPr>
          <w:b w:val="0"/>
        </w:rPr>
        <w:t>Informal channels therefore added a step in which the burden of documentation returned to the nurse. Managers also described differences in how nurses from different educational backgrounds raised concerns:</w:t>
      </w:r>
    </w:p>
    <w:p>
      <w:pPr>
        <w:spacing w:after="160"/>
        <w:ind w:left="720" w:right="576"/>
      </w:pPr>
      <w:r>
        <w:rPr>
          <w:i/>
        </w:rPr>
        <w:t xml:space="preserve">“Some of my nurses who trained abroad raise things very politely, almost as a question. If you are not listening carefully, you miss that it is a concern.” </w:t>
      </w:r>
      <w:r>
        <w:t>(P18, H5)</w:t>
      </w:r>
    </w:p>
    <w:p>
      <w:r>
        <w:rPr>
          <w:b w:val="0"/>
        </w:rPr>
        <w:t>Recognising a concern could therefore depend on the manager’s attention to how it was expressed. Concerns raised tentatively risked being missed or given less weight, which connects this subtheme to the reliance on the messenger described in Section 3.4.3.</w:t>
      </w:r>
    </w:p>
    <w:p>
      <w:pPr>
        <w:pStyle w:val="Heading2"/>
      </w:pPr>
      <w:r>
        <w:t>3.8 Integrative interpretation</w:t>
      </w:r>
    </w:p>
    <w:p>
      <w:r>
        <w:rPr>
          <w:b w:val="0"/>
        </w:rPr>
        <w:t>Taken together, the findings show that the burden of proof for nurses’ concerns was conditional and moved between people. Reassuring indicators created a presumption of safety, and a concern had to overcome it. Concerns involving immediate clinical risk were generally accepted without further substantiation. Concerns about staffing, workload or patterns of care, which indicators rarely measured, required evidence. Managers either asked nurses to provide that evidence or gathered it themselves, depending largely on their own capacity. Much of what was required reflected managers’ anticipation of what senior managers and quality meetings would ask for, so evidential demands passed down the hierarchy. Local responses resolved many concerns but left indicators unchanged, and feedback to nurses was mostly informal. These patterns are drawn together in the Discussion as a practice framework for assessing concerns alongside indicators, which has not been tested.</w:t>
      </w:r>
    </w:p>
    <w:sectPr w:rsidR="00FC693F" w:rsidRPr="0006063C" w:rsidSect="00034616">
      <w:footerReference w:type="default" r:id="rId9"/>
      <w:head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i/>
        <w:color w:val="808080"/>
        <w:sz w:val="16"/>
      </w:rPr>
      <w:t>Educational example — illustrative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76"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76"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76"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20" w:line="276" w:lineRule="auto" w:before="0"/>
      <w:contextualSpacing/>
    </w:pPr>
    <w:rPr>
      <w:rFonts w:cstheme="majorBidi" w:ascii="Times New Roman" w:hAnsi="Times New Roman"/>
      <w:b/>
      <w:color w:val="000000"/>
      <w:kern w:val="28"/>
      <w:sz w:val="28"/>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76" w:lineRule="auto"/>
    </w:pPr>
    <w:rPr>
      <w:rFonts w:cstheme="majorBidi" w:ascii="Times New Roman" w:hAnsi="Times New Roman"/>
      <w:i w:val="0"/>
      <w:iCs/>
      <w:color w:val="000000"/>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76" w:lineRule="auto"/>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76" w:lineRule="auto"/>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Burden of Proof: Unit-Level Nurse Managers’ Judgements and Responses to Nurses’ Care Concerns When Quality Indicators Appear Reassuring—An Interpretive Description</dc:title>
  <dc:subject/>
  <dc:creator/>
  <cp:keywords/>
  <dc:description>Educational example with illustrative data.</dc:description>
  <cp:lastModifiedBy/>
  <cp:revision>1</cp:revision>
  <dcterms:created xsi:type="dcterms:W3CDTF">2013-12-23T23:15:00Z</dcterms:created>
  <dcterms:modified xsi:type="dcterms:W3CDTF">2013-12-23T23:15:00Z</dcterms:modified>
  <cp:category/>
</cp:coreProperties>
</file>