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Managers described a conditional burden of proof when dashboards looked reassuring.</w:t>
      </w:r>
    </w:p>
    <w:p>
      <w:pPr>
        <w:pStyle w:val="Compact"/>
        <w:numPr>
          <w:ilvl w:val="0"/>
          <w:numId w:val="1001"/>
        </w:numPr>
      </w:pPr>
      <w:r>
        <w:t xml:space="preserve">In 15 of 19 accounts, the reassuring indicator did not measure the care at issue.</w:t>
      </w:r>
    </w:p>
    <w:p>
      <w:pPr>
        <w:pStyle w:val="Compact"/>
        <w:numPr>
          <w:ilvl w:val="0"/>
          <w:numId w:val="1001"/>
        </w:numPr>
      </w:pPr>
      <w:r>
        <w:t xml:space="preserve">Immediate risk prompted assessment; resource requests often required substantiation.</w:t>
      </w:r>
    </w:p>
    <w:p>
      <w:pPr>
        <w:pStyle w:val="Compact"/>
        <w:numPr>
          <w:ilvl w:val="0"/>
          <w:numId w:val="1001"/>
        </w:numPr>
      </w:pPr>
      <w:r>
        <w:t xml:space="preserve">Senior managers’ evidential demands could pass down to the nurse raising a concern.</w:t>
      </w:r>
    </w:p>
    <w:p>
      <w:pPr>
        <w:pStyle w:val="Compact"/>
        <w:numPr>
          <w:ilvl w:val="0"/>
          <w:numId w:val="1001"/>
        </w:numPr>
      </w:pPr>
      <w:r>
        <w:t xml:space="preserve">Proposed framework separates the threshold for inquiry from resource justification.</w:t>
      </w:r>
    </w:p>
    <w:bookmarkEnd w:id="20"/>
    <w:sectPr>
      <w:footerReference w:type="default" r:id="rIdFtr1"/>
      <w:pgSz w:w="12240" w:h="15840"/>
      <w:pgMar w:top="1440" w:right="1440" w:bottom="1440" w:left="1440" w:header="720" w:footer="576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suppressLineNumbers/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w="http://schemas.openxmlformats.org/wordprocessingml/2006/main">
  <w:zoom w:percent="100"/>
  <w:removePersonalInformation/>
  <w:removeDateAndTime/>
  <w:proofState w:spelling="clean" w:grammar="clean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GB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>
      <w:pPr>
        <w:spacing w:before="0" w:after="120" w:line="240" w:lineRule="auto"/>
      </w:pPr>
    </w:pPrDefault>
  </w:docDefaults>
  <w:style w:type="paragraph" w:default="1" w:styleId="Normal">
    <w:name w:val="Normal"/>
    <w:qFormat/>
    <w:pPr>
      <w:spacing w:before="0" w:after="12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next w:val="BodyText"/>
    <w:qFormat/>
    <w:pPr>
      <w:spacing w:before="0" w:after="120" w:line="240" w:lineRule="auto"/>
      <w:ind w:firstLine="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next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BodyText"/>
    <w:qFormat/>
    <w:pPr>
      <w:spacing w:before="0" w:after="0" w:line="240" w:lineRule="auto"/>
      <w:jc w:val="center"/>
    </w:pPr>
  </w:style>
  <w:style w:type="paragraph" w:styleId="Author">
    <w:name w:val="Author"/>
    <w:basedOn w:val="Normal"/>
    <w:next w:val="BodyText"/>
    <w:qFormat/>
    <w:pPr>
      <w:spacing w:before="0" w:after="0" w:line="240" w:lineRule="auto"/>
      <w:jc w:val="center"/>
    </w:pPr>
  </w:style>
  <w:style w:type="paragraph" w:styleId="Date">
    <w:name w:val="Date"/>
    <w:basedOn w:val="Normal"/>
    <w:next w:val="BodyText"/>
    <w:qFormat/>
    <w:pPr>
      <w:spacing w:before="0" w:after="0" w:line="240" w:lineRule="auto"/>
      <w:jc w:val="center"/>
    </w:pPr>
  </w:style>
  <w:style w:type="paragraph" w:styleId="Abstract">
    <w:name w:val="Abstract"/>
    <w:basedOn w:val="Normal"/>
    <w:next w:val="BodyText"/>
    <w:qFormat/>
  </w:style>
  <w:style w:type="paragraph" w:styleId="AbstractTitle">
    <w:name w:val="Abstract Title"/>
    <w:basedOn w:val="Normal"/>
    <w:next w:val="BodyText"/>
    <w:qFormat/>
    <w:rPr>
      <w:b/>
    </w:rPr>
  </w:style>
  <w:style w:type="paragraph" w:styleId="Bibliography">
    <w:name w:val="Bibliography"/>
    <w:basedOn w:val="Normal"/>
    <w:next w:val="BodyText"/>
    <w:qFormat/>
    <w:pPr>
      <w:spacing w:before="0" w:after="120" w:line="240" w:lineRule="auto"/>
      <w:ind w:left="720" w:hanging="720"/>
    </w:pPr>
  </w:style>
  <w:style w:type="paragraph" w:styleId="Heading1">
    <w:name w:val="heading 1"/>
    <w:basedOn w:val="Normal"/>
    <w:next w:val="BodyText"/>
    <w:qFormat/>
    <w:pPr>
      <w:keepNext/>
      <w:spacing w:before="240" w:after="0" w:line="240" w:lineRule="auto"/>
      <w:outlineLvl w:val="0"/>
    </w:pPr>
    <w:rPr>
      <w:b/>
    </w:rPr>
  </w:style>
  <w:style w:type="paragraph" w:styleId="Heading2">
    <w:name w:val="heading 2"/>
    <w:basedOn w:val="Normal"/>
    <w:next w:val="BodyText"/>
    <w:qFormat/>
    <w:pPr>
      <w:keepNext/>
      <w:spacing w:before="120" w:after="0" w:line="240" w:lineRule="auto"/>
      <w:outlineLvl w:val="1"/>
    </w:pPr>
    <w:rPr>
      <w:b/>
      <w:i/>
    </w:rPr>
  </w:style>
  <w:style w:type="paragraph" w:styleId="Heading3">
    <w:name w:val="heading 3"/>
    <w:basedOn w:val="Normal"/>
    <w:next w:val="BodyText"/>
    <w:qFormat/>
    <w:pPr>
      <w:keepNext/>
      <w:spacing w:before="120" w:after="0" w:line="240" w:lineRule="auto"/>
      <w:outlineLvl w:val="2"/>
    </w:pPr>
    <w:rPr>
      <w:i/>
    </w:rPr>
  </w:style>
  <w:style w:type="paragraph" w:styleId="Heading4">
    <w:name w:val="heading 4"/>
    <w:basedOn w:val="Normal"/>
    <w:next w:val="BodyText"/>
    <w:qFormat/>
    <w:pPr>
      <w:keepNext/>
      <w:spacing w:before="0" w:after="0" w:line="240" w:lineRule="auto"/>
      <w:outlineLvl w:val="3"/>
    </w:pPr>
    <w:rPr>
      <w:i/>
    </w:rPr>
  </w:style>
  <w:style w:type="paragraph" w:styleId="BlockText">
    <w:name w:val="Block Text"/>
    <w:basedOn w:val="BodyText"/>
    <w:next w:val="BodyText"/>
    <w:qFormat/>
    <w:pPr>
      <w:spacing w:before="0" w:after="120" w:line="240" w:lineRule="auto"/>
      <w:ind w:left="720" w:right="720"/>
    </w:pPr>
  </w:style>
  <w:style w:type="paragraph" w:styleId="TableCaption">
    <w:name w:val="Table Caption"/>
    <w:basedOn w:val="Normal"/>
    <w:next w:val="BodyText"/>
    <w:qFormat/>
    <w:pPr>
      <w:keepNext/>
      <w:spacing w:before="120" w:after="120" w:line="240" w:lineRule="auto"/>
    </w:pPr>
    <w:rPr>
      <w:b/>
    </w:rPr>
  </w:style>
  <w:style w:type="paragraph" w:styleId="Caption">
    <w:name w:val="Caption"/>
    <w:basedOn w:val="Normal"/>
    <w:next w:val="BodyText"/>
    <w:qFormat/>
    <w:pPr>
      <w:spacing w:before="0" w:after="120" w:line="240" w:lineRule="auto"/>
    </w:pPr>
  </w:style>
  <w:style w:type="paragraph" w:styleId="FootnoteText">
    <w:name w:val="footnote text"/>
    <w:basedOn w:val="Normal"/>
    <w:next w:val="BodyText"/>
    <w:qFormat/>
    <w:pPr>
      <w:spacing w:before="0" w:after="0" w:line="240" w:lineRule="auto"/>
    </w:pPr>
    <w:rPr>
      <w:sz w:val="20"/>
    </w:rPr>
  </w:style>
  <w:style w:type="paragraph" w:styleId="TableText">
    <w:name w:val="Table Text"/>
    <w:basedOn w:val="Normal"/>
    <w:next w:val="BodyText"/>
    <w:qFormat/>
    <w:pPr>
      <w:spacing w:before="0" w:after="0" w:line="240" w:lineRule="auto"/>
    </w:pPr>
    <w:rPr>
      <w:sz w:val="20"/>
      <w:szCs w:val="20"/>
    </w:rPr>
  </w:style>
  <w:style w:type="paragraph" w:styleId="Note">
    <w:name w:val="Table Note"/>
    <w:basedOn w:val="Normal"/>
    <w:next w:val="BodyText"/>
    <w:qFormat/>
    <w:pPr>
      <w:spacing w:before="0" w:after="6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</w:style>
  <w:style w:type="character" w:styleId="BodyTextChar">
    <w:name w:val="Body Text Char"/>
  </w:style>
  <w:style w:type="character" w:styleId="Hyperlink">
    <w:name w:val="Hyperlink"/>
    <w:rPr>
      <w:color w:val="1F4E79"/>
    </w:rPr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pPr>
      <w:spacing w:before="20" w:after="20" w:line="240" w:lineRule="auto"/>
    </w:pPr>
    <w:rPr>
      <w:sz w:val="20"/>
      <w:szCs w:val="20"/>
    </w:rPr>
    <w:tblPr>
      <w:tblBorders>
        <w:top w:val="single" w:sz="8" w:space="0" w:color="000000"/>
        <w:bottom w:val="single" w:sz="8" w:space="0" w:color="000000"/>
        <w:insideH w:val="single" w:sz="2" w:space="0" w:color="BFBFBF"/>
      </w:tblBorders>
    </w:tblPr>
    <w:tblStylePr w:type="firstRow">
      <w:rPr>
        <w:b/>
      </w:rPr>
      <w:tcPr>
        <w:tcBorders>
          <w:bottom w:val="single" w:sz="8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Burden of Proof: Unit-Level Nurse Managers’ Judgements and Responses to Nurses’ Care Concerns When Quality Indicators Appear Reassuring—An Interpretive Description</dc:title>
  <dc:creator/>
  <cp:lastModifiedBy/>
  <cp:revision>1</cp:revision>
  <dcterms:created xsi:type="dcterms:W3CDTF">2026-10-28T00:00:00Z</dcterms:created>
  <dcterms:modified xsi:type="dcterms:W3CDTF">2026-10-28T00:00:00Z</dcterms:modified>
</cp:coreProperties>
</file>