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2"/>
          <w:szCs w:val="32"/>
        </w:rPr>
        <w:t xml:space="preserve">Supplementary File 2</w:t>
      </w:r>
    </w:p>
    <w:p>
      <w:pPr>
        <w:spacing w:after="160"/>
      </w:pPr>
      <w:r>
        <w:rPr>
          <w:rFonts w:ascii="Calibri" w:cs="Calibri" w:eastAsia="Calibri" w:hAnsi="Calibri"/>
          <w:b/>
          <w:bCs/>
          <w:color w:val="2F5496"/>
          <w:sz w:val="26"/>
          <w:szCs w:val="26"/>
        </w:rPr>
        <w:t xml:space="preserve">Reporting Checklists: SRQR and COREQ</w:t>
      </w:r>
    </w:p>
    <w:p>
      <w:pPr>
        <w:spacing w:after="120" w:line="276"/>
      </w:pPr>
      <w:r>
        <w:rPr>
          <w:rFonts w:ascii="Calibri" w:cs="Calibri" w:eastAsia="Calibri" w:hAnsi="Calibri"/>
          <w:b/>
          <w:bCs/>
          <w:sz w:val="20"/>
          <w:szCs w:val="20"/>
        </w:rPr>
        <w:t xml:space="preserve">Study: </w:t>
      </w:r>
      <w:r>
        <w:rPr>
          <w:rFonts w:ascii="Calibri" w:cs="Calibri" w:eastAsia="Calibri" w:hAnsi="Calibri"/>
          <w:i/>
          <w:iCs/>
          <w:sz w:val="20"/>
          <w:szCs w:val="20"/>
        </w:rPr>
        <w:t xml:space="preserve">The Burden of Proof: Nurse Managers’ Judgements and Responses to Nurses’ Care Concerns When Quality Indicators Appear Reassuring — An Interpretive Description</w:t>
      </w:r>
    </w:p>
    <w:p>
      <w:pPr>
        <w:spacing w:after="120" w:line="276"/>
      </w:pPr>
      <w:r>
        <w:rPr>
          <w:rFonts w:ascii="Calibri" w:cs="Calibri" w:eastAsia="Calibri" w:hAnsi="Calibri"/>
          <w:b/>
          <w:bCs/>
          <w:sz w:val="20"/>
          <w:szCs w:val="20"/>
        </w:rPr>
        <w:t xml:space="preserve">Ethics approval: </w:t>
      </w:r>
      <w:r>
        <w:rPr>
          <w:rFonts w:ascii="Calibri" w:cs="Calibri" w:eastAsia="Calibri" w:hAnsi="Calibri"/>
          <w:sz w:val="20"/>
          <w:szCs w:val="20"/>
        </w:rPr>
        <w:t xml:space="preserve">Institutional Review Board, King Abdulaziz Specialist Hospital, Aljouf Health Cluster (committee registration H-13-S-161); approval No. 9804, 26 December 2025.</w:t>
      </w:r>
    </w:p>
    <w:p>
      <w:pPr>
        <w:pBdr>
          <w:bottom w:val="single" w:color="8EAADB" w:sz="6" w:space="4"/>
        </w:pBdr>
        <w:spacing w:after="200"/>
      </w:pPr>
    </w:p>
    <w:p>
      <w:pPr>
        <w:spacing w:after="120" w:line="276"/>
      </w:pPr>
      <w:r>
        <w:rPr>
          <w:rFonts w:ascii="Calibri" w:cs="Calibri" w:eastAsia="Calibri" w:hAnsi="Calibri"/>
        </w:rPr>
        <w:t xml:space="preserve">The study is reported in accordance with the Standards for Reporting Qualitative Research (SRQR; O’Brien et al., 2014). The Consolidated Criteria for Reporting Qualitative Research (COREQ; Tong et al., 2007) checklist is also provided. Locations refer to manuscript sections; page numbers should be added once the manuscript is typeset.</w:t>
      </w:r>
    </w:p>
    <w:p>
      <w:pPr>
        <w:pStyle w:val="Heading1"/>
        <w:spacing w:after="120" w:before="240"/>
      </w:pPr>
      <w:r>
        <w:rPr>
          <w:rFonts w:ascii="Calibri" w:cs="Calibri" w:eastAsia="Calibri" w:hAnsi="Calibri"/>
        </w:rPr>
        <w:t xml:space="preserve">S2.1 SRQR checklist</w:t>
      </w:r>
    </w:p>
    <w:p>
      <w:pPr>
        <w:keepNext/>
        <w:spacing w:after="80" w:before="160"/>
      </w:pPr>
      <w:r>
        <w:rPr>
          <w:rFonts w:ascii="Calibri" w:cs="Calibri" w:eastAsia="Calibri" w:hAnsi="Calibri"/>
          <w:b/>
          <w:bCs/>
        </w:rPr>
        <w:t xml:space="preserve">Table S2.1. Standards for Reporting Qualitative Research (SRQR)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626"/>
        <w:gridCol w:w="1300"/>
      </w:tblGrid>
      <w:tr>
        <w:trPr>
          <w:tblHeader/>
        </w:trPr>
        <w:tc>
          <w:tcPr>
            <w:tcW w:type="dxa" w:w="7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No.</w:t>
            </w:r>
          </w:p>
        </w:tc>
        <w:tc>
          <w:tcPr>
            <w:tcW w:type="dxa" w:w="24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Topic</w:t>
            </w:r>
          </w:p>
        </w:tc>
        <w:tc>
          <w:tcPr>
            <w:tcW w:type="dxa" w:w="46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How the item is addressed in this study</w:t>
            </w:r>
          </w:p>
        </w:tc>
        <w:tc>
          <w:tcPr>
            <w:tcW w:type="dxa" w:w="13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Location</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Title and abstract</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Title</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Identifies the study as qualitative and names the approach (interpretive description).</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Title</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S2</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Abstract</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Structured summary of background, purpose, methods, results and conclusions.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Abstract</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Introduction</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S3</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Problem formulation</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Nurses’ care concerns can coexist with reassuring quality indicators, raising a “burden of proof” question for unit-level nurse managers.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Introduction</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S4</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Purpose or research question</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Aim, research question and four objectives stated.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Introduction (Aim; Research question; Objectives)</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Methods</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S5</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Qualitative approach and research paradigm</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Interpretive description (Thorne, 2025) with a constructivist, naturalistic orientation. Rationale given for this design rather than grounded theory or phenomenology. Sensitising concepts described.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4.1</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S6</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Researcher characteristics and reflexivity</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Team composition (R1–R3), all bilingual. R1 is an insider as a former nurse manager. No relationships with participants or sites. Reflexive journal and strategies to manage the influence of the researchers’ positions.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4.9</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S7</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Context</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Six CBAHI-accredited public hospitals in the Jouf region (200–420 beds) under one regional directorate. Indicator reporting and governance arrangements described.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4.2</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S8</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Sampling strategy</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Purposive maximum-variation sampling across four dimensions, becoming analytically informed. Sample size planned using information power, with a provisional range of 18–25. Recruitment stopped at interpretive sufficiency (n = 23).</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4.3; Supplementary File 3 (S3.1–S3.2)</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S9</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Ethical issues pertaining to human subjects</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IRB approval (No. 9804, 26 December 2025). Written informed consent, gatekeeper anonymity, confidentiality limits, 14-day withdrawal window and data protection (Personal Data Protection Law).</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4.4; 4.10; Supplementary File 3 (S3.4–S3.6)</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S10</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Data collection methods</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One semi-structured interview per participant (January–June 2026), anchored on critical incidents. Probes refined iteratively within the approved scope.</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 Supplementary File 1</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S11</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Data collection instruments and technologies</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Interview guide (English and Arabic), demographic questionnaire, field-note template, audio recording and institutionally licensed video conferencing. Pilot of two interviews.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 Supplementary File 1</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S12</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Units of study</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23 unit-level nurse managers across six hospitals and six unit types. Interviews: 14 in Arabic and 9 in English; 18 face to face and 5 by video; 42–81 minutes (mean 58). Characteristics reported in Table 1.</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4.3; 4.5; Results, Table 1</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S13</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Data processing</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Domestic verbatim transcription, verification against audio, de-identification (P01–P23; H1–H6), encrypted storage within Saudi Arabia, and translation checking of reported quotations.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4.6; Supplementary File 3 (S3.3–S3.4)</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S14</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Data analysis</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Six iterative steps: immersion; broad initial coding; constant comparison with matrices; engagement with sensitising concepts; negative-case analysis; interpretive synthesis. Two bilingual analysts; NVivo 14.</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4.7</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S15</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Techniques to enhance trustworthiness</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Mapped to Thorne’s criteria: epistemological integrity, representative credibility, analytic logic and interpretive authority. Includes audit trail, independent methodologist audit, member reflection (10 of 23) and peer debriefing.</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4.8 (Table 2)</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Results / findings</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S16</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Synthesis and interpretation</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Interpretive themes and a practice-oriented framework for assessing concerns alongside indicators.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Results</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S17</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Links to empirical data</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Quotations from across participants and sites, attributed by participant and hospital code.</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Results</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Discussion</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S18</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Integration with prior work, implications, transferability and contribution</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Findings compared with the literature on soft intelligence, speaking up and indicator use. Implications for practice, quality meetings and feedback standards. Context described to support transferability.</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Discussion</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S19</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Limitations</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Trustworthiness and applicability of findings, including self-report, single region and possible social desirability.</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Discussion (Limitations)</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Other</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S20</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Conflicts of interest</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Declared.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Declarations</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S21</w:t>
            </w:r>
          </w:p>
        </w:tc>
        <w:tc>
          <w:tcPr>
            <w:tcW w:type="dxa" w:w="2400"/>
            <w:tcMar>
              <w:top w:type="dxa" w:w="60"/>
              <w:left w:type="dxa" w:w="90"/>
              <w:bottom w:type="dxa" w:w="60"/>
              <w:right w:type="dxa" w:w="90"/>
            </w:tcMar>
            <w:vAlign w:val="top"/>
          </w:tcPr>
          <w:p>
            <w:pPr>
              <w:spacing w:after="30"/>
            </w:pPr>
            <w:r>
              <w:rPr>
                <w:rFonts w:ascii="Calibri" w:cs="Calibri" w:eastAsia="Calibri" w:hAnsi="Calibri"/>
                <w:sz w:val="19"/>
                <w:szCs w:val="19"/>
              </w:rPr>
              <w:t xml:space="preserve">Funding</w:t>
            </w:r>
          </w:p>
        </w:tc>
        <w:tc>
          <w:tcPr>
            <w:tcW w:type="dxa" w:w="4626"/>
            <w:tcMar>
              <w:top w:type="dxa" w:w="60"/>
              <w:left w:type="dxa" w:w="90"/>
              <w:bottom w:type="dxa" w:w="60"/>
              <w:right w:type="dxa" w:w="90"/>
            </w:tcMar>
            <w:vAlign w:val="top"/>
          </w:tcPr>
          <w:p>
            <w:pPr>
              <w:spacing w:after="30"/>
            </w:pPr>
            <w:r>
              <w:rPr>
                <w:rFonts w:ascii="Calibri" w:cs="Calibri" w:eastAsia="Calibri" w:hAnsi="Calibri"/>
                <w:sz w:val="19"/>
                <w:szCs w:val="19"/>
              </w:rPr>
              <w:t xml:space="preserve">Funding sources and their role declared.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Declarations</w:t>
            </w:r>
          </w:p>
        </w:tc>
      </w:tr>
    </w:tbl>
    <w:p>
      <w:r>
        <w:br w:type="page"/>
      </w:r>
    </w:p>
    <w:p>
      <w:pPr>
        <w:pStyle w:val="Heading1"/>
        <w:spacing w:after="120" w:before="240"/>
      </w:pPr>
      <w:r>
        <w:rPr>
          <w:rFonts w:ascii="Calibri" w:cs="Calibri" w:eastAsia="Calibri" w:hAnsi="Calibri"/>
        </w:rPr>
        <w:t xml:space="preserve">S2.2 COREQ checklist</w:t>
      </w:r>
    </w:p>
    <w:p>
      <w:pPr>
        <w:keepNext/>
        <w:spacing w:after="80" w:before="160"/>
      </w:pPr>
      <w:r>
        <w:rPr>
          <w:rFonts w:ascii="Calibri" w:cs="Calibri" w:eastAsia="Calibri" w:hAnsi="Calibri"/>
          <w:b/>
          <w:bCs/>
        </w:rPr>
        <w:t xml:space="preserve">Table S2.2. Consolidated Criteria for Reporting Qualitative Research (COREQ)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826"/>
        <w:gridCol w:w="1300"/>
      </w:tblGrid>
      <w:tr>
        <w:trPr>
          <w:tblHeader/>
        </w:trPr>
        <w:tc>
          <w:tcPr>
            <w:tcW w:type="dxa" w:w="6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No.</w:t>
            </w:r>
          </w:p>
        </w:tc>
        <w:tc>
          <w:tcPr>
            <w:tcW w:type="dxa" w:w="23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Item</w:t>
            </w:r>
          </w:p>
        </w:tc>
        <w:tc>
          <w:tcPr>
            <w:tcW w:type="dxa" w:w="48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Response</w:t>
            </w:r>
          </w:p>
        </w:tc>
        <w:tc>
          <w:tcPr>
            <w:tcW w:type="dxa" w:w="13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Location</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Domain 1: Research team and reflexivity — personal characteristics</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Interviewer or facilitator</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The first author (R1) conducted all 23 interviews.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Credentials</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R1: PhD, RN.</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4.9; title page</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3</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Occupation</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Nurse academic at the time of the study.</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4.9</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4</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Gender</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[Author to state R1’s gender]</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4.9</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5</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Experience and training</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Doctoral training in qualitative methods. Trained and experienced in qualitative interviewing. Former unit-level nurse manager in a Saudi hospital outside the study region.</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 4.9</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Domain 1 — relationship with participants</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6</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Relationship established</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No relationship existed before the study. No member of the research team had an employment, supervisory or evaluative relationship with participants or study sites.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 4.9</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7</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Participant knowledge of the interviewer</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The information sheet gave R1’s name, academic role, nursing-management background and the purpose of the study.</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4.4; Supplementary File 1 (S1.3)</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8</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Interviewer characteristics</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Insider position as a former nurse manager, potential assumptions and sympathies, and strategies used to manage them are reported.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4.9</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Domain 2: Study design — theoretical framework</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9</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Methodological orientation and theory</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Interpretive description; constructivist orientation; sensitising concepts (soft intelligence, problem-sensing versus comfort-seeking, burden of proof).</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4.1</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Domain 2 — participant selection</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10</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Sampling</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Purposive maximum-variation sampling, becoming analytically informed.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4.3</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11</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Method of approach</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One standard invitation was emailed by each Director of Nursing, who acted only as gatekeeper. Volunteers contacted the research team directly, and the team handled all further contact and scheduling.</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4.4</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12</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Sample size</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23 unit-level nurse managers.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4.3</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13</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Non-participation</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38 eligible managers were invited and 29 volunteered. Nine did not respond, and no reasons were sought. Of the 29 volunteers, 6 were not interviewed: 2 because of leave, 1 who withdrew before interview citing workload, and 3 who volunteered after interpretive sufficiency was reached. No participant withdrew after interview.</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4.4; Supplementary File 3 (S3.2)</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Domain 2 — setting</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14</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Setting of data collection</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Private rooms in non-clinical education or training areas of each participant’s hospital, away from nursing administration (n = 18), or institutionally licensed video conferencing (n = 5). No participant chose an off-site location.</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4.4; 4.5</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15</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Presence of non-participants</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None. Only the participant and interviewer were present.</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16</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Description of sample</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Distribution by hospital and unit type reported in the Methods. Full demographic and professional characteristics reported in Table 1.</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4.3; Results, Table 1</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Domain 2 — data collection</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17</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Interview guide</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Provided in English and Arabic. Developed from the literature and objectives, reviewed by experts and piloted in two interviews (early January 2026). Version history provided.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 Supplementary File 1</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18</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Repeat interviews</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None. One interview per participant, as approved.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 4.10</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19</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Audio or visual recording</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Audio-recorded. Video interviews were recorded as audio only.</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20</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Field notes</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Made after each interview using a standard template.</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 Supplementary File 1 (S1.8)</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21</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Duration</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42–81 minutes (mean 58).</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4.5</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22</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Data saturation</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Saturation was not used as the stopping criterion. In keeping with interpretive description, recruitment ended at interpretive sufficiency for the study aims, together with representation of every hospital and unit type. Sample size was planned using information power.</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4.3</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23</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Transcripts returned</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Transcripts were not returned. Participants were instead offered optional member reflection on a summary of preliminary interpretations, and 10 of 23 responded.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4.8</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Domain 3: Analysis and findings — data analysis</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24</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Number of data coders</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Two bilingual analysts (R1 and R2). R1 coded all transcripts. R2 independently coded 12 transcripts (the first 4 plus 8 selected) and reviewed R1’s coding of the rest. R3 took part in 14 analytic meetings.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4.7</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25</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Description of the coding tree</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Development of the provisional coding framework and its revisions described. Final thematic structure presented in Results.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4.7; Results</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26</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Derivation of themes</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Derived inductively from the data, with deliberate comparison against sensitising concepts after initial coding.</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4.7</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27</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Software</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NVivo 14 (Lumivero).</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4.7</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28</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Participant checking</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Optional member reflection, treated as additional data rather than validation. Responses refined one theme on informal follow-up.</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4.8</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Domain 3 — reporting</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29</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Quotations presented</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Yes, each identified by participant and hospital code (for example P07, H3).</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Results</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30</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Data and findings consistent</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Each interpretation is supported by coded data from multiple participants.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Results</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31</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Clarity of major themes</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Major themes presented under clear headings.</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Results</w:t>
            </w:r>
          </w:p>
        </w:tc>
      </w:tr>
      <w:tr>
        <w:tc>
          <w:tcPr>
            <w:tcW w:type="dxa" w:w="600"/>
            <w:tcMar>
              <w:top w:type="dxa" w:w="60"/>
              <w:left w:type="dxa" w:w="90"/>
              <w:bottom w:type="dxa" w:w="60"/>
              <w:right w:type="dxa" w:w="90"/>
            </w:tcMar>
            <w:vAlign w:val="top"/>
          </w:tcPr>
          <w:p>
            <w:pPr>
              <w:spacing w:after="30"/>
            </w:pPr>
            <w:r>
              <w:rPr>
                <w:rFonts w:ascii="Calibri" w:cs="Calibri" w:eastAsia="Calibri" w:hAnsi="Calibri"/>
                <w:sz w:val="19"/>
                <w:szCs w:val="19"/>
              </w:rPr>
              <w:t xml:space="preserve">32</w:t>
            </w:r>
          </w:p>
        </w:tc>
        <w:tc>
          <w:tcPr>
            <w:tcW w:type="dxa" w:w="2300"/>
            <w:tcMar>
              <w:top w:type="dxa" w:w="60"/>
              <w:left w:type="dxa" w:w="90"/>
              <w:bottom w:type="dxa" w:w="60"/>
              <w:right w:type="dxa" w:w="90"/>
            </w:tcMar>
            <w:vAlign w:val="top"/>
          </w:tcPr>
          <w:p>
            <w:pPr>
              <w:spacing w:after="30"/>
            </w:pPr>
            <w:r>
              <w:rPr>
                <w:rFonts w:ascii="Calibri" w:cs="Calibri" w:eastAsia="Calibri" w:hAnsi="Calibri"/>
                <w:sz w:val="19"/>
                <w:szCs w:val="19"/>
              </w:rPr>
              <w:t xml:space="preserve">Clarity of minor themes</w:t>
            </w:r>
          </w:p>
        </w:tc>
        <w:tc>
          <w:tcPr>
            <w:tcW w:type="dxa" w:w="4826"/>
            <w:tcMar>
              <w:top w:type="dxa" w:w="60"/>
              <w:left w:type="dxa" w:w="90"/>
              <w:bottom w:type="dxa" w:w="60"/>
              <w:right w:type="dxa" w:w="90"/>
            </w:tcMar>
            <w:vAlign w:val="top"/>
          </w:tcPr>
          <w:p>
            <w:pPr>
              <w:spacing w:after="30"/>
            </w:pPr>
            <w:r>
              <w:rPr>
                <w:rFonts w:ascii="Calibri" w:cs="Calibri" w:eastAsia="Calibri" w:hAnsi="Calibri"/>
                <w:sz w:val="19"/>
                <w:szCs w:val="19"/>
              </w:rPr>
              <w:t xml:space="preserve">Variation, contrasting cases and minor themes described.</w:t>
            </w:r>
          </w:p>
        </w:tc>
        <w:tc>
          <w:tcPr>
            <w:tcW w:type="dxa" w:w="1300"/>
            <w:tcMar>
              <w:top w:type="dxa" w:w="60"/>
              <w:left w:type="dxa" w:w="90"/>
              <w:bottom w:type="dxa" w:w="60"/>
              <w:right w:type="dxa" w:w="90"/>
            </w:tcMar>
            <w:vAlign w:val="top"/>
          </w:tcPr>
          <w:p>
            <w:pPr>
              <w:spacing w:after="30"/>
            </w:pPr>
            <w:r>
              <w:rPr>
                <w:rFonts w:ascii="Calibri" w:cs="Calibri" w:eastAsia="Calibri" w:hAnsi="Calibri"/>
                <w:sz w:val="19"/>
                <w:szCs w:val="19"/>
              </w:rPr>
              <w:t xml:space="preserve">Results; Discussion</w:t>
            </w:r>
          </w:p>
        </w:tc>
      </w:tr>
    </w:tbl>
    <w:p>
      <w:pPr>
        <w:pStyle w:val="Heading2"/>
        <w:spacing w:after="100" w:before="200"/>
      </w:pPr>
      <w:r>
        <w:rPr>
          <w:rFonts w:ascii="Calibri" w:cs="Calibri" w:eastAsia="Calibri" w:hAnsi="Calibri"/>
        </w:rPr>
        <w:t xml:space="preserve">References</w:t>
      </w:r>
    </w:p>
    <w:p>
      <w:pPr>
        <w:spacing w:after="120" w:line="276"/>
      </w:pPr>
      <w:r>
        <w:rPr>
          <w:rFonts w:ascii="Calibri" w:cs="Calibri" w:eastAsia="Calibri" w:hAnsi="Calibri"/>
          <w:sz w:val="20"/>
          <w:szCs w:val="20"/>
        </w:rPr>
        <w:t xml:space="preserve">O’Brien, B. C., Harris, I. B., Beckman, T. J., Reed, D. A., &amp; Cook, D. A. (2014). Standards for reporting qualitative research: A synthesis of recommendations. Academic Medicine, 89(9), 1245–1251.</w:t>
      </w:r>
    </w:p>
    <w:p>
      <w:pPr>
        <w:spacing w:after="120" w:line="276"/>
      </w:pPr>
      <w:r>
        <w:rPr>
          <w:rFonts w:ascii="Calibri" w:cs="Calibri" w:eastAsia="Calibri" w:hAnsi="Calibri"/>
          <w:sz w:val="20"/>
          <w:szCs w:val="20"/>
        </w:rPr>
        <w:t xml:space="preserve">Thorne, S. (2025). Interpretive description: Qualitative research for applied practice (3rd ed.). Routledge.</w:t>
      </w:r>
    </w:p>
    <w:p>
      <w:pPr>
        <w:spacing w:after="120" w:line="276"/>
      </w:pPr>
      <w:r>
        <w:rPr>
          <w:rFonts w:ascii="Calibri" w:cs="Calibri" w:eastAsia="Calibri" w:hAnsi="Calibri"/>
          <w:sz w:val="20"/>
          <w:szCs w:val="20"/>
        </w:rPr>
        <w:t xml:space="preserve">Tong, A., Sainsbury, P., &amp; Craig, J. (2007). Consolidated criteria for reporting qualitative research (COREQ): A 32-item checklist for interviews and focus groups. International Journal for Quality in Health Care, 19(6), 349–357.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ADB" w:sz="4" w:space="2"/>
      </w:pBdr>
      <w:jc w:val="right"/>
    </w:pPr>
    <w:r>
      <w:rPr>
        <w:rFonts w:ascii="Calibri" w:cs="Calibri" w:eastAsia="Calibri" w:hAnsi="Calibri"/>
        <w:color w:val="595959"/>
        <w:sz w:val="16"/>
        <w:szCs w:val="16"/>
      </w:rPr>
      <w:t xml:space="preserve">Supplementary File 2 — Reporting Checklists (SRQR and COREQ)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F5496"/>
      <w:sz w:val="25"/>
      <w:szCs w:val="25"/>
    </w:rPr>
  </w:style>
  <w:style w:type="paragraph" w:styleId="Heading3">
    <w:name w:val="Heading 3"/>
    <w:basedOn w:val="Normal"/>
    <w:next w:val="Normal"/>
    <w:qFormat/>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2: Reporting Checklists (SRQR and COREQ)</dc:title>
  <dc:creator>Study team</dc:creator>
  <cp:lastModifiedBy>Un-named</cp:lastModifiedBy>
  <cp:revision>1</cp:revision>
  <dcterms:created xsi:type="dcterms:W3CDTF">2026-10-27T22:24:42.100Z</dcterms:created>
  <dcterms:modified xsi:type="dcterms:W3CDTF">2026-10-27T22:24:42.100Z</dcterms:modified>
</cp:coreProperties>
</file>

<file path=docProps/custom.xml><?xml version="1.0" encoding="utf-8"?>
<Properties xmlns="http://schemas.openxmlformats.org/officeDocument/2006/custom-properties" xmlns:vt="http://schemas.openxmlformats.org/officeDocument/2006/docPropsVTypes"/>
</file>