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Supplementary File 3</w:t>
      </w:r>
    </w:p>
    <w:p>
      <w:pPr>
        <w:spacing w:after="160"/>
      </w:pPr>
      <w:r>
        <w:rPr>
          <w:rFonts w:ascii="Calibri" w:cs="Calibri" w:eastAsia="Calibri" w:hAnsi="Calibri"/>
          <w:b/>
          <w:bCs/>
          <w:color w:val="2F5496"/>
          <w:sz w:val="26"/>
          <w:szCs w:val="26"/>
        </w:rPr>
        <w:t xml:space="preserve">Eligibility, Data Management and Ethical Safeguards</w:t>
      </w:r>
    </w:p>
    <w:p>
      <w:pPr>
        <w:spacing w:after="120" w:line="276"/>
      </w:pPr>
      <w:r>
        <w:rPr>
          <w:rFonts w:ascii="Calibri" w:cs="Calibri" w:eastAsia="Calibri" w:hAnsi="Calibri"/>
          <w:b/>
          <w:bCs/>
          <w:sz w:val="20"/>
          <w:szCs w:val="20"/>
        </w:rPr>
        <w:t xml:space="preserve">Study: </w:t>
      </w:r>
      <w:r>
        <w:rPr>
          <w:rFonts w:ascii="Calibri" w:cs="Calibri" w:eastAsia="Calibri" w:hAnsi="Calibri"/>
          <w:i/>
          <w:iCs/>
          <w:sz w:val="20"/>
          <w:szCs w:val="20"/>
        </w:rPr>
        <w:t xml:space="preserve">The Burden of Proof: Nurse Managers’ Judgements and Responses to Nurses’ Care Concerns When Quality Indicators Appear Reassuring — An Interpretive Description</w:t>
      </w:r>
    </w:p>
    <w:p>
      <w:pPr>
        <w:spacing w:after="120" w:line="276"/>
      </w:pPr>
      <w:r>
        <w:rPr>
          <w:rFonts w:ascii="Calibri" w:cs="Calibri" w:eastAsia="Calibri" w:hAnsi="Calibri"/>
          <w:b/>
          <w:bCs/>
          <w:sz w:val="20"/>
          <w:szCs w:val="20"/>
        </w:rPr>
        <w:t xml:space="preserve">Ethics approval: </w:t>
      </w:r>
      <w:r>
        <w:rPr>
          <w:rFonts w:ascii="Calibri" w:cs="Calibri" w:eastAsia="Calibri" w:hAnsi="Calibri"/>
          <w:sz w:val="20"/>
          <w:szCs w:val="20"/>
        </w:rPr>
        <w:t xml:space="preserve">Institutional Review Board, King Abdulaziz Specialist Hospital, Aljouf Health Cluster (committee registration H-13-S-161); approval No. 9804, 26 December 2025.</w:t>
      </w:r>
    </w:p>
    <w:p>
      <w:pPr>
        <w:pBdr>
          <w:bottom w:val="single" w:color="8EAADB" w:sz="6" w:space="4"/>
        </w:pBdr>
        <w:spacing w:after="200"/>
      </w:pPr>
    </w:p>
    <w:p>
      <w:pPr>
        <w:spacing w:after="120" w:line="276"/>
      </w:pPr>
      <w:r>
        <w:rPr>
          <w:rFonts w:ascii="Calibri" w:cs="Calibri" w:eastAsia="Calibri" w:hAnsi="Calibri"/>
        </w:rPr>
        <w:t xml:space="preserve">This file gives the detailed procedures summarised in Sections 4.3, 4.4, 4.6 and 4.10 of the manuscript.</w:t>
      </w:r>
    </w:p>
    <w:p>
      <w:pPr>
        <w:pStyle w:val="Heading1"/>
        <w:spacing w:after="120" w:before="240"/>
      </w:pPr>
      <w:r>
        <w:rPr>
          <w:rFonts w:ascii="Calibri" w:cs="Calibri" w:eastAsia="Calibri" w:hAnsi="Calibri"/>
        </w:rPr>
        <w:t xml:space="preserve">S3.1 Eligibility criteria</w:t>
      </w:r>
    </w:p>
    <w:p>
      <w:pPr>
        <w:keepNext/>
        <w:spacing w:after="80" w:before="160"/>
      </w:pPr>
      <w:r>
        <w:rPr>
          <w:rFonts w:ascii="Calibri" w:cs="Calibri" w:eastAsia="Calibri" w:hAnsi="Calibri"/>
          <w:b/>
          <w:bCs/>
        </w:rPr>
        <w:t xml:space="preserve">Table S3.1. Inclusion and exclusion criteria with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Criterion</w:t>
            </w:r>
          </w:p>
        </w:tc>
        <w:tc>
          <w:tcPr>
            <w:tcW w:type="dxa" w:w="47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Rationale</w:t>
            </w:r>
          </w:p>
        </w:tc>
      </w:tr>
      <w:tr>
        <w:tc>
          <w:tcPr>
            <w:tcW w:type="dxa" w:w="9026"/>
            <w:gridSpan w:val="2"/>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Inclusion criteria</w:t>
            </w:r>
          </w:p>
        </w:tc>
      </w:tr>
      <w:tr>
        <w:tc>
          <w:tcPr>
            <w:tcW w:type="dxa" w:w="43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Registered nurse</w:t>
            </w:r>
          </w:p>
        </w:tc>
        <w:tc>
          <w:tcPr>
            <w:tcW w:type="dxa" w:w="4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The study concerns nursing management judgement.</w:t>
            </w:r>
          </w:p>
        </w:tc>
      </w:tr>
      <w:tr>
        <w:tc>
          <w:tcPr>
            <w:tcW w:type="dxa" w:w="43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Substantive head nurse or nurse manager post with 24-hour accountability for a clinical inpatient, critical care or emergency unit</w:t>
            </w:r>
          </w:p>
        </w:tc>
        <w:tc>
          <w:tcPr>
            <w:tcW w:type="dxa" w:w="4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Ensures formal responsibility for receiving and responding to nurses’ care concerns at unit level.</w:t>
            </w:r>
          </w:p>
        </w:tc>
      </w:tr>
      <w:tr>
        <w:tc>
          <w:tcPr>
            <w:tcW w:type="dxa" w:w="43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At least six months in the current managerial role</w:t>
            </w:r>
          </w:p>
        </w:tc>
        <w:tc>
          <w:tcPr>
            <w:tcW w:type="dxa" w:w="4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Allows the participant to describe at least one full cycle of indicator reporting and review.</w:t>
            </w:r>
          </w:p>
        </w:tc>
      </w:tr>
      <w:tr>
        <w:tc>
          <w:tcPr>
            <w:tcW w:type="dxa" w:w="43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Unit reports routine quality indicators to the hospital quality department</w:t>
            </w:r>
          </w:p>
        </w:tc>
        <w:tc>
          <w:tcPr>
            <w:tcW w:type="dxa" w:w="4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Indicators are necessary for the phenomenon of interest: concerns raised while indicators appear reassuring.</w:t>
            </w:r>
          </w:p>
        </w:tc>
      </w:tr>
      <w:tr>
        <w:tc>
          <w:tcPr>
            <w:tcW w:type="dxa" w:w="43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Able to be interviewed in Arabic or English</w:t>
            </w:r>
          </w:p>
        </w:tc>
        <w:tc>
          <w:tcPr>
            <w:tcW w:type="dxa" w:w="4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Interviews were conducted in the participant’s preferred language by a bilingual interviewer.</w:t>
            </w:r>
          </w:p>
        </w:tc>
      </w:tr>
      <w:tr>
        <w:tc>
          <w:tcPr>
            <w:tcW w:type="dxa" w:w="9026"/>
            <w:gridSpan w:val="2"/>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Exclusion criteria</w:t>
            </w:r>
          </w:p>
        </w:tc>
      </w:tr>
      <w:tr>
        <w:tc>
          <w:tcPr>
            <w:tcW w:type="dxa" w:w="43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Acting or temporary manager in post for less than six months</w:t>
            </w:r>
          </w:p>
        </w:tc>
        <w:tc>
          <w:tcPr>
            <w:tcW w:type="dxa" w:w="4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Limited experience of indicator review and of responding to concerns in the role.</w:t>
            </w:r>
          </w:p>
        </w:tc>
      </w:tr>
      <w:tr>
        <w:tc>
          <w:tcPr>
            <w:tcW w:type="dxa" w:w="43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Manager of a non-clinical or outpatient-only area</w:t>
            </w:r>
          </w:p>
        </w:tc>
        <w:tc>
          <w:tcPr>
            <w:tcW w:type="dxa" w:w="4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Inpatient indicator reporting and 24-hour accountability do not apply in the same way.</w:t>
            </w:r>
          </w:p>
        </w:tc>
      </w:tr>
      <w:tr>
        <w:tc>
          <w:tcPr>
            <w:tcW w:type="dxa" w:w="43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Current supervisory, employment or academic relationship with a member of the research team</w:t>
            </w:r>
          </w:p>
        </w:tc>
        <w:tc>
          <w:tcPr>
            <w:tcW w:type="dxa" w:w="4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Avoids coercion, power imbalance and compromised confidentiality.</w:t>
            </w:r>
          </w:p>
        </w:tc>
      </w:tr>
    </w:tbl>
    <w:p>
      <w:pPr>
        <w:pStyle w:val="Heading1"/>
        <w:spacing w:after="120" w:before="240"/>
      </w:pPr>
      <w:r>
        <w:rPr>
          <w:rFonts w:ascii="Calibri" w:cs="Calibri" w:eastAsia="Calibri" w:hAnsi="Calibri"/>
        </w:rPr>
        <w:t xml:space="preserve">S3.2 Recruitment and participation</w:t>
      </w:r>
    </w:p>
    <w:p>
      <w:pPr>
        <w:keepNext/>
        <w:spacing w:after="80" w:before="160"/>
      </w:pPr>
      <w:r>
        <w:rPr>
          <w:rFonts w:ascii="Calibri" w:cs="Calibri" w:eastAsia="Calibri" w:hAnsi="Calibri"/>
          <w:b/>
          <w:bCs/>
        </w:rPr>
        <w:t xml:space="preserve">Table S3.2. Recruitment flow (January–June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Stage</w:t>
            </w:r>
          </w:p>
        </w:tc>
        <w:tc>
          <w:tcPr>
            <w:tcW w:type="dxa" w:w="27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n</w:t>
            </w:r>
          </w:p>
        </w:tc>
      </w:tr>
      <w:tr>
        <w:tc>
          <w:tcPr>
            <w:tcW w:type="dxa" w:w="6326"/>
            <w:tcMar>
              <w:top w:type="dxa" w:w="60"/>
              <w:left w:type="dxa" w:w="90"/>
              <w:bottom w:type="dxa" w:w="60"/>
              <w:right w:type="dxa" w:w="90"/>
            </w:tcMar>
            <w:vAlign w:val="top"/>
          </w:tcPr>
          <w:p>
            <w:pPr>
              <w:spacing w:after="30"/>
            </w:pPr>
            <w:r>
              <w:rPr>
                <w:rFonts w:ascii="Calibri" w:cs="Calibri" w:eastAsia="Calibri" w:hAnsi="Calibri"/>
                <w:sz w:val="19"/>
                <w:szCs w:val="19"/>
              </w:rPr>
              <w:t xml:space="preserve">Eligible unit-level nurse managers across six hospitals (number and unit types provided anonymously by Directors of Nursing)</w:t>
            </w:r>
          </w:p>
        </w:tc>
        <w:tc>
          <w:tcPr>
            <w:tcW w:type="dxa" w:w="2700"/>
            <w:tcMar>
              <w:top w:type="dxa" w:w="60"/>
              <w:left w:type="dxa" w:w="90"/>
              <w:bottom w:type="dxa" w:w="60"/>
              <w:right w:type="dxa" w:w="90"/>
            </w:tcMar>
            <w:vAlign w:val="top"/>
          </w:tcPr>
          <w:p>
            <w:pPr>
              <w:spacing w:after="30"/>
            </w:pPr>
            <w:r>
              <w:rPr>
                <w:rFonts w:ascii="Calibri" w:cs="Calibri" w:eastAsia="Calibri" w:hAnsi="Calibri"/>
                <w:sz w:val="19"/>
                <w:szCs w:val="19"/>
              </w:rPr>
              <w:t xml:space="preserve">38</w:t>
            </w:r>
          </w:p>
        </w:tc>
      </w:tr>
      <w:tr>
        <w:tc>
          <w:tcPr>
            <w:tcW w:type="dxa" w:w="6326"/>
            <w:tcMar>
              <w:top w:type="dxa" w:w="60"/>
              <w:left w:type="dxa" w:w="90"/>
              <w:bottom w:type="dxa" w:w="60"/>
              <w:right w:type="dxa" w:w="90"/>
            </w:tcMar>
            <w:vAlign w:val="top"/>
          </w:tcPr>
          <w:p>
            <w:pPr>
              <w:spacing w:after="30"/>
            </w:pPr>
            <w:r>
              <w:rPr>
                <w:rFonts w:ascii="Calibri" w:cs="Calibri" w:eastAsia="Calibri" w:hAnsi="Calibri"/>
                <w:sz w:val="19"/>
                <w:szCs w:val="19"/>
              </w:rPr>
              <w:t xml:space="preserve">Received a standard invitation by official hospital email from the Director of Nursing</w:t>
            </w:r>
          </w:p>
        </w:tc>
        <w:tc>
          <w:tcPr>
            <w:tcW w:type="dxa" w:w="2700"/>
            <w:tcMar>
              <w:top w:type="dxa" w:w="60"/>
              <w:left w:type="dxa" w:w="90"/>
              <w:bottom w:type="dxa" w:w="60"/>
              <w:right w:type="dxa" w:w="90"/>
            </w:tcMar>
            <w:vAlign w:val="top"/>
          </w:tcPr>
          <w:p>
            <w:pPr>
              <w:spacing w:after="30"/>
            </w:pPr>
            <w:r>
              <w:rPr>
                <w:rFonts w:ascii="Calibri" w:cs="Calibri" w:eastAsia="Calibri" w:hAnsi="Calibri"/>
                <w:sz w:val="19"/>
                <w:szCs w:val="19"/>
              </w:rPr>
              <w:t xml:space="preserve">38</w:t>
            </w:r>
          </w:p>
        </w:tc>
      </w:tr>
      <w:tr>
        <w:tc>
          <w:tcPr>
            <w:tcW w:type="dxa" w:w="6326"/>
            <w:tcMar>
              <w:top w:type="dxa" w:w="60"/>
              <w:left w:type="dxa" w:w="90"/>
              <w:bottom w:type="dxa" w:w="60"/>
              <w:right w:type="dxa" w:w="90"/>
            </w:tcMar>
            <w:vAlign w:val="top"/>
          </w:tcPr>
          <w:p>
            <w:pPr>
              <w:spacing w:after="30"/>
            </w:pPr>
            <w:r>
              <w:rPr>
                <w:rFonts w:ascii="Calibri" w:cs="Calibri" w:eastAsia="Calibri" w:hAnsi="Calibri"/>
                <w:sz w:val="19"/>
                <w:szCs w:val="19"/>
              </w:rPr>
              <w:t xml:space="preserve">Did not respond (no reasons sought)</w:t>
            </w:r>
          </w:p>
        </w:tc>
        <w:tc>
          <w:tcPr>
            <w:tcW w:type="dxa" w:w="2700"/>
            <w:tcMar>
              <w:top w:type="dxa" w:w="60"/>
              <w:left w:type="dxa" w:w="90"/>
              <w:bottom w:type="dxa" w:w="60"/>
              <w:right w:type="dxa" w:w="90"/>
            </w:tcMar>
            <w:vAlign w:val="top"/>
          </w:tcPr>
          <w:p>
            <w:pPr>
              <w:spacing w:after="30"/>
            </w:pPr>
            <w:r>
              <w:rPr>
                <w:rFonts w:ascii="Calibri" w:cs="Calibri" w:eastAsia="Calibri" w:hAnsi="Calibri"/>
                <w:sz w:val="19"/>
                <w:szCs w:val="19"/>
              </w:rPr>
              <w:t xml:space="preserve">9</w:t>
            </w:r>
          </w:p>
        </w:tc>
      </w:tr>
      <w:tr>
        <w:tc>
          <w:tcPr>
            <w:tcW w:type="dxa" w:w="6326"/>
            <w:tcMar>
              <w:top w:type="dxa" w:w="60"/>
              <w:left w:type="dxa" w:w="90"/>
              <w:bottom w:type="dxa" w:w="60"/>
              <w:right w:type="dxa" w:w="90"/>
            </w:tcMar>
            <w:vAlign w:val="top"/>
          </w:tcPr>
          <w:p>
            <w:pPr>
              <w:spacing w:after="30"/>
            </w:pPr>
            <w:r>
              <w:rPr>
                <w:rFonts w:ascii="Calibri" w:cs="Calibri" w:eastAsia="Calibri" w:hAnsi="Calibri"/>
                <w:sz w:val="19"/>
                <w:szCs w:val="19"/>
              </w:rPr>
              <w:t xml:space="preserve">Volunteered by contacting the research team directly</w:t>
            </w:r>
          </w:p>
        </w:tc>
        <w:tc>
          <w:tcPr>
            <w:tcW w:type="dxa" w:w="2700"/>
            <w:tcMar>
              <w:top w:type="dxa" w:w="60"/>
              <w:left w:type="dxa" w:w="90"/>
              <w:bottom w:type="dxa" w:w="60"/>
              <w:right w:type="dxa" w:w="90"/>
            </w:tcMar>
            <w:vAlign w:val="top"/>
          </w:tcPr>
          <w:p>
            <w:pPr>
              <w:spacing w:after="30"/>
            </w:pPr>
            <w:r>
              <w:rPr>
                <w:rFonts w:ascii="Calibri" w:cs="Calibri" w:eastAsia="Calibri" w:hAnsi="Calibri"/>
                <w:sz w:val="19"/>
                <w:szCs w:val="19"/>
              </w:rPr>
              <w:t xml:space="preserve">29</w:t>
            </w:r>
          </w:p>
        </w:tc>
      </w:tr>
      <w:tr>
        <w:tc>
          <w:tcPr>
            <w:tcW w:type="dxa" w:w="6326"/>
            <w:tcMar>
              <w:top w:type="dxa" w:w="60"/>
              <w:left w:type="dxa" w:w="90"/>
              <w:bottom w:type="dxa" w:w="60"/>
              <w:right w:type="dxa" w:w="90"/>
            </w:tcMar>
            <w:vAlign w:val="top"/>
          </w:tcPr>
          <w:p>
            <w:pPr>
              <w:spacing w:after="30"/>
            </w:pPr>
            <w:r>
              <w:rPr>
                <w:rFonts w:ascii="Calibri" w:cs="Calibri" w:eastAsia="Calibri" w:hAnsi="Calibri"/>
                <w:sz w:val="19"/>
                <w:szCs w:val="19"/>
              </w:rPr>
              <w:t xml:space="preserve">Not interviewed: could not be scheduled because of annual leave</w:t>
            </w:r>
          </w:p>
        </w:tc>
        <w:tc>
          <w:tcPr>
            <w:tcW w:type="dxa" w:w="2700"/>
            <w:tcMar>
              <w:top w:type="dxa" w:w="60"/>
              <w:left w:type="dxa" w:w="90"/>
              <w:bottom w:type="dxa" w:w="60"/>
              <w:right w:type="dxa" w:w="90"/>
            </w:tcMar>
            <w:vAlign w:val="top"/>
          </w:tcPr>
          <w:p>
            <w:pPr>
              <w:spacing w:after="30"/>
            </w:pPr>
            <w:r>
              <w:rPr>
                <w:rFonts w:ascii="Calibri" w:cs="Calibri" w:eastAsia="Calibri" w:hAnsi="Calibri"/>
                <w:sz w:val="19"/>
                <w:szCs w:val="19"/>
              </w:rPr>
              <w:t xml:space="preserve">2</w:t>
            </w:r>
          </w:p>
        </w:tc>
      </w:tr>
      <w:tr>
        <w:tc>
          <w:tcPr>
            <w:tcW w:type="dxa" w:w="6326"/>
            <w:tcMar>
              <w:top w:type="dxa" w:w="60"/>
              <w:left w:type="dxa" w:w="90"/>
              <w:bottom w:type="dxa" w:w="60"/>
              <w:right w:type="dxa" w:w="90"/>
            </w:tcMar>
            <w:vAlign w:val="top"/>
          </w:tcPr>
          <w:p>
            <w:pPr>
              <w:spacing w:after="30"/>
            </w:pPr>
            <w:r>
              <w:rPr>
                <w:rFonts w:ascii="Calibri" w:cs="Calibri" w:eastAsia="Calibri" w:hAnsi="Calibri"/>
                <w:sz w:val="19"/>
                <w:szCs w:val="19"/>
              </w:rPr>
              <w:t xml:space="preserve">Not interviewed: withdrew before interview, citing workload</w:t>
            </w:r>
          </w:p>
        </w:tc>
        <w:tc>
          <w:tcPr>
            <w:tcW w:type="dxa" w:w="2700"/>
            <w:tcMar>
              <w:top w:type="dxa" w:w="60"/>
              <w:left w:type="dxa" w:w="90"/>
              <w:bottom w:type="dxa" w:w="60"/>
              <w:right w:type="dxa" w:w="90"/>
            </w:tcMar>
            <w:vAlign w:val="top"/>
          </w:tcPr>
          <w:p>
            <w:pPr>
              <w:spacing w:after="30"/>
            </w:pPr>
            <w:r>
              <w:rPr>
                <w:rFonts w:ascii="Calibri" w:cs="Calibri" w:eastAsia="Calibri" w:hAnsi="Calibri"/>
                <w:sz w:val="19"/>
                <w:szCs w:val="19"/>
              </w:rPr>
              <w:t xml:space="preserve">1</w:t>
            </w:r>
          </w:p>
        </w:tc>
      </w:tr>
      <w:tr>
        <w:tc>
          <w:tcPr>
            <w:tcW w:type="dxa" w:w="6326"/>
            <w:tcMar>
              <w:top w:type="dxa" w:w="60"/>
              <w:left w:type="dxa" w:w="90"/>
              <w:bottom w:type="dxa" w:w="60"/>
              <w:right w:type="dxa" w:w="90"/>
            </w:tcMar>
            <w:vAlign w:val="top"/>
          </w:tcPr>
          <w:p>
            <w:pPr>
              <w:spacing w:after="30"/>
            </w:pPr>
            <w:r>
              <w:rPr>
                <w:rFonts w:ascii="Calibri" w:cs="Calibri" w:eastAsia="Calibri" w:hAnsi="Calibri"/>
                <w:sz w:val="19"/>
                <w:szCs w:val="19"/>
              </w:rPr>
              <w:t xml:space="preserve">Not interviewed: volunteered after interpretive sufficiency was reached (thanked and told that recruitment had closed)</w:t>
            </w:r>
          </w:p>
        </w:tc>
        <w:tc>
          <w:tcPr>
            <w:tcW w:type="dxa" w:w="2700"/>
            <w:tcMar>
              <w:top w:type="dxa" w:w="60"/>
              <w:left w:type="dxa" w:w="90"/>
              <w:bottom w:type="dxa" w:w="60"/>
              <w:right w:type="dxa" w:w="90"/>
            </w:tcMar>
            <w:vAlign w:val="top"/>
          </w:tcPr>
          <w:p>
            <w:pPr>
              <w:spacing w:after="30"/>
            </w:pPr>
            <w:r>
              <w:rPr>
                <w:rFonts w:ascii="Calibri" w:cs="Calibri" w:eastAsia="Calibri" w:hAnsi="Calibri"/>
                <w:sz w:val="19"/>
                <w:szCs w:val="19"/>
              </w:rPr>
              <w:t xml:space="preserve">3</w:t>
            </w:r>
          </w:p>
        </w:tc>
      </w:tr>
      <w:tr>
        <w:tc>
          <w:tcPr>
            <w:tcW w:type="dxa" w:w="6326"/>
            <w:tcMar>
              <w:top w:type="dxa" w:w="60"/>
              <w:left w:type="dxa" w:w="90"/>
              <w:bottom w:type="dxa" w:w="60"/>
              <w:right w:type="dxa" w:w="90"/>
            </w:tcMar>
            <w:vAlign w:val="top"/>
          </w:tcPr>
          <w:p>
            <w:pPr>
              <w:spacing w:after="40"/>
            </w:pPr>
            <w:r>
              <w:rPr>
                <w:rFonts w:ascii="Calibri" w:cs="Calibri" w:eastAsia="Calibri" w:hAnsi="Calibri"/>
                <w:b/>
                <w:bCs/>
                <w:sz w:val="19"/>
                <w:szCs w:val="19"/>
              </w:rPr>
              <w:t xml:space="preserve">Interviewed and included in analysis</w:t>
            </w:r>
          </w:p>
        </w:tc>
        <w:tc>
          <w:tcPr>
            <w:tcW w:type="dxa" w:w="2700"/>
            <w:tcMar>
              <w:top w:type="dxa" w:w="60"/>
              <w:left w:type="dxa" w:w="90"/>
              <w:bottom w:type="dxa" w:w="60"/>
              <w:right w:type="dxa" w:w="90"/>
            </w:tcMar>
            <w:vAlign w:val="top"/>
          </w:tcPr>
          <w:p>
            <w:pPr>
              <w:spacing w:after="40"/>
            </w:pPr>
            <w:r>
              <w:rPr>
                <w:rFonts w:ascii="Calibri" w:cs="Calibri" w:eastAsia="Calibri" w:hAnsi="Calibri"/>
                <w:b/>
                <w:bCs/>
                <w:sz w:val="19"/>
                <w:szCs w:val="19"/>
              </w:rPr>
              <w:t xml:space="preserve">23</w:t>
            </w:r>
          </w:p>
        </w:tc>
      </w:tr>
      <w:tr>
        <w:tc>
          <w:tcPr>
            <w:tcW w:type="dxa" w:w="6326"/>
            <w:tcMar>
              <w:top w:type="dxa" w:w="60"/>
              <w:left w:type="dxa" w:w="90"/>
              <w:bottom w:type="dxa" w:w="60"/>
              <w:right w:type="dxa" w:w="90"/>
            </w:tcMar>
            <w:vAlign w:val="top"/>
          </w:tcPr>
          <w:p>
            <w:pPr>
              <w:spacing w:after="30"/>
            </w:pPr>
            <w:r>
              <w:rPr>
                <w:rFonts w:ascii="Calibri" w:cs="Calibri" w:eastAsia="Calibri" w:hAnsi="Calibri"/>
                <w:sz w:val="19"/>
                <w:szCs w:val="19"/>
              </w:rPr>
              <w:t xml:space="preserve">Withdrew after interview</w:t>
            </w:r>
          </w:p>
        </w:tc>
        <w:tc>
          <w:tcPr>
            <w:tcW w:type="dxa" w:w="2700"/>
            <w:tcMar>
              <w:top w:type="dxa" w:w="60"/>
              <w:left w:type="dxa" w:w="90"/>
              <w:bottom w:type="dxa" w:w="60"/>
              <w:right w:type="dxa" w:w="90"/>
            </w:tcMar>
            <w:vAlign w:val="top"/>
          </w:tcPr>
          <w:p>
            <w:pPr>
              <w:spacing w:after="30"/>
            </w:pPr>
            <w:r>
              <w:rPr>
                <w:rFonts w:ascii="Calibri" w:cs="Calibri" w:eastAsia="Calibri" w:hAnsi="Calibri"/>
                <w:sz w:val="19"/>
                <w:szCs w:val="19"/>
              </w:rPr>
              <w:t xml:space="preserve">0</w:t>
            </w:r>
          </w:p>
        </w:tc>
      </w:tr>
    </w:tbl>
    <w:p>
      <w:pPr>
        <w:spacing w:after="80"/>
      </w:pPr>
    </w:p>
    <w:p>
      <w:pPr>
        <w:keepNext/>
        <w:spacing w:after="80" w:before="160"/>
      </w:pPr>
      <w:r>
        <w:rPr>
          <w:rFonts w:ascii="Calibri" w:cs="Calibri" w:eastAsia="Calibri" w:hAnsi="Calibri"/>
          <w:b/>
          <w:bCs/>
        </w:rPr>
        <w:t xml:space="preserve">Table S3.3. Sample by hospital and unit type (each dimension represented; not every combination)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Dimension</w:t>
            </w:r>
          </w:p>
        </w:tc>
        <w:tc>
          <w:tcPr>
            <w:tcW w:type="dxa" w:w="4513"/>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Distribution</w:t>
            </w:r>
          </w:p>
        </w:tc>
      </w:tr>
      <w:tr>
        <w:tc>
          <w:tcPr>
            <w:tcW w:type="dxa" w:w="4513"/>
            <w:tcMar>
              <w:top w:type="dxa" w:w="60"/>
              <w:left w:type="dxa" w:w="90"/>
              <w:bottom w:type="dxa" w:w="60"/>
              <w:right w:type="dxa" w:w="90"/>
            </w:tcMar>
            <w:vAlign w:val="top"/>
          </w:tcPr>
          <w:p>
            <w:pPr>
              <w:spacing w:after="30"/>
            </w:pPr>
            <w:r>
              <w:rPr>
                <w:rFonts w:ascii="Calibri" w:cs="Calibri" w:eastAsia="Calibri" w:hAnsi="Calibri"/>
                <w:b/>
                <w:bCs/>
                <w:sz w:val="19"/>
                <w:szCs w:val="19"/>
              </w:rPr>
              <w:t xml:space="preserve">Hospitals (H1–H6)</w:t>
            </w:r>
          </w:p>
        </w:tc>
        <w:tc>
          <w:tcPr>
            <w:tcW w:type="dxa" w:w="4513"/>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Three to five participants per hospital; all six represented</w:t>
            </w:r>
          </w:p>
        </w:tc>
      </w:tr>
      <w:tr>
        <w:tc>
          <w:tcPr>
            <w:tcW w:type="dxa" w:w="4513"/>
            <w:tcMar>
              <w:top w:type="dxa" w:w="60"/>
              <w:left w:type="dxa" w:w="90"/>
              <w:bottom w:type="dxa" w:w="60"/>
              <w:right w:type="dxa" w:w="90"/>
            </w:tcMar>
            <w:vAlign w:val="top"/>
          </w:tcPr>
          <w:p>
            <w:pPr>
              <w:spacing w:after="30"/>
            </w:pPr>
            <w:r>
              <w:rPr>
                <w:rFonts w:ascii="Calibri" w:cs="Calibri" w:eastAsia="Calibri" w:hAnsi="Calibri"/>
                <w:b/>
                <w:bCs/>
                <w:sz w:val="19"/>
                <w:szCs w:val="19"/>
              </w:rPr>
              <w:t xml:space="preserve">Unit type</w:t>
            </w:r>
          </w:p>
        </w:tc>
        <w:tc>
          <w:tcPr>
            <w:tcW w:type="dxa" w:w="4513"/>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Medical 5; surgical 5; critical care 5; emergency 3; maternity 3; paediatric 2</w:t>
            </w:r>
          </w:p>
        </w:tc>
      </w:tr>
      <w:tr>
        <w:tc>
          <w:tcPr>
            <w:tcW w:type="dxa" w:w="4513"/>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Interview language</w:t>
            </w:r>
          </w:p>
        </w:tc>
        <w:tc>
          <w:tcPr>
            <w:tcW w:type="dxa" w:w="4513"/>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Arabic 14; English 9</w:t>
            </w:r>
          </w:p>
        </w:tc>
      </w:tr>
      <w:tr>
        <w:tc>
          <w:tcPr>
            <w:tcW w:type="dxa" w:w="4513"/>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Interview format</w:t>
            </w:r>
          </w:p>
        </w:tc>
        <w:tc>
          <w:tcPr>
            <w:tcW w:type="dxa" w:w="4513"/>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Face to face 18; video 5</w:t>
            </w:r>
          </w:p>
        </w:tc>
      </w:tr>
    </w:tbl>
    <w:p>
      <w:pPr>
        <w:pStyle w:val="Heading1"/>
        <w:spacing w:after="120" w:before="240"/>
      </w:pPr>
      <w:r>
        <w:rPr>
          <w:rFonts w:ascii="Calibri" w:cs="Calibri" w:eastAsia="Calibri" w:hAnsi="Calibri"/>
        </w:rPr>
        <w:t xml:space="preserve">S3.3 Data management procedures</w:t>
      </w:r>
    </w:p>
    <w:p>
      <w:pPr>
        <w:spacing w:after="120" w:line="276"/>
      </w:pPr>
      <w:r>
        <w:rPr>
          <w:rFonts w:ascii="Calibri" w:cs="Calibri" w:eastAsia="Calibri" w:hAnsi="Calibri"/>
        </w:rPr>
        <w:t xml:space="preserve">Data were managed in accordance with the Saudi Personal Data Protection Law (Kingdom of Saudi Arabia, 2021) and institutional data-governance policy. All data were stored within Saudi Arabia. No automated transcription or generative-AI tools were used in data handling or analysis.</w:t>
      </w:r>
    </w:p>
    <w:p>
      <w:pPr>
        <w:keepNext/>
        <w:spacing w:after="80" w:before="160"/>
      </w:pPr>
      <w:r>
        <w:rPr>
          <w:rFonts w:ascii="Calibri" w:cs="Calibri" w:eastAsia="Calibri" w:hAnsi="Calibri"/>
          <w:b/>
          <w:bCs/>
        </w:rPr>
        <w:t xml:space="preserve">Table S3.4. Data life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926"/>
        <w:gridCol w:w="1500"/>
        <w:gridCol w:w="2000"/>
      </w:tblGrid>
      <w:tr>
        <w:trPr>
          <w:tblHeader/>
        </w:trPr>
        <w:tc>
          <w:tcPr>
            <w:tcW w:type="dxa" w:w="16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Stage</w:t>
            </w:r>
          </w:p>
        </w:tc>
        <w:tc>
          <w:tcPr>
            <w:tcW w:type="dxa" w:w="39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Procedure</w:t>
            </w:r>
          </w:p>
        </w:tc>
        <w:tc>
          <w:tcPr>
            <w:tcW w:type="dxa" w:w="15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Responsible</w:t>
            </w:r>
          </w:p>
        </w:tc>
        <w:tc>
          <w:tcPr>
            <w:tcW w:type="dxa" w:w="20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Safeguard</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Consent and identification</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Paper consent forms signed before interview. Each participant given a code (P01–P23) and each hospital a code (H1–H6). Identification key created.</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Consent forms in a locked cabinet; key in a separate encrypted file</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Questionnaire</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Paper questionnaire labelled with codes only and entered into a coded spreadsheet.</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Stored separately from consent forms</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Recording</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Audio recorded on two encrypted digital recorders (video interviews recorded as audio only).</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Device encryption</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Transfer and storage</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Audio transferred on the day of interview to an encrypted, password-protected, institutionally managed drive, then deleted from the recorders.</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Access restricted to the research team; drive hosted in Saudi Arabia</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Transcription</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Verbatim transcription in the language of the interview by a professional bilingual transcriptionist based in Saudi Arabia (domestic transcription).</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Transcriptionist</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Signed confidentiality agreement; encrypted institutional device</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Verification and de-identification</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Each transcript checked against its audio. Names, units, hospitals, dates and identifying events replaced with codes or generic descriptors.</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Completed before transcripts were shared with anyone outside R1 and R2</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Field notes</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Completed after each interview using the S1.8 template, with codes only.</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Stored with de-identified transcripts</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Analysis</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De-identified transcripts imported into NVivo 14. Memos, matrices and dated coding-framework versions retained.</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 R2 (R3 in meetings)</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Project file stored on the encrypted drive</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Translation of quotations</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Selected Arabic quotations translated by R1 and checked for conceptual equivalence.</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 bilingual translation checker</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De-identified excerpts only</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Peer debriefing and audit</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Audit trail reviewed after interview 12 and at the end of analysis.</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Independent qualitative methodologist</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De-identified transcripts only; confidentiality agreement</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Member reflection</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Two-page bilingual summary of preliminary interpretations emailed to all 23 participants; comments by email or brief call within three weeks (10 of 23 responded).</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Summary contained no individual quotations or identifiers</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Retention and destruction</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Audio deleted after verification and de-identification. De-identified transcripts, analytic files and the audit trail retained for five years after publication, then securely destroyed.</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R1</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Institutional retention policy</w:t>
            </w:r>
          </w:p>
        </w:tc>
      </w:tr>
      <w:tr>
        <w:tc>
          <w:tcPr>
            <w:tcW w:type="dxa" w:w="16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Data sharing</w:t>
            </w:r>
          </w:p>
        </w:tc>
        <w:tc>
          <w:tcPr>
            <w:tcW w:type="dxa" w:w="39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Transcripts not shared publicly because the participant population is small and identifiable.</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Research team</w:t>
            </w:r>
          </w:p>
        </w:tc>
        <w:tc>
          <w:tcPr>
            <w:tcW w:type="dxa" w:w="20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Protects participants from identification</w:t>
            </w:r>
          </w:p>
        </w:tc>
      </w:tr>
    </w:tbl>
    <w:p>
      <w:pPr>
        <w:keepNext/>
        <w:spacing w:after="80" w:before="160"/>
      </w:pPr>
      <w:r>
        <w:rPr>
          <w:rFonts w:ascii="Calibri" w:cs="Calibri" w:eastAsia="Calibri" w:hAnsi="Calibri"/>
          <w:b/>
          <w:bCs/>
        </w:rPr>
        <w:t xml:space="preserve">Table S3.5. Access to study data by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900"/>
        <w:gridCol w:w="900"/>
        <w:gridCol w:w="900"/>
        <w:gridCol w:w="1500"/>
        <w:gridCol w:w="1500"/>
        <w:gridCol w:w="1500"/>
      </w:tblGrid>
      <w:tr>
        <w:trPr>
          <w:tblHeader/>
        </w:trPr>
        <w:tc>
          <w:tcPr>
            <w:tcW w:type="dxa" w:w="18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Data item</w:t>
            </w:r>
          </w:p>
        </w:tc>
        <w:tc>
          <w:tcPr>
            <w:tcW w:type="dxa" w:w="9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R1</w:t>
            </w:r>
          </w:p>
        </w:tc>
        <w:tc>
          <w:tcPr>
            <w:tcW w:type="dxa" w:w="9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R2</w:t>
            </w:r>
          </w:p>
        </w:tc>
        <w:tc>
          <w:tcPr>
            <w:tcW w:type="dxa" w:w="9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R3</w:t>
            </w:r>
          </w:p>
        </w:tc>
        <w:tc>
          <w:tcPr>
            <w:tcW w:type="dxa" w:w="15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Transcriptionist</w:t>
            </w:r>
          </w:p>
        </w:tc>
        <w:tc>
          <w:tcPr>
            <w:tcW w:type="dxa" w:w="15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Translation checker</w:t>
            </w:r>
          </w:p>
        </w:tc>
        <w:tc>
          <w:tcPr>
            <w:tcW w:type="dxa" w:w="15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Methodologist</w:t>
            </w:r>
          </w:p>
        </w:tc>
      </w:tr>
      <w:tr>
        <w:tc>
          <w:tcPr>
            <w:tcW w:type="dxa" w:w="1826"/>
            <w:tcMar>
              <w:top w:type="dxa" w:w="60"/>
              <w:left w:type="dxa" w:w="90"/>
              <w:bottom w:type="dxa" w:w="60"/>
              <w:right w:type="dxa" w:w="90"/>
            </w:tcMar>
            <w:vAlign w:val="top"/>
          </w:tcPr>
          <w:p>
            <w:pPr>
              <w:spacing w:after="30"/>
            </w:pPr>
            <w:r>
              <w:rPr>
                <w:rFonts w:ascii="Calibri" w:cs="Calibri" w:eastAsia="Calibri" w:hAnsi="Calibri"/>
                <w:b/>
                <w:bCs/>
                <w:sz w:val="19"/>
                <w:szCs w:val="19"/>
              </w:rPr>
              <w:t xml:space="preserve">Consent forms and identification key</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r>
      <w:tr>
        <w:tc>
          <w:tcPr>
            <w:tcW w:type="dxa" w:w="1826"/>
            <w:tcMar>
              <w:top w:type="dxa" w:w="60"/>
              <w:left w:type="dxa" w:w="90"/>
              <w:bottom w:type="dxa" w:w="60"/>
              <w:right w:type="dxa" w:w="90"/>
            </w:tcMar>
            <w:vAlign w:val="top"/>
          </w:tcPr>
          <w:p>
            <w:pPr>
              <w:spacing w:after="30"/>
            </w:pPr>
            <w:r>
              <w:rPr>
                <w:rFonts w:ascii="Calibri" w:cs="Calibri" w:eastAsia="Calibri" w:hAnsi="Calibri"/>
                <w:b/>
                <w:bCs/>
                <w:sz w:val="19"/>
                <w:szCs w:val="19"/>
              </w:rPr>
              <w:t xml:space="preserve">Audio recordings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 (until transcribed)</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r>
      <w:tr>
        <w:tc>
          <w:tcPr>
            <w:tcW w:type="dxa" w:w="1826"/>
            <w:tcMar>
              <w:top w:type="dxa" w:w="60"/>
              <w:left w:type="dxa" w:w="90"/>
              <w:bottom w:type="dxa" w:w="60"/>
              <w:right w:type="dxa" w:w="90"/>
            </w:tcMar>
            <w:vAlign w:val="top"/>
          </w:tcPr>
          <w:p>
            <w:pPr>
              <w:spacing w:after="30"/>
            </w:pPr>
            <w:r>
              <w:rPr>
                <w:rFonts w:ascii="Calibri" w:cs="Calibri" w:eastAsia="Calibri" w:hAnsi="Calibri"/>
                <w:b/>
                <w:bCs/>
                <w:sz w:val="19"/>
                <w:szCs w:val="19"/>
              </w:rPr>
              <w:t xml:space="preserve">Identifiable transcripts (before de-identification)</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 (as produced)</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r>
      <w:tr>
        <w:tc>
          <w:tcPr>
            <w:tcW w:type="dxa" w:w="1826"/>
            <w:tcMar>
              <w:top w:type="dxa" w:w="60"/>
              <w:left w:type="dxa" w:w="90"/>
              <w:bottom w:type="dxa" w:w="60"/>
              <w:right w:type="dxa" w:w="90"/>
            </w:tcMar>
            <w:vAlign w:val="top"/>
          </w:tcPr>
          <w:p>
            <w:pPr>
              <w:spacing w:after="30"/>
            </w:pPr>
            <w:r>
              <w:rPr>
                <w:rFonts w:ascii="Calibri" w:cs="Calibri" w:eastAsia="Calibri" w:hAnsi="Calibri"/>
                <w:b/>
                <w:bCs/>
                <w:sz w:val="19"/>
                <w:szCs w:val="19"/>
              </w:rPr>
              <w:t xml:space="preserve">De-identified transcripts and field notes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Excerpts only</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r>
      <w:tr>
        <w:tc>
          <w:tcPr>
            <w:tcW w:type="dxa" w:w="1826"/>
            <w:tcMar>
              <w:top w:type="dxa" w:w="60"/>
              <w:left w:type="dxa" w:w="90"/>
              <w:bottom w:type="dxa" w:w="60"/>
              <w:right w:type="dxa" w:w="90"/>
            </w:tcMar>
            <w:vAlign w:val="top"/>
          </w:tcPr>
          <w:p>
            <w:pPr>
              <w:spacing w:after="30"/>
            </w:pPr>
            <w:r>
              <w:rPr>
                <w:rFonts w:ascii="Calibri" w:cs="Calibri" w:eastAsia="Calibri" w:hAnsi="Calibri"/>
                <w:b/>
                <w:bCs/>
                <w:sz w:val="19"/>
                <w:szCs w:val="19"/>
              </w:rPr>
              <w:t xml:space="preserve">NVivo project, memos and audit trail</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9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No</w:t>
            </w:r>
          </w:p>
        </w:tc>
        <w:tc>
          <w:tcPr>
            <w:tcW w:type="dxa" w:w="15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Yes</w:t>
            </w:r>
          </w:p>
        </w:tc>
      </w:tr>
    </w:tbl>
    <w:p>
      <w:pPr>
        <w:spacing w:after="120" w:line="276"/>
      </w:pPr>
      <w:r>
        <w:rPr>
          <w:rFonts w:ascii="Calibri" w:cs="Calibri" w:eastAsia="Calibri" w:hAnsi="Calibri"/>
          <w:i/>
          <w:iCs/>
          <w:color w:val="404040"/>
          <w:sz w:val="18"/>
          <w:szCs w:val="18"/>
        </w:rPr>
        <w:t xml:space="preserve">R1 = first author and principal investigator; R2 = second author; R3 = third author. Directors of Nursing and other hospital staff had no access to any study data and were not told who took part.</w:t>
      </w:r>
    </w:p>
    <w:p>
      <w:pPr>
        <w:pStyle w:val="Heading1"/>
        <w:spacing w:after="120" w:before="240"/>
      </w:pPr>
      <w:r>
        <w:rPr>
          <w:rFonts w:ascii="Calibri" w:cs="Calibri" w:eastAsia="Calibri" w:hAnsi="Calibri"/>
        </w:rPr>
        <w:t xml:space="preserve">S3.4 Ethical approval and regulatory compliance</w:t>
      </w:r>
    </w:p>
    <w:p>
      <w:pPr>
        <w:pStyle w:val="ListParagraph"/>
        <w:numPr>
          <w:ilvl w:val="0"/>
          <w:numId w:val="2"/>
        </w:numPr>
        <w:spacing w:after="60" w:line="264"/>
      </w:pPr>
      <w:r>
        <w:rPr>
          <w:rFonts w:ascii="Calibri" w:cs="Calibri" w:eastAsia="Calibri" w:hAnsi="Calibri"/>
          <w:b/>
          <w:bCs/>
        </w:rPr>
        <w:t xml:space="preserve">Ethics approval: </w:t>
      </w:r>
      <w:r>
        <w:rPr>
          <w:rFonts w:ascii="Calibri" w:cs="Calibri" w:eastAsia="Calibri" w:hAnsi="Calibri"/>
        </w:rPr>
        <w:t xml:space="preserve">Institutional Review Board, King Abdulaziz Specialist Hospital, Aljouf Health Cluster (committee registration H-13-S-161); approval No. 9804, dated 26 December 2025. The approval covered one interview per participant, domestic transcription, optional member reflection, and confidential access to de-identified transcripts by the research support roles.</w:t>
      </w:r>
    </w:p>
    <w:p>
      <w:pPr>
        <w:pStyle w:val="ListParagraph"/>
        <w:numPr>
          <w:ilvl w:val="0"/>
          <w:numId w:val="2"/>
        </w:numPr>
        <w:spacing w:after="60" w:line="264"/>
      </w:pPr>
      <w:r>
        <w:rPr>
          <w:rFonts w:ascii="Calibri" w:cs="Calibri" w:eastAsia="Calibri" w:hAnsi="Calibri"/>
          <w:b/>
          <w:bCs/>
        </w:rPr>
        <w:t xml:space="preserve">Administrative permission: </w:t>
      </w:r>
      <w:r>
        <w:rPr>
          <w:rFonts w:ascii="Calibri" w:cs="Calibri" w:eastAsia="Calibri" w:hAnsi="Calibri"/>
        </w:rPr>
        <w:t xml:space="preserve">Granted in January 2026 by the regional healthcare directorate and by the medical and nursing directors of each participating hospital.</w:t>
      </w:r>
    </w:p>
    <w:p>
      <w:pPr>
        <w:pStyle w:val="ListParagraph"/>
        <w:numPr>
          <w:ilvl w:val="0"/>
          <w:numId w:val="2"/>
        </w:numPr>
        <w:spacing w:after="60" w:line="264"/>
      </w:pPr>
      <w:r>
        <w:rPr>
          <w:rFonts w:ascii="Calibri" w:cs="Calibri" w:eastAsia="Calibri" w:hAnsi="Calibri"/>
          <w:b/>
          <w:bCs/>
        </w:rPr>
        <w:t xml:space="preserve">Frameworks: </w:t>
      </w:r>
      <w:r>
        <w:rPr>
          <w:rFonts w:ascii="Calibri" w:cs="Calibri" w:eastAsia="Calibri" w:hAnsi="Calibri"/>
        </w:rPr>
        <w:t xml:space="preserve">Declaration of Helsinki (World Medical Association, 2025); Law of Ethics of Research on Living Creatures and its implementing regulations (National Committee of Bioethics, 2010); Personal Data Protection Law (Kingdom of Saudi Arabia, 2021).</w:t>
      </w:r>
    </w:p>
    <w:p>
      <w:pPr>
        <w:pStyle w:val="Heading1"/>
        <w:spacing w:after="120" w:before="240"/>
      </w:pPr>
      <w:r>
        <w:rPr>
          <w:rFonts w:ascii="Calibri" w:cs="Calibri" w:eastAsia="Calibri" w:hAnsi="Calibri"/>
        </w:rPr>
        <w:t xml:space="preserve">S3.5 Informed consent process</w:t>
      </w:r>
    </w:p>
    <w:p>
      <w:pPr>
        <w:pStyle w:val="ListParagraph"/>
        <w:numPr>
          <w:ilvl w:val="0"/>
          <w:numId w:val="2"/>
        </w:numPr>
        <w:spacing w:after="60" w:line="264"/>
      </w:pPr>
      <w:r>
        <w:rPr>
          <w:rFonts w:ascii="Calibri" w:cs="Calibri" w:eastAsia="Calibri" w:hAnsi="Calibri"/>
        </w:rPr>
        <w:t xml:space="preserve">The participant information sheet, in Arabic and English, was sent with the invitation. It explained the study purpose, voluntary participation, the single interview, audio recording, data handling, the optional member reflection, the limits of confidentiality and the right to withdraw.</w:t>
      </w:r>
    </w:p>
    <w:p>
      <w:pPr>
        <w:pStyle w:val="ListParagraph"/>
        <w:numPr>
          <w:ilvl w:val="0"/>
          <w:numId w:val="2"/>
        </w:numPr>
        <w:spacing w:after="60" w:line="264"/>
      </w:pPr>
      <w:r>
        <w:rPr>
          <w:rFonts w:ascii="Calibri" w:cs="Calibri" w:eastAsia="Calibri" w:hAnsi="Calibri"/>
        </w:rPr>
        <w:t xml:space="preserve">It stated that taking part or declining would not be disclosed to the employer and would have no effect on employment or appraisal.</w:t>
      </w:r>
    </w:p>
    <w:p>
      <w:pPr>
        <w:pStyle w:val="ListParagraph"/>
        <w:numPr>
          <w:ilvl w:val="0"/>
          <w:numId w:val="2"/>
        </w:numPr>
        <w:spacing w:after="60" w:line="264"/>
      </w:pPr>
      <w:r>
        <w:rPr>
          <w:rFonts w:ascii="Calibri" w:cs="Calibri" w:eastAsia="Calibri" w:hAnsi="Calibri"/>
        </w:rPr>
        <w:t xml:space="preserve">Participants had at least 48 hours between receiving the information and the interview, and could ask the research team questions at any time.</w:t>
      </w:r>
    </w:p>
    <w:p>
      <w:pPr>
        <w:pStyle w:val="ListParagraph"/>
        <w:numPr>
          <w:ilvl w:val="0"/>
          <w:numId w:val="2"/>
        </w:numPr>
        <w:spacing w:after="60" w:line="264"/>
      </w:pPr>
      <w:r>
        <w:rPr>
          <w:rFonts w:ascii="Calibri" w:cs="Calibri" w:eastAsia="Calibri" w:hAnsi="Calibri"/>
        </w:rPr>
        <w:t xml:space="preserve">Written informed consent was obtained before each interview. Consent to recording was reconfirmed verbally at the start of the recording.</w:t>
      </w:r>
    </w:p>
    <w:p>
      <w:pPr>
        <w:pStyle w:val="ListParagraph"/>
        <w:numPr>
          <w:ilvl w:val="0"/>
          <w:numId w:val="2"/>
        </w:numPr>
        <w:spacing w:after="60" w:line="264"/>
      </w:pPr>
      <w:r>
        <w:rPr>
          <w:rFonts w:ascii="Calibri" w:cs="Calibri" w:eastAsia="Calibri" w:hAnsi="Calibri"/>
        </w:rPr>
        <w:t xml:space="preserve">Participants could withdraw their data without giving a reason until 14 days after their interview, after which de-identified data were integrated into the analysis.</w:t>
      </w:r>
    </w:p>
    <w:p>
      <w:pPr>
        <w:pStyle w:val="ListParagraph"/>
        <w:numPr>
          <w:ilvl w:val="0"/>
          <w:numId w:val="2"/>
        </w:numPr>
        <w:spacing w:after="60" w:line="264"/>
      </w:pPr>
      <w:r>
        <w:rPr>
          <w:rFonts w:ascii="Calibri" w:cs="Calibri" w:eastAsia="Calibri" w:hAnsi="Calibri"/>
        </w:rPr>
        <w:t xml:space="preserve">No incentives were offered.</w:t>
      </w:r>
    </w:p>
    <w:p>
      <w:pPr>
        <w:pStyle w:val="Heading1"/>
        <w:spacing w:after="120" w:before="240"/>
      </w:pPr>
      <w:r>
        <w:rPr>
          <w:rFonts w:ascii="Calibri" w:cs="Calibri" w:eastAsia="Calibri" w:hAnsi="Calibri"/>
        </w:rPr>
        <w:t xml:space="preserve">S3.6 Foreseeable risks and safeguards</w:t>
      </w:r>
    </w:p>
    <w:p>
      <w:pPr>
        <w:keepNext/>
        <w:spacing w:after="80" w:before="160"/>
      </w:pPr>
      <w:r>
        <w:rPr>
          <w:rFonts w:ascii="Calibri" w:cs="Calibri" w:eastAsia="Calibri" w:hAnsi="Calibri"/>
          <w:b/>
          <w:bCs/>
        </w:rPr>
        <w:t xml:space="preserve">Table S3.6. Risks and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Risk</w:t>
            </w:r>
          </w:p>
        </w:tc>
        <w:tc>
          <w:tcPr>
            <w:tcW w:type="dxa" w:w="63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Safeguard</w:t>
            </w:r>
          </w:p>
        </w:tc>
      </w:tr>
      <w:tr>
        <w:tc>
          <w:tcPr>
            <w:tcW w:type="dxa" w:w="27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Perceived pressure to take part because the invitation came through the Director of Nursing</w:t>
            </w:r>
          </w:p>
        </w:tc>
        <w:tc>
          <w:tcPr>
            <w:tcW w:type="dxa" w:w="63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9"/>
                <w:szCs w:val="19"/>
              </w:rPr>
              <w:t xml:space="preserve">Directors acted only as gatekeepers and sent one standard invitation to all eligible managers.</w:t>
            </w:r>
          </w:p>
          <w:p>
            <w:pPr>
              <w:pStyle w:val="ListParagraph"/>
              <w:numPr>
                <w:ilvl w:val="0"/>
                <w:numId w:val="3"/>
              </w:numPr>
              <w:spacing w:after="30"/>
            </w:pPr>
            <w:r>
              <w:rPr>
                <w:rFonts w:ascii="Calibri" w:cs="Calibri" w:eastAsia="Calibri" w:hAnsi="Calibri"/>
                <w:b w:val="false"/>
                <w:bCs w:val="false"/>
                <w:sz w:val="19"/>
                <w:szCs w:val="19"/>
              </w:rPr>
              <w:t xml:space="preserve">Volunteers contacted the research team directly.</w:t>
            </w:r>
          </w:p>
          <w:p>
            <w:pPr>
              <w:pStyle w:val="ListParagraph"/>
              <w:numPr>
                <w:ilvl w:val="0"/>
                <w:numId w:val="3"/>
              </w:numPr>
              <w:spacing w:after="30"/>
            </w:pPr>
            <w:r>
              <w:rPr>
                <w:rFonts w:ascii="Calibri" w:cs="Calibri" w:eastAsia="Calibri" w:hAnsi="Calibri"/>
                <w:b w:val="false"/>
                <w:bCs w:val="false"/>
                <w:sz w:val="19"/>
                <w:szCs w:val="19"/>
              </w:rPr>
              <w:t xml:space="preserve">The information sheet stated that the decision would not be disclosed and would not affect employment.</w:t>
            </w:r>
          </w:p>
        </w:tc>
      </w:tr>
      <w:tr>
        <w:tc>
          <w:tcPr>
            <w:tcW w:type="dxa" w:w="27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Gatekeepers or colleagues identifying who took part</w:t>
            </w:r>
          </w:p>
        </w:tc>
        <w:tc>
          <w:tcPr>
            <w:tcW w:type="dxa" w:w="63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9"/>
                <w:szCs w:val="19"/>
              </w:rPr>
              <w:t xml:space="preserve">The research team arranged all scheduling directly with participants.</w:t>
            </w:r>
          </w:p>
          <w:p>
            <w:pPr>
              <w:pStyle w:val="ListParagraph"/>
              <w:numPr>
                <w:ilvl w:val="0"/>
                <w:numId w:val="3"/>
              </w:numPr>
              <w:spacing w:after="30"/>
            </w:pPr>
            <w:r>
              <w:rPr>
                <w:rFonts w:ascii="Calibri" w:cs="Calibri" w:eastAsia="Calibri" w:hAnsi="Calibri"/>
                <w:b w:val="false"/>
                <w:bCs w:val="false"/>
                <w:sz w:val="19"/>
                <w:szCs w:val="19"/>
              </w:rPr>
              <w:t xml:space="preserve">Interview rooms were in non-clinical education or training areas, away from nursing administration, and booked under a generic study title without names.</w:t>
            </w:r>
          </w:p>
          <w:p>
            <w:pPr>
              <w:pStyle w:val="ListParagraph"/>
              <w:numPr>
                <w:ilvl w:val="0"/>
                <w:numId w:val="3"/>
              </w:numPr>
              <w:spacing w:after="30"/>
            </w:pPr>
            <w:r>
              <w:rPr>
                <w:rFonts w:ascii="Calibri" w:cs="Calibri" w:eastAsia="Calibri" w:hAnsi="Calibri"/>
                <w:b w:val="false"/>
                <w:bCs w:val="false"/>
                <w:sz w:val="19"/>
                <w:szCs w:val="19"/>
              </w:rPr>
              <w:t xml:space="preserve">Off-site or video interviews were offered.</w:t>
            </w:r>
          </w:p>
          <w:p>
            <w:pPr>
              <w:pStyle w:val="ListParagraph"/>
              <w:numPr>
                <w:ilvl w:val="0"/>
                <w:numId w:val="3"/>
              </w:numPr>
              <w:spacing w:after="30"/>
            </w:pPr>
            <w:r>
              <w:rPr>
                <w:rFonts w:ascii="Calibri" w:cs="Calibri" w:eastAsia="Calibri" w:hAnsi="Calibri"/>
                <w:b w:val="false"/>
                <w:bCs w:val="false"/>
                <w:sz w:val="19"/>
                <w:szCs w:val="19"/>
              </w:rPr>
              <w:t xml:space="preserve">Directors were not told who volunteered, who was interviewed or when.</w:t>
            </w:r>
          </w:p>
        </w:tc>
      </w:tr>
      <w:tr>
        <w:tc>
          <w:tcPr>
            <w:tcW w:type="dxa" w:w="27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Identification in publications because the population is small and in one region</w:t>
            </w:r>
          </w:p>
        </w:tc>
        <w:tc>
          <w:tcPr>
            <w:tcW w:type="dxa" w:w="63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9"/>
                <w:szCs w:val="19"/>
              </w:rPr>
              <w:t xml:space="preserve">Sites and participants are described only in aggregate.</w:t>
            </w:r>
          </w:p>
          <w:p>
            <w:pPr>
              <w:pStyle w:val="ListParagraph"/>
              <w:numPr>
                <w:ilvl w:val="0"/>
                <w:numId w:val="3"/>
              </w:numPr>
              <w:spacing w:after="30"/>
            </w:pPr>
            <w:r>
              <w:rPr>
                <w:rFonts w:ascii="Calibri" w:cs="Calibri" w:eastAsia="Calibri" w:hAnsi="Calibri"/>
                <w:b w:val="false"/>
                <w:bCs w:val="false"/>
                <w:sz w:val="19"/>
                <w:szCs w:val="19"/>
              </w:rPr>
              <w:t xml:space="preserve">Quotations are attributed only by participant and hospital code.</w:t>
            </w:r>
          </w:p>
          <w:p>
            <w:pPr>
              <w:pStyle w:val="ListParagraph"/>
              <w:numPr>
                <w:ilvl w:val="0"/>
                <w:numId w:val="3"/>
              </w:numPr>
              <w:spacing w:after="30"/>
            </w:pPr>
            <w:r>
              <w:rPr>
                <w:rFonts w:ascii="Calibri" w:cs="Calibri" w:eastAsia="Calibri" w:hAnsi="Calibri"/>
                <w:b w:val="false"/>
                <w:bCs w:val="false"/>
                <w:sz w:val="19"/>
                <w:szCs w:val="19"/>
              </w:rPr>
              <w:t xml:space="preserve">Unit-identifying details are removed or generalised.</w:t>
            </w:r>
          </w:p>
          <w:p>
            <w:pPr>
              <w:pStyle w:val="ListParagraph"/>
              <w:numPr>
                <w:ilvl w:val="0"/>
                <w:numId w:val="3"/>
              </w:numPr>
              <w:spacing w:after="30"/>
            </w:pPr>
            <w:r>
              <w:rPr>
                <w:rFonts w:ascii="Calibri" w:cs="Calibri" w:eastAsia="Calibri" w:hAnsi="Calibri"/>
                <w:b w:val="false"/>
                <w:bCs w:val="false"/>
                <w:sz w:val="19"/>
                <w:szCs w:val="19"/>
              </w:rPr>
              <w:t xml:space="preserve">No quotation is reported with a combination of characteristics that could identify an individual.</w:t>
            </w:r>
          </w:p>
        </w:tc>
      </w:tr>
      <w:tr>
        <w:tc>
          <w:tcPr>
            <w:tcW w:type="dxa" w:w="27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Professional or reputational harm from describing decisions that others might view critically</w:t>
            </w:r>
          </w:p>
        </w:tc>
        <w:tc>
          <w:tcPr>
            <w:tcW w:type="dxa" w:w="63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9"/>
                <w:szCs w:val="19"/>
              </w:rPr>
              <w:t xml:space="preserve">Non-evaluative interviewing stance.</w:t>
            </w:r>
          </w:p>
          <w:p>
            <w:pPr>
              <w:pStyle w:val="ListParagraph"/>
              <w:numPr>
                <w:ilvl w:val="0"/>
                <w:numId w:val="3"/>
              </w:numPr>
              <w:spacing w:after="30"/>
            </w:pPr>
            <w:r>
              <w:rPr>
                <w:rFonts w:ascii="Calibri" w:cs="Calibri" w:eastAsia="Calibri" w:hAnsi="Calibri"/>
                <w:b w:val="false"/>
                <w:bCs w:val="false"/>
                <w:sz w:val="19"/>
                <w:szCs w:val="19"/>
              </w:rPr>
              <w:t xml:space="preserve">Strict confidentiality.</w:t>
            </w:r>
          </w:p>
          <w:p>
            <w:pPr>
              <w:pStyle w:val="ListParagraph"/>
              <w:numPr>
                <w:ilvl w:val="0"/>
                <w:numId w:val="3"/>
              </w:numPr>
              <w:spacing w:after="30"/>
            </w:pPr>
            <w:r>
              <w:rPr>
                <w:rFonts w:ascii="Calibri" w:cs="Calibri" w:eastAsia="Calibri" w:hAnsi="Calibri"/>
                <w:b w:val="false"/>
                <w:bCs w:val="false"/>
                <w:sz w:val="19"/>
                <w:szCs w:val="19"/>
              </w:rPr>
              <w:t xml:space="preserve">Participants could skip questions, ask for statements to be removed, and withdraw within 14 days.</w:t>
            </w:r>
          </w:p>
        </w:tc>
      </w:tr>
      <w:tr>
        <w:tc>
          <w:tcPr>
            <w:tcW w:type="dxa" w:w="27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Disclosure of an ongoing, unaddressed risk of serious harm to patients</w:t>
            </w:r>
          </w:p>
        </w:tc>
        <w:tc>
          <w:tcPr>
            <w:tcW w:type="dxa" w:w="63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9"/>
                <w:szCs w:val="19"/>
              </w:rPr>
              <w:t xml:space="preserve">The limits of confidentiality were explained during consent.</w:t>
            </w:r>
          </w:p>
          <w:p>
            <w:pPr>
              <w:pStyle w:val="ListParagraph"/>
              <w:numPr>
                <w:ilvl w:val="0"/>
                <w:numId w:val="3"/>
              </w:numPr>
              <w:spacing w:after="30"/>
            </w:pPr>
            <w:r>
              <w:rPr>
                <w:rFonts w:ascii="Calibri" w:cs="Calibri" w:eastAsia="Calibri" w:hAnsi="Calibri"/>
                <w:b w:val="false"/>
                <w:bCs w:val="false"/>
                <w:sz w:val="19"/>
                <w:szCs w:val="19"/>
              </w:rPr>
              <w:t xml:space="preserve">The interviewer would encourage the participant to use organisational reporting channels.</w:t>
            </w:r>
          </w:p>
          <w:p>
            <w:pPr>
              <w:pStyle w:val="ListParagraph"/>
              <w:numPr>
                <w:ilvl w:val="0"/>
                <w:numId w:val="3"/>
              </w:numPr>
              <w:spacing w:after="30"/>
            </w:pPr>
            <w:r>
              <w:rPr>
                <w:rFonts w:ascii="Calibri" w:cs="Calibri" w:eastAsia="Calibri" w:hAnsi="Calibri"/>
                <w:b w:val="false"/>
                <w:bCs w:val="false"/>
                <w:sz w:val="19"/>
                <w:szCs w:val="19"/>
              </w:rPr>
              <w:t xml:space="preserve">No such disclosure occurred.</w:t>
            </w:r>
          </w:p>
        </w:tc>
      </w:tr>
      <w:tr>
        <w:tc>
          <w:tcPr>
            <w:tcW w:type="dxa" w:w="27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Emotional discomfort when recalling adverse or difficult events</w:t>
            </w:r>
          </w:p>
        </w:tc>
        <w:tc>
          <w:tcPr>
            <w:tcW w:type="dxa" w:w="63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9"/>
                <w:szCs w:val="19"/>
              </w:rPr>
              <w:t xml:space="preserve">Participants could pause or stop at any time.</w:t>
            </w:r>
          </w:p>
          <w:p>
            <w:pPr>
              <w:pStyle w:val="ListParagraph"/>
              <w:numPr>
                <w:ilvl w:val="0"/>
                <w:numId w:val="3"/>
              </w:numPr>
              <w:spacing w:after="30"/>
            </w:pPr>
            <w:r>
              <w:rPr>
                <w:rFonts w:ascii="Calibri" w:cs="Calibri" w:eastAsia="Calibri" w:hAnsi="Calibri"/>
                <w:b w:val="false"/>
                <w:bCs w:val="false"/>
                <w:sz w:val="19"/>
                <w:szCs w:val="19"/>
              </w:rPr>
              <w:t xml:space="preserve">Information about the hospital employee-support service was available.</w:t>
            </w:r>
          </w:p>
          <w:p>
            <w:pPr>
              <w:pStyle w:val="ListParagraph"/>
              <w:numPr>
                <w:ilvl w:val="0"/>
                <w:numId w:val="3"/>
              </w:numPr>
              <w:spacing w:after="30"/>
            </w:pPr>
            <w:r>
              <w:rPr>
                <w:rFonts w:ascii="Calibri" w:cs="Calibri" w:eastAsia="Calibri" w:hAnsi="Calibri"/>
                <w:b w:val="false"/>
                <w:bCs w:val="false"/>
                <w:sz w:val="19"/>
                <w:szCs w:val="19"/>
              </w:rPr>
              <w:t xml:space="preserve">No participant needed this support.</w:t>
            </w:r>
          </w:p>
        </w:tc>
      </w:tr>
      <w:tr>
        <w:tc>
          <w:tcPr>
            <w:tcW w:type="dxa" w:w="27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Breach of confidentiality by people outside the research team</w:t>
            </w:r>
          </w:p>
        </w:tc>
        <w:tc>
          <w:tcPr>
            <w:tcW w:type="dxa" w:w="63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9"/>
                <w:szCs w:val="19"/>
              </w:rPr>
              <w:t xml:space="preserve">The transcriptionist and both support roles signed confidentiality agreements.</w:t>
            </w:r>
          </w:p>
          <w:p>
            <w:pPr>
              <w:pStyle w:val="ListParagraph"/>
              <w:numPr>
                <w:ilvl w:val="0"/>
                <w:numId w:val="3"/>
              </w:numPr>
              <w:spacing w:after="30"/>
            </w:pPr>
            <w:r>
              <w:rPr>
                <w:rFonts w:ascii="Calibri" w:cs="Calibri" w:eastAsia="Calibri" w:hAnsi="Calibri"/>
                <w:b w:val="false"/>
                <w:bCs w:val="false"/>
                <w:sz w:val="19"/>
                <w:szCs w:val="19"/>
              </w:rPr>
              <w:t xml:space="preserve">Support roles accessed de-identified data only.</w:t>
            </w:r>
          </w:p>
          <w:p>
            <w:pPr>
              <w:pStyle w:val="ListParagraph"/>
              <w:numPr>
                <w:ilvl w:val="0"/>
                <w:numId w:val="3"/>
              </w:numPr>
              <w:spacing w:after="30"/>
            </w:pPr>
            <w:r>
              <w:rPr>
                <w:rFonts w:ascii="Calibri" w:cs="Calibri" w:eastAsia="Calibri" w:hAnsi="Calibri"/>
                <w:b w:val="false"/>
                <w:bCs w:val="false"/>
                <w:sz w:val="19"/>
                <w:szCs w:val="19"/>
              </w:rPr>
              <w:t xml:space="preserve">No support role had any relationship with the study sites.</w:t>
            </w:r>
          </w:p>
        </w:tc>
      </w:tr>
      <w:tr>
        <w:tc>
          <w:tcPr>
            <w:tcW w:type="dxa" w:w="27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Data breach or transfer of personal data outside Saudi Arabia</w:t>
            </w:r>
          </w:p>
        </w:tc>
        <w:tc>
          <w:tcPr>
            <w:tcW w:type="dxa" w:w="63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9"/>
                <w:szCs w:val="19"/>
              </w:rPr>
              <w:t xml:space="preserve">Encrypted devices and an institutional drive hosted in Saudi Arabia.</w:t>
            </w:r>
          </w:p>
          <w:p>
            <w:pPr>
              <w:pStyle w:val="ListParagraph"/>
              <w:numPr>
                <w:ilvl w:val="0"/>
                <w:numId w:val="3"/>
              </w:numPr>
              <w:spacing w:after="30"/>
            </w:pPr>
            <w:r>
              <w:rPr>
                <w:rFonts w:ascii="Calibri" w:cs="Calibri" w:eastAsia="Calibri" w:hAnsi="Calibri"/>
                <w:b w:val="false"/>
                <w:bCs w:val="false"/>
                <w:sz w:val="19"/>
                <w:szCs w:val="19"/>
              </w:rPr>
              <w:t xml:space="preserve">Domestic transcription.</w:t>
            </w:r>
          </w:p>
          <w:p>
            <w:pPr>
              <w:pStyle w:val="ListParagraph"/>
              <w:numPr>
                <w:ilvl w:val="0"/>
                <w:numId w:val="3"/>
              </w:numPr>
              <w:spacing w:after="30"/>
            </w:pPr>
            <w:r>
              <w:rPr>
                <w:rFonts w:ascii="Calibri" w:cs="Calibri" w:eastAsia="Calibri" w:hAnsi="Calibri"/>
                <w:b w:val="false"/>
                <w:bCs w:val="false"/>
                <w:sz w:val="19"/>
                <w:szCs w:val="19"/>
              </w:rPr>
              <w:t xml:space="preserve">No third-party cloud, automated transcription or generative-AI tools used in data handling or analysis.</w:t>
            </w:r>
          </w:p>
        </w:tc>
      </w:tr>
      <w:tr>
        <w:tc>
          <w:tcPr>
            <w:tcW w:type="dxa" w:w="27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Misrepresentation of participants’ meaning through translation</w:t>
            </w:r>
          </w:p>
        </w:tc>
        <w:tc>
          <w:tcPr>
            <w:tcW w:type="dxa" w:w="63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b w:val="false"/>
                <w:bCs w:val="false"/>
                <w:sz w:val="19"/>
                <w:szCs w:val="19"/>
              </w:rPr>
              <w:t xml:space="preserve">Arabic transcripts analysed in Arabic by bilingual analysts.</w:t>
            </w:r>
          </w:p>
          <w:p>
            <w:pPr>
              <w:pStyle w:val="ListParagraph"/>
              <w:numPr>
                <w:ilvl w:val="0"/>
                <w:numId w:val="3"/>
              </w:numPr>
              <w:spacing w:after="30"/>
            </w:pPr>
            <w:r>
              <w:rPr>
                <w:rFonts w:ascii="Calibri" w:cs="Calibri" w:eastAsia="Calibri" w:hAnsi="Calibri"/>
                <w:b w:val="false"/>
                <w:bCs w:val="false"/>
                <w:sz w:val="19"/>
                <w:szCs w:val="19"/>
              </w:rPr>
              <w:t xml:space="preserve">Only reported quotations translated, and each checked for conceptual equivalence by a bilingual nurse researcher.</w:t>
            </w:r>
          </w:p>
        </w:tc>
      </w:tr>
    </w:tbl>
    <w:p>
      <w:pPr>
        <w:pStyle w:val="Heading2"/>
        <w:spacing w:after="100" w:before="200"/>
      </w:pPr>
      <w:r>
        <w:rPr>
          <w:rFonts w:ascii="Calibri" w:cs="Calibri" w:eastAsia="Calibri" w:hAnsi="Calibri"/>
        </w:rPr>
        <w:t xml:space="preserve">References</w:t>
      </w:r>
    </w:p>
    <w:p>
      <w:pPr>
        <w:spacing w:after="120" w:line="276"/>
      </w:pPr>
      <w:r>
        <w:rPr>
          <w:rFonts w:ascii="Calibri" w:cs="Calibri" w:eastAsia="Calibri" w:hAnsi="Calibri"/>
          <w:sz w:val="20"/>
          <w:szCs w:val="20"/>
        </w:rPr>
        <w:t xml:space="preserve">Kingdom of Saudi Arabia. (2021). Personal Data Protection Law (Royal Decree No. M/19, as amended).</w:t>
      </w:r>
    </w:p>
    <w:p>
      <w:pPr>
        <w:spacing w:after="120" w:line="276"/>
      </w:pPr>
      <w:r>
        <w:rPr>
          <w:rFonts w:ascii="Calibri" w:cs="Calibri" w:eastAsia="Calibri" w:hAnsi="Calibri"/>
          <w:sz w:val="20"/>
          <w:szCs w:val="20"/>
        </w:rPr>
        <w:t xml:space="preserve">National Committee of Bioethics. (2010). Law of Ethics of Research on Living Creatures (Royal Decree No. M/59) and implementing regulations. King Abdulaziz City for Science and Technology.</w:t>
      </w:r>
    </w:p>
    <w:p>
      <w:pPr>
        <w:spacing w:after="120" w:line="276"/>
      </w:pPr>
      <w:r>
        <w:rPr>
          <w:rFonts w:ascii="Calibri" w:cs="Calibri" w:eastAsia="Calibri" w:hAnsi="Calibri"/>
          <w:sz w:val="20"/>
          <w:szCs w:val="20"/>
        </w:rPr>
        <w:t xml:space="preserve">World Medical Association. (2025). World Medical Association Declaration of Helsinki: Ethical principles for medical research involving human participants. JAMA, 333(1), 71–74.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ADB" w:sz="4" w:space="2"/>
      </w:pBdr>
      <w:jc w:val="right"/>
    </w:pPr>
    <w:r>
      <w:rPr>
        <w:rFonts w:ascii="Calibri" w:cs="Calibri" w:eastAsia="Calibri" w:hAnsi="Calibri"/>
        <w:color w:val="595959"/>
        <w:sz w:val="16"/>
        <w:szCs w:val="16"/>
      </w:rPr>
      <w:t xml:space="preserve">Supplementary File 3 — Eligibility, Data Management and Ethical Safeguards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F5496"/>
      <w:sz w:val="25"/>
      <w:szCs w:val="25"/>
    </w:rPr>
  </w:style>
  <w:style w:type="paragraph" w:styleId="Heading3">
    <w:name w:val="Heading 3"/>
    <w:basedOn w:val="Normal"/>
    <w:next w:val="Normal"/>
    <w:qFormat/>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3: Eligibility, Data Management and Ethical Safeguards</dc:title>
  <dc:creator>Study team</dc:creator>
  <cp:lastModifiedBy>Un-named</cp:lastModifiedBy>
  <cp:revision>1</cp:revision>
  <dcterms:created xsi:type="dcterms:W3CDTF">2026-10-27T22:24:42.107Z</dcterms:created>
  <dcterms:modified xsi:type="dcterms:W3CDTF">2026-10-27T22:24:42.107Z</dcterms:modified>
</cp:coreProperties>
</file>

<file path=docProps/custom.xml><?xml version="1.0" encoding="utf-8"?>
<Properties xmlns="http://schemas.openxmlformats.org/officeDocument/2006/custom-properties" xmlns:vt="http://schemas.openxmlformats.org/officeDocument/2006/docPropsVTypes"/>
</file>