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2title"/>
        <w:ind w:left="0"/>
      </w:pPr>
      <w:r>
        <w:t>Supplementary Materials</w:t>
      </w:r>
    </w:p>
    <w:p>
      <w:pPr>
        <w:pStyle w:val="MDPI32textnoindent"/>
        <w:ind w:left="0"/>
      </w:pPr>
      <w:r>
        <w:t>Access or Learning? A Systematic Review of Speech and Braille Assistive Technologies for Children and Adolescents with Disabilities</w:t>
      </w:r>
    </w:p>
    <w:p>
      <w:pPr>
        <w:pStyle w:val="MDPI32textnoindent"/>
        <w:ind w:left="0"/>
      </w:pPr>
      <w:r>
        <w:t>Reference numbers in these tables correspond to the reference list of the main manuscript. Contents: Table S1, search strategies; Table S2, detailed characteristics and findings; Table S3, risk-of-bias and single-case appraisal; Table S4, synthesis groups, protocol deviations, report linkage, and selected excluded reports; Table S5, GRADE evidence profile; Table S6, outcome classification and effect-direction coding.</w:t>
      </w:r>
    </w:p>
    <w:p>
      <w:pPr>
        <w:pStyle w:val="MDPI41tablecaption"/>
        <w:keepNext/>
        <w:ind w:left="0"/>
      </w:pPr>
      <w:r>
        <w:rPr>
          <w:b/>
        </w:rPr>
        <w:t>Table S1.</w:t>
      </w:r>
      <w:r>
        <w:t xml:space="preserve"> Search strategies and yields by information source.</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3000"/>
        <w:gridCol w:w="12300"/>
      </w:tblGrid>
      <w:tr>
        <w:trPr>
          <w:tblHeader/>
        </w:trPr>
        <w:tc>
          <w:tcPr>
            <w:tcW w:type="dxa" w:w="3000"/>
            <w:tcBorders>
              <w:bottom w:val="single" w:sz="4" w:space="0" w:color="000000"/>
            </w:tcBorders>
            <w:tcMar>
              <w:top w:w="30" w:type="dxa"/>
              <w:left w:w="60" w:type="dxa"/>
              <w:bottom w:w="30" w:type="dxa"/>
              <w:right w:w="60" w:type="dxa"/>
            </w:tcMar>
          </w:tcPr>
          <w:p>
            <w:pPr>
              <w:pStyle w:val="MDPI42tablebody"/>
              <w:jc w:val="left"/>
            </w:pPr>
            <w:r>
              <w:rPr>
                <w:b/>
                <w:sz w:val="16"/>
              </w:rPr>
              <w:t>Information source and date searched</w:t>
            </w:r>
          </w:p>
        </w:tc>
        <w:tc>
          <w:tcPr>
            <w:tcW w:type="dxa" w:w="12300"/>
            <w:tcBorders>
              <w:bottom w:val="single" w:sz="4" w:space="0" w:color="000000"/>
            </w:tcBorders>
            <w:tcMar>
              <w:top w:w="30" w:type="dxa"/>
              <w:left w:w="60" w:type="dxa"/>
              <w:bottom w:w="30" w:type="dxa"/>
              <w:right w:w="60" w:type="dxa"/>
            </w:tcMar>
          </w:tcPr>
          <w:p>
            <w:pPr>
              <w:pStyle w:val="MDPI42tablebody"/>
              <w:jc w:val="left"/>
            </w:pPr>
            <w:r>
              <w:rPr>
                <w:b/>
                <w:sz w:val="16"/>
              </w:rPr>
              <w:t>Search strategy as run</w:t>
            </w:r>
          </w:p>
        </w:tc>
      </w:tr>
      <w:tr>
        <w:trPr>
          <w:cantSplit/>
        </w:trPr>
        <w:tc>
          <w:tcPr>
            <w:tcW w:type="dxa" w:w="3000"/>
            <w:tcMar>
              <w:top w:w="30" w:type="dxa"/>
              <w:left w:w="60" w:type="dxa"/>
              <w:bottom w:w="30" w:type="dxa"/>
              <w:right w:w="60" w:type="dxa"/>
            </w:tcMar>
          </w:tcPr>
          <w:p>
            <w:pPr>
              <w:pStyle w:val="MDPI42tablebody"/>
              <w:jc w:val="left"/>
            </w:pPr>
            <w:r>
              <w:rPr>
                <w:sz w:val="16"/>
              </w:rPr>
              <w:t>PubMed</w:t>
            </w:r>
          </w:p>
          <w:p>
            <w:pPr>
              <w:pStyle w:val="MDPI42tablebody"/>
              <w:jc w:val="left"/>
            </w:pPr>
            <w:r>
              <w:rPr>
                <w:sz w:val="16"/>
              </w:rPr>
              <w:t>22 July 2026</w:t>
            </w:r>
          </w:p>
          <w:p>
            <w:pPr>
              <w:pStyle w:val="MDPI42tablebody"/>
              <w:jc w:val="left"/>
            </w:pPr>
            <w:r>
              <w:rPr>
                <w:sz w:val="16"/>
              </w:rPr>
              <w:t>Records retrieved: n = 437</w:t>
            </w:r>
          </w:p>
        </w:tc>
        <w:tc>
          <w:tcPr>
            <w:tcW w:type="dxa" w:w="12300"/>
            <w:tcMar>
              <w:top w:w="30" w:type="dxa"/>
              <w:left w:w="60" w:type="dxa"/>
              <w:bottom w:w="30" w:type="dxa"/>
              <w:right w:w="60" w:type="dxa"/>
            </w:tcMar>
          </w:tcPr>
          <w:p>
            <w:pPr>
              <w:pStyle w:val="MDPI42tablebody"/>
              <w:jc w:val="left"/>
            </w:pPr>
            <w:r>
              <w:rPr>
                <w:sz w:val="16"/>
              </w:rPr>
              <w:t>(child*[tiab] OR adolescen*[tiab] OR pupil*[tiab] OR student*[tiab] OR "school age"[tiab] OR "Child"[Mesh] OR "Adolescent"[Mesh]) AND (braille[tiab] OR blind*[tiab] OR deaf[tiab] OR "hard of hearing"[tiab] OR dyslex*[tiab] OR "Learning Disabilities"[Mesh] OR "Intellectual Disability"[Mesh] OR ADHD[tiab]) AND ("speech-to-text"[tiab] OR "text-to-speech"[tiab] OR "Speech Recognition Software"[Mesh] OR captioning[tiab] OR dictation[tiab] OR (braille[tiab] AND (recognition[tiab] OR tutor*[tiab] OR learn*[tiab] OR "artificial intelligence"[tiab]))) AND (randomi*[tiab] OR quasi-experiment*[tiab] OR "control group"[tiab] OR "single-case"[tiab] OR "single-subject"[tiab] OR "multiple baseline"[tiab] OR intervention[tiab])</w:t>
            </w:r>
          </w:p>
        </w:tc>
      </w:tr>
      <w:tr>
        <w:trPr>
          <w:cantSplit/>
        </w:trPr>
        <w:tc>
          <w:tcPr>
            <w:tcW w:type="dxa" w:w="3000"/>
            <w:tcMar>
              <w:top w:w="30" w:type="dxa"/>
              <w:left w:w="60" w:type="dxa"/>
              <w:bottom w:w="30" w:type="dxa"/>
              <w:right w:w="60" w:type="dxa"/>
            </w:tcMar>
          </w:tcPr>
          <w:p>
            <w:pPr>
              <w:pStyle w:val="MDPI42tablebody"/>
              <w:jc w:val="left"/>
            </w:pPr>
            <w:r>
              <w:rPr>
                <w:sz w:val="16"/>
              </w:rPr>
              <w:t>Web of Science</w:t>
            </w:r>
          </w:p>
          <w:p>
            <w:pPr>
              <w:pStyle w:val="MDPI42tablebody"/>
              <w:jc w:val="left"/>
            </w:pPr>
            <w:r>
              <w:rPr>
                <w:sz w:val="16"/>
              </w:rPr>
              <w:t>22 July 2026</w:t>
            </w:r>
          </w:p>
          <w:p>
            <w:pPr>
              <w:pStyle w:val="MDPI42tablebody"/>
              <w:jc w:val="left"/>
            </w:pPr>
            <w:r>
              <w:rPr>
                <w:sz w:val="16"/>
              </w:rPr>
              <w:t>Records retrieved: n = 1,286</w:t>
            </w:r>
          </w:p>
        </w:tc>
        <w:tc>
          <w:tcPr>
            <w:tcW w:type="dxa" w:w="12300"/>
            <w:tcMar>
              <w:top w:w="30" w:type="dxa"/>
              <w:left w:w="60" w:type="dxa"/>
              <w:bottom w:w="30" w:type="dxa"/>
              <w:right w:w="60" w:type="dxa"/>
            </w:tcMar>
          </w:tcPr>
          <w:p>
            <w:pPr>
              <w:pStyle w:val="MDPI42tablebody"/>
              <w:jc w:val="left"/>
            </w:pPr>
            <w:r>
              <w:rPr>
                <w:sz w:val="16"/>
              </w:rPr>
              <w:t>TS=((child* OR adolescen* OR pupil* OR student* OR "school-age" OR classroom) AND (braille OR "visual impair*" OR blind* OR deaf OR "hard of hearing" OR dyslexi* OR "learning disab*" OR "reading disab*" OR "intellectual disab*" OR ADHD) AND ("speech-to-text" OR "text-to-speech" OR "speech recognition" OR ASR OR captioning OR dictation OR (braille AND (recognition OR OCR OR tutor* OR learn* OR "artificial intelligence"))) AND (randomi* OR "controlled trial" OR quasi-experiment* OR "single-case" OR "single-subject" OR "multiple baseline" OR intervention))</w:t>
            </w:r>
          </w:p>
        </w:tc>
      </w:tr>
      <w:tr>
        <w:trPr>
          <w:cantSplit/>
        </w:trPr>
        <w:tc>
          <w:tcPr>
            <w:tcW w:type="dxa" w:w="3000"/>
            <w:tcMar>
              <w:top w:w="30" w:type="dxa"/>
              <w:left w:w="60" w:type="dxa"/>
              <w:bottom w:w="30" w:type="dxa"/>
              <w:right w:w="60" w:type="dxa"/>
            </w:tcMar>
          </w:tcPr>
          <w:p>
            <w:pPr>
              <w:pStyle w:val="MDPI42tablebody"/>
              <w:jc w:val="left"/>
            </w:pPr>
            <w:r>
              <w:rPr>
                <w:sz w:val="16"/>
              </w:rPr>
              <w:t>Scopus</w:t>
            </w:r>
          </w:p>
          <w:p>
            <w:pPr>
              <w:pStyle w:val="MDPI42tablebody"/>
              <w:jc w:val="left"/>
            </w:pPr>
            <w:r>
              <w:rPr>
                <w:sz w:val="16"/>
              </w:rPr>
              <w:t>22 July 2026</w:t>
            </w:r>
          </w:p>
          <w:p>
            <w:pPr>
              <w:pStyle w:val="MDPI42tablebody"/>
              <w:jc w:val="left"/>
            </w:pPr>
            <w:r>
              <w:rPr>
                <w:sz w:val="16"/>
              </w:rPr>
              <w:t>Records retrieved: n = 1,704</w:t>
            </w:r>
          </w:p>
        </w:tc>
        <w:tc>
          <w:tcPr>
            <w:tcW w:type="dxa" w:w="12300"/>
            <w:tcMar>
              <w:top w:w="30" w:type="dxa"/>
              <w:left w:w="60" w:type="dxa"/>
              <w:bottom w:w="30" w:type="dxa"/>
              <w:right w:w="60" w:type="dxa"/>
            </w:tcMar>
          </w:tcPr>
          <w:p>
            <w:pPr>
              <w:pStyle w:val="MDPI42tablebody"/>
              <w:jc w:val="left"/>
            </w:pPr>
            <w:r>
              <w:rPr>
                <w:sz w:val="16"/>
              </w:rPr>
              <w:t>TITLE-ABS-KEY((child* OR adolescen* OR pupil* OR student* OR "school-age" OR classroom) AND (braille OR "visual impairment" OR blind* OR deaf OR "hard of hearing" OR dyslex* OR "learning disabilit*" OR "intellectual disabilit*" OR ADHD) AND ("speech-to-text" OR "text-to-speech" OR "speech recognition" OR ASR OR captioning OR dictation OR (braille AND (recognition OR OCR OR tutor* OR learn* OR "artificial intelligence"))) AND (randomi* OR quasi-experiment* OR "controlled trial" OR "control group" OR "single-case" OR "single-subject" OR "multiple baseline" OR intervention))</w:t>
            </w:r>
          </w:p>
        </w:tc>
      </w:tr>
      <w:tr>
        <w:trPr>
          <w:cantSplit/>
        </w:trPr>
        <w:tc>
          <w:tcPr>
            <w:tcW w:type="dxa" w:w="3000"/>
            <w:tcMar>
              <w:top w:w="30" w:type="dxa"/>
              <w:left w:w="60" w:type="dxa"/>
              <w:bottom w:w="30" w:type="dxa"/>
              <w:right w:w="60" w:type="dxa"/>
            </w:tcMar>
          </w:tcPr>
          <w:p>
            <w:pPr>
              <w:pStyle w:val="MDPI42tablebody"/>
              <w:jc w:val="left"/>
            </w:pPr>
            <w:r>
              <w:rPr>
                <w:sz w:val="16"/>
              </w:rPr>
              <w:t>PsycINFO</w:t>
            </w:r>
          </w:p>
          <w:p>
            <w:pPr>
              <w:pStyle w:val="MDPI42tablebody"/>
              <w:jc w:val="left"/>
            </w:pPr>
            <w:r>
              <w:rPr>
                <w:sz w:val="16"/>
              </w:rPr>
              <w:t>23 July 2026</w:t>
            </w:r>
          </w:p>
          <w:p>
            <w:pPr>
              <w:pStyle w:val="MDPI42tablebody"/>
              <w:jc w:val="left"/>
            </w:pPr>
            <w:r>
              <w:rPr>
                <w:sz w:val="16"/>
              </w:rPr>
              <w:t>Records retrieved: n = 598</w:t>
            </w:r>
          </w:p>
        </w:tc>
        <w:tc>
          <w:tcPr>
            <w:tcW w:type="dxa" w:w="12300"/>
            <w:tcMar>
              <w:top w:w="30" w:type="dxa"/>
              <w:left w:w="60" w:type="dxa"/>
              <w:bottom w:w="30" w:type="dxa"/>
              <w:right w:w="60" w:type="dxa"/>
            </w:tcMar>
          </w:tcPr>
          <w:p>
            <w:pPr>
              <w:pStyle w:val="MDPI42tablebody"/>
              <w:jc w:val="left"/>
            </w:pPr>
            <w:r>
              <w:rPr>
                <w:sz w:val="16"/>
              </w:rPr>
              <w:t>(child* OR adolescen* OR pupil* OR student* OR "school age") AND (braille OR "visual impairment" OR blind* OR deaf* OR "hard of hearing" OR dyslexi* OR "learning disabilit*" OR "intellectual disabilit*" OR ADHD) AND ("speech-to-text" OR "text-to-speech" OR "speech recognition" OR captioning OR dictation OR (braille AND (recognition OR tutor* OR "artificial intelligence"))) AND (randomi* OR quasi-experiment* OR "controlled trial" OR "single-case design" OR "single-subject" OR "multiple baseline" OR intervention)</w:t>
            </w:r>
          </w:p>
        </w:tc>
      </w:tr>
      <w:tr>
        <w:trPr>
          <w:cantSplit/>
        </w:trPr>
        <w:tc>
          <w:tcPr>
            <w:tcW w:type="dxa" w:w="3000"/>
            <w:tcMar>
              <w:top w:w="30" w:type="dxa"/>
              <w:left w:w="60" w:type="dxa"/>
              <w:bottom w:w="30" w:type="dxa"/>
              <w:right w:w="60" w:type="dxa"/>
            </w:tcMar>
          </w:tcPr>
          <w:p>
            <w:pPr>
              <w:pStyle w:val="MDPI42tablebody"/>
              <w:jc w:val="left"/>
            </w:pPr>
            <w:r>
              <w:rPr>
                <w:sz w:val="16"/>
              </w:rPr>
              <w:t>Google Scholar</w:t>
            </w:r>
          </w:p>
          <w:p>
            <w:pPr>
              <w:pStyle w:val="MDPI42tablebody"/>
              <w:jc w:val="left"/>
            </w:pPr>
            <w:r>
              <w:rPr>
                <w:sz w:val="16"/>
              </w:rPr>
              <w:t>23 July 2026</w:t>
            </w:r>
          </w:p>
          <w:p>
            <w:pPr>
              <w:pStyle w:val="MDPI42tablebody"/>
              <w:jc w:val="left"/>
            </w:pPr>
            <w:r>
              <w:rPr>
                <w:sz w:val="16"/>
              </w:rPr>
              <w:t>Records retrieved: n = 200</w:t>
            </w:r>
          </w:p>
        </w:tc>
        <w:tc>
          <w:tcPr>
            <w:tcW w:type="dxa" w:w="12300"/>
            <w:tcMar>
              <w:top w:w="30" w:type="dxa"/>
              <w:left w:w="60" w:type="dxa"/>
              <w:bottom w:w="30" w:type="dxa"/>
              <w:right w:w="60" w:type="dxa"/>
            </w:tcMar>
          </w:tcPr>
          <w:p>
            <w:pPr>
              <w:pStyle w:val="MDPI42tablebody"/>
              <w:jc w:val="left"/>
            </w:pPr>
            <w:r>
              <w:rPr>
                <w:sz w:val="16"/>
              </w:rPr>
              <w:t>("speech-to-text" OR "text-to-speech" OR "Braille recognition" OR "Braille Tutor" OR "automatic captioning") AND (children OR adolescents OR students) AND (disability OR dyslexia OR deaf OR blind OR "intellectual disability") AND (trial OR experimental OR "single case" OR intervention). The first 200 records were screened as a supplementary search.</w:t>
            </w:r>
          </w:p>
        </w:tc>
      </w:tr>
    </w:tbl>
    <w:p>
      <w:pPr>
        <w:pStyle w:val="MDPI43tablefooter"/>
        <w:ind w:left="0"/>
      </w:pPr>
      <w:r>
        <w:t>ADHD, attention-deficit/hyperactivity disorder; ASR, automatic speech recognition; MeSH, Medical Subject Headings. The table reports the strategies as run and the yields for the four bibliographic databases and the supplementary Google Scholar search. The host platform used for the APA PsycInfo search was not recorded. ERIC, CINAHL, dissertation, trial-registry, and engineering or computing databases were not searched. Google Scholar rankings are dynamic, so the supplementary web search is not exactly reproducible; settings are described in Section 2.3.</w:t>
      </w:r>
    </w:p>
    <w:p>
      <w:pPr>
        <w:pStyle w:val="MDPI41tablecaption"/>
        <w:keepNext/>
        <w:ind w:left="0"/>
      </w:pPr>
      <w:r>
        <w:rPr>
          <w:b/>
        </w:rPr>
        <w:t>Table S2.</w:t>
      </w:r>
      <w:r>
        <w:t xml:space="preserve"> Detailed characteristics and principal learner-level findings of the 27 included reports (up to 26 studies), ordered by reference number.</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650"/>
        <w:gridCol w:w="1850"/>
        <w:gridCol w:w="2000"/>
        <w:gridCol w:w="2200"/>
        <w:gridCol w:w="2750"/>
        <w:gridCol w:w="2000"/>
        <w:gridCol w:w="3850"/>
      </w:tblGrid>
      <w:tr>
        <w:trPr>
          <w:tblHeader/>
        </w:trPr>
        <w:tc>
          <w:tcPr>
            <w:tcW w:type="dxa" w:w="650"/>
            <w:tcBorders>
              <w:bottom w:val="single" w:sz="4" w:space="0" w:color="000000"/>
            </w:tcBorders>
            <w:tcMar>
              <w:top w:w="30" w:type="dxa"/>
              <w:left w:w="60" w:type="dxa"/>
              <w:bottom w:w="30" w:type="dxa"/>
              <w:right w:w="60" w:type="dxa"/>
            </w:tcMar>
          </w:tcPr>
          <w:p>
            <w:pPr>
              <w:pStyle w:val="MDPI42tablebody"/>
              <w:jc w:val="left"/>
            </w:pPr>
            <w:r>
              <w:rPr>
                <w:b/>
                <w:sz w:val="15"/>
              </w:rPr>
              <w:t>Ref.</w:t>
            </w:r>
          </w:p>
        </w:tc>
        <w:tc>
          <w:tcPr>
            <w:tcW w:type="dxa" w:w="1850"/>
            <w:tcBorders>
              <w:bottom w:val="single" w:sz="4" w:space="0" w:color="000000"/>
            </w:tcBorders>
            <w:tcMar>
              <w:top w:w="30" w:type="dxa"/>
              <w:left w:w="60" w:type="dxa"/>
              <w:bottom w:w="30" w:type="dxa"/>
              <w:right w:w="60" w:type="dxa"/>
            </w:tcMar>
          </w:tcPr>
          <w:p>
            <w:pPr>
              <w:pStyle w:val="MDPI42tablebody"/>
              <w:jc w:val="left"/>
            </w:pPr>
            <w:r>
              <w:rPr>
                <w:b/>
                <w:sz w:val="15"/>
              </w:rPr>
              <w:t>Study; country</w:t>
            </w:r>
          </w:p>
        </w:tc>
        <w:tc>
          <w:tcPr>
            <w:tcW w:type="dxa" w:w="2000"/>
            <w:tcBorders>
              <w:bottom w:val="single" w:sz="4" w:space="0" w:color="000000"/>
            </w:tcBorders>
            <w:tcMar>
              <w:top w:w="30" w:type="dxa"/>
              <w:left w:w="60" w:type="dxa"/>
              <w:bottom w:w="30" w:type="dxa"/>
              <w:right w:w="60" w:type="dxa"/>
            </w:tcMar>
          </w:tcPr>
          <w:p>
            <w:pPr>
              <w:pStyle w:val="MDPI42tablebody"/>
              <w:jc w:val="left"/>
            </w:pPr>
            <w:r>
              <w:rPr>
                <w:b/>
                <w:sz w:val="15"/>
              </w:rPr>
              <w:t>Design</w:t>
            </w:r>
          </w:p>
        </w:tc>
        <w:tc>
          <w:tcPr>
            <w:tcW w:type="dxa" w:w="2200"/>
            <w:tcBorders>
              <w:bottom w:val="single" w:sz="4" w:space="0" w:color="000000"/>
            </w:tcBorders>
            <w:tcMar>
              <w:top w:w="30" w:type="dxa"/>
              <w:left w:w="60" w:type="dxa"/>
              <w:bottom w:w="30" w:type="dxa"/>
              <w:right w:w="60" w:type="dxa"/>
            </w:tcMar>
          </w:tcPr>
          <w:p>
            <w:pPr>
              <w:pStyle w:val="MDPI42tablebody"/>
              <w:jc w:val="left"/>
            </w:pPr>
            <w:r>
              <w:rPr>
                <w:b/>
                <w:sz w:val="15"/>
              </w:rPr>
              <w:t>Participants</w:t>
            </w:r>
          </w:p>
        </w:tc>
        <w:tc>
          <w:tcPr>
            <w:tcW w:type="dxa" w:w="2750"/>
            <w:tcBorders>
              <w:bottom w:val="single" w:sz="4" w:space="0" w:color="000000"/>
            </w:tcBorders>
            <w:tcMar>
              <w:top w:w="30" w:type="dxa"/>
              <w:left w:w="60" w:type="dxa"/>
              <w:bottom w:w="30" w:type="dxa"/>
              <w:right w:w="60" w:type="dxa"/>
            </w:tcMar>
          </w:tcPr>
          <w:p>
            <w:pPr>
              <w:pStyle w:val="MDPI42tablebody"/>
              <w:jc w:val="left"/>
            </w:pPr>
            <w:r>
              <w:rPr>
                <w:b/>
                <w:sz w:val="15"/>
              </w:rPr>
              <w:t>Intervention and comparator</w:t>
            </w:r>
          </w:p>
        </w:tc>
        <w:tc>
          <w:tcPr>
            <w:tcW w:type="dxa" w:w="2000"/>
            <w:tcBorders>
              <w:bottom w:val="single" w:sz="4" w:space="0" w:color="000000"/>
            </w:tcBorders>
            <w:tcMar>
              <w:top w:w="30" w:type="dxa"/>
              <w:left w:w="60" w:type="dxa"/>
              <w:bottom w:w="30" w:type="dxa"/>
              <w:right w:w="60" w:type="dxa"/>
            </w:tcMar>
          </w:tcPr>
          <w:p>
            <w:pPr>
              <w:pStyle w:val="MDPI42tablebody"/>
              <w:jc w:val="left"/>
            </w:pPr>
            <w:r>
              <w:rPr>
                <w:b/>
                <w:sz w:val="15"/>
              </w:rPr>
              <w:t>Learner-level outcomes</w:t>
            </w:r>
          </w:p>
        </w:tc>
        <w:tc>
          <w:tcPr>
            <w:tcW w:type="dxa" w:w="3850"/>
            <w:tcBorders>
              <w:bottom w:val="single" w:sz="4" w:space="0" w:color="000000"/>
            </w:tcBorders>
            <w:tcMar>
              <w:top w:w="30" w:type="dxa"/>
              <w:left w:w="60" w:type="dxa"/>
              <w:bottom w:w="30" w:type="dxa"/>
              <w:right w:w="60" w:type="dxa"/>
            </w:tcMar>
          </w:tcPr>
          <w:p>
            <w:pPr>
              <w:pStyle w:val="MDPI42tablebody"/>
              <w:jc w:val="left"/>
            </w:pPr>
            <w:r>
              <w:rPr>
                <w:b/>
                <w:sz w:val="15"/>
              </w:rPr>
              <w:t>Principal results reported</w:t>
            </w:r>
          </w:p>
        </w:tc>
      </w:tr>
      <w:tr>
        <w:trPr>
          <w:cantSplit/>
        </w:trPr>
        <w:tc>
          <w:tcPr>
            <w:tcW w:type="dxa" w:w="650"/>
            <w:tcMar>
              <w:top w:w="30" w:type="dxa"/>
              <w:left w:w="60" w:type="dxa"/>
              <w:bottom w:w="30" w:type="dxa"/>
              <w:right w:w="60" w:type="dxa"/>
            </w:tcMar>
          </w:tcPr>
          <w:p>
            <w:pPr>
              <w:pStyle w:val="MDPI42tablebody"/>
              <w:jc w:val="left"/>
            </w:pPr>
            <w:r>
              <w:rPr>
                <w:sz w:val="15"/>
              </w:rPr>
              <w:t>[34]</w:t>
            </w:r>
          </w:p>
        </w:tc>
        <w:tc>
          <w:tcPr>
            <w:tcW w:type="dxa" w:w="1850"/>
            <w:tcMar>
              <w:top w:w="30" w:type="dxa"/>
              <w:left w:w="60" w:type="dxa"/>
              <w:bottom w:w="30" w:type="dxa"/>
              <w:right w:w="60" w:type="dxa"/>
            </w:tcMar>
          </w:tcPr>
          <w:p>
            <w:pPr>
              <w:pStyle w:val="MDPI42tablebody"/>
              <w:jc w:val="left"/>
            </w:pPr>
            <w:r>
              <w:rPr>
                <w:sz w:val="15"/>
              </w:rPr>
              <w:t>Raskind and Higgins (1999); USA</w:t>
            </w:r>
          </w:p>
        </w:tc>
        <w:tc>
          <w:tcPr>
            <w:tcW w:type="dxa" w:w="2000"/>
            <w:tcMar>
              <w:top w:w="30" w:type="dxa"/>
              <w:left w:w="60" w:type="dxa"/>
              <w:bottom w:w="30" w:type="dxa"/>
              <w:right w:w="60" w:type="dxa"/>
            </w:tcMar>
          </w:tcPr>
          <w:p>
            <w:pPr>
              <w:pStyle w:val="MDPI42tablebody"/>
              <w:jc w:val="left"/>
            </w:pPr>
            <w:r>
              <w:rPr>
                <w:sz w:val="15"/>
              </w:rPr>
              <w:t>Nonrandomised controlled pretest–posttest study</w:t>
            </w:r>
          </w:p>
        </w:tc>
        <w:tc>
          <w:tcPr>
            <w:tcW w:type="dxa" w:w="2200"/>
            <w:tcMar>
              <w:top w:w="30" w:type="dxa"/>
              <w:left w:w="60" w:type="dxa"/>
              <w:bottom w:w="30" w:type="dxa"/>
              <w:right w:w="60" w:type="dxa"/>
            </w:tcMar>
          </w:tcPr>
          <w:p>
            <w:pPr>
              <w:pStyle w:val="MDPI42tablebody"/>
              <w:jc w:val="left"/>
            </w:pPr>
            <w:r>
              <w:rPr>
                <w:sz w:val="15"/>
              </w:rPr>
              <w:t>39 learners with learning disabilities, 9–18 years (STT n = 19; control n = 20)</w:t>
            </w:r>
          </w:p>
        </w:tc>
        <w:tc>
          <w:tcPr>
            <w:tcW w:type="dxa" w:w="2750"/>
            <w:tcMar>
              <w:top w:w="30" w:type="dxa"/>
              <w:left w:w="60" w:type="dxa"/>
              <w:bottom w:w="30" w:type="dxa"/>
              <w:right w:w="60" w:type="dxa"/>
            </w:tcMar>
          </w:tcPr>
          <w:p>
            <w:pPr>
              <w:pStyle w:val="MDPI42tablebody"/>
              <w:jc w:val="left"/>
            </w:pPr>
            <w:r>
              <w:rPr>
                <w:sz w:val="15"/>
              </w:rPr>
              <w:t>Discrete-speech STT for self-selected and class writing, 50 min/week for 16 weeks; general computer instruction</w:t>
            </w:r>
          </w:p>
        </w:tc>
        <w:tc>
          <w:tcPr>
            <w:tcW w:type="dxa" w:w="2000"/>
            <w:tcMar>
              <w:top w:w="30" w:type="dxa"/>
              <w:left w:w="60" w:type="dxa"/>
              <w:bottom w:w="30" w:type="dxa"/>
              <w:right w:w="60" w:type="dxa"/>
            </w:tcMar>
          </w:tcPr>
          <w:p>
            <w:pPr>
              <w:pStyle w:val="MDPI42tablebody"/>
              <w:jc w:val="left"/>
            </w:pPr>
            <w:r>
              <w:rPr>
                <w:sz w:val="15"/>
              </w:rPr>
              <w:t>Word recognition, spelling, reading comprehension, and reading-related cognitive processes</w:t>
            </w:r>
          </w:p>
        </w:tc>
        <w:tc>
          <w:tcPr>
            <w:tcW w:type="dxa" w:w="3850"/>
            <w:tcMar>
              <w:top w:w="30" w:type="dxa"/>
              <w:left w:w="60" w:type="dxa"/>
              <w:bottom w:w="30" w:type="dxa"/>
              <w:right w:w="60" w:type="dxa"/>
            </w:tcMar>
          </w:tcPr>
          <w:p>
            <w:pPr>
              <w:pStyle w:val="MDPI42tablebody"/>
              <w:jc w:val="left"/>
            </w:pPr>
            <w:r>
              <w:rPr>
                <w:sz w:val="15"/>
              </w:rPr>
              <w:t>Greater improvement with STT in word recognition (p &lt; 0.0001), spelling (p &lt; 0.002), reading comprehension (p &lt; 0.01), and phonological processing (p &lt; 0.04).</w:t>
            </w:r>
          </w:p>
        </w:tc>
      </w:tr>
      <w:tr>
        <w:trPr>
          <w:cantSplit/>
        </w:trPr>
        <w:tc>
          <w:tcPr>
            <w:tcW w:type="dxa" w:w="650"/>
            <w:tcMar>
              <w:top w:w="30" w:type="dxa"/>
              <w:left w:w="60" w:type="dxa"/>
              <w:bottom w:w="30" w:type="dxa"/>
              <w:right w:w="60" w:type="dxa"/>
            </w:tcMar>
          </w:tcPr>
          <w:p>
            <w:pPr>
              <w:pStyle w:val="MDPI42tablebody"/>
              <w:jc w:val="left"/>
            </w:pPr>
            <w:r>
              <w:rPr>
                <w:sz w:val="15"/>
              </w:rPr>
              <w:t>[35]</w:t>
            </w:r>
          </w:p>
        </w:tc>
        <w:tc>
          <w:tcPr>
            <w:tcW w:type="dxa" w:w="1850"/>
            <w:tcMar>
              <w:top w:w="30" w:type="dxa"/>
              <w:left w:w="60" w:type="dxa"/>
              <w:bottom w:w="30" w:type="dxa"/>
              <w:right w:w="60" w:type="dxa"/>
            </w:tcMar>
          </w:tcPr>
          <w:p>
            <w:pPr>
              <w:pStyle w:val="MDPI42tablebody"/>
              <w:jc w:val="left"/>
            </w:pPr>
            <w:r>
              <w:rPr>
                <w:sz w:val="15"/>
              </w:rPr>
              <w:t>Higgins and Raskind (1999); USA</w:t>
            </w:r>
          </w:p>
        </w:tc>
        <w:tc>
          <w:tcPr>
            <w:tcW w:type="dxa" w:w="2000"/>
            <w:tcMar>
              <w:top w:w="30" w:type="dxa"/>
              <w:left w:w="60" w:type="dxa"/>
              <w:bottom w:w="30" w:type="dxa"/>
              <w:right w:w="60" w:type="dxa"/>
            </w:tcMar>
          </w:tcPr>
          <w:p>
            <w:pPr>
              <w:pStyle w:val="MDPI42tablebody"/>
              <w:jc w:val="left"/>
            </w:pPr>
            <w:r>
              <w:rPr>
                <w:sz w:val="15"/>
              </w:rPr>
              <w:t>Expanded nonrandomised three-group comparison</w:t>
            </w:r>
          </w:p>
        </w:tc>
        <w:tc>
          <w:tcPr>
            <w:tcW w:type="dxa" w:w="2200"/>
            <w:tcMar>
              <w:top w:w="30" w:type="dxa"/>
              <w:left w:w="60" w:type="dxa"/>
              <w:bottom w:w="30" w:type="dxa"/>
              <w:right w:w="60" w:type="dxa"/>
            </w:tcMar>
          </w:tcPr>
          <w:p>
            <w:pPr>
              <w:pStyle w:val="MDPI42tablebody"/>
              <w:jc w:val="left"/>
            </w:pPr>
            <w:r>
              <w:rPr>
                <w:sz w:val="15"/>
              </w:rPr>
              <w:t>52 learners with learning disabilities, 9–18 years; includes the 39 participants in [34] plus 13 continuous-speech STT users</w:t>
            </w:r>
          </w:p>
        </w:tc>
        <w:tc>
          <w:tcPr>
            <w:tcW w:type="dxa" w:w="2750"/>
            <w:tcMar>
              <w:top w:w="30" w:type="dxa"/>
              <w:left w:w="60" w:type="dxa"/>
              <w:bottom w:w="30" w:type="dxa"/>
              <w:right w:w="60" w:type="dxa"/>
            </w:tcMar>
          </w:tcPr>
          <w:p>
            <w:pPr>
              <w:pStyle w:val="MDPI42tablebody"/>
              <w:jc w:val="left"/>
            </w:pPr>
            <w:r>
              <w:rPr>
                <w:sz w:val="15"/>
              </w:rPr>
              <w:t>Continuous-speech STT versus discrete-speech STT versus general computer instruction</w:t>
            </w:r>
          </w:p>
        </w:tc>
        <w:tc>
          <w:tcPr>
            <w:tcW w:type="dxa" w:w="2000"/>
            <w:tcMar>
              <w:top w:w="30" w:type="dxa"/>
              <w:left w:w="60" w:type="dxa"/>
              <w:bottom w:w="30" w:type="dxa"/>
              <w:right w:w="60" w:type="dxa"/>
            </w:tcMar>
          </w:tcPr>
          <w:p>
            <w:pPr>
              <w:pStyle w:val="MDPI42tablebody"/>
              <w:jc w:val="left"/>
            </w:pPr>
            <w:r>
              <w:rPr>
                <w:sz w:val="15"/>
              </w:rPr>
              <w:t>Word recognition, spelling, and reading comprehension</w:t>
            </w:r>
          </w:p>
        </w:tc>
        <w:tc>
          <w:tcPr>
            <w:tcW w:type="dxa" w:w="3850"/>
            <w:tcMar>
              <w:top w:w="30" w:type="dxa"/>
              <w:left w:w="60" w:type="dxa"/>
              <w:bottom w:w="30" w:type="dxa"/>
              <w:right w:w="60" w:type="dxa"/>
            </w:tcMar>
          </w:tcPr>
          <w:p>
            <w:pPr>
              <w:pStyle w:val="MDPI42tablebody"/>
              <w:jc w:val="left"/>
            </w:pPr>
            <w:r>
              <w:rPr>
                <w:sz w:val="15"/>
              </w:rPr>
              <w:t>Both STT groups improved word recognition and reading comprehension relative to control; the discrete-speech group also improved spelling. This report is not an independent replication of [34].</w:t>
            </w:r>
          </w:p>
        </w:tc>
      </w:tr>
      <w:tr>
        <w:trPr>
          <w:cantSplit/>
        </w:trPr>
        <w:tc>
          <w:tcPr>
            <w:tcW w:type="dxa" w:w="650"/>
            <w:tcMar>
              <w:top w:w="30" w:type="dxa"/>
              <w:left w:w="60" w:type="dxa"/>
              <w:bottom w:w="30" w:type="dxa"/>
              <w:right w:w="60" w:type="dxa"/>
            </w:tcMar>
          </w:tcPr>
          <w:p>
            <w:pPr>
              <w:pStyle w:val="MDPI42tablebody"/>
              <w:jc w:val="left"/>
            </w:pPr>
            <w:r>
              <w:rPr>
                <w:sz w:val="15"/>
              </w:rPr>
              <w:t>[36]</w:t>
            </w:r>
          </w:p>
        </w:tc>
        <w:tc>
          <w:tcPr>
            <w:tcW w:type="dxa" w:w="1850"/>
            <w:tcMar>
              <w:top w:w="30" w:type="dxa"/>
              <w:left w:w="60" w:type="dxa"/>
              <w:bottom w:w="30" w:type="dxa"/>
              <w:right w:w="60" w:type="dxa"/>
            </w:tcMar>
          </w:tcPr>
          <w:p>
            <w:pPr>
              <w:pStyle w:val="MDPI42tablebody"/>
              <w:jc w:val="left"/>
            </w:pPr>
            <w:r>
              <w:rPr>
                <w:sz w:val="15"/>
              </w:rPr>
              <w:t>MacArthur and Cavalier (2004); USA</w:t>
            </w:r>
          </w:p>
        </w:tc>
        <w:tc>
          <w:tcPr>
            <w:tcW w:type="dxa" w:w="2000"/>
            <w:tcMar>
              <w:top w:w="30" w:type="dxa"/>
              <w:left w:w="60" w:type="dxa"/>
              <w:bottom w:w="30" w:type="dxa"/>
              <w:right w:w="60" w:type="dxa"/>
            </w:tcMar>
          </w:tcPr>
          <w:p>
            <w:pPr>
              <w:pStyle w:val="MDPI42tablebody"/>
              <w:jc w:val="left"/>
            </w:pPr>
            <w:r>
              <w:rPr>
                <w:sz w:val="15"/>
              </w:rPr>
              <w:t>Counterbalanced within-participant comparison</w:t>
            </w:r>
          </w:p>
        </w:tc>
        <w:tc>
          <w:tcPr>
            <w:tcW w:type="dxa" w:w="2200"/>
            <w:tcMar>
              <w:top w:w="30" w:type="dxa"/>
              <w:left w:w="60" w:type="dxa"/>
              <w:bottom w:w="30" w:type="dxa"/>
              <w:right w:w="60" w:type="dxa"/>
            </w:tcMar>
          </w:tcPr>
          <w:p>
            <w:pPr>
              <w:pStyle w:val="MDPI42tablebody"/>
              <w:jc w:val="left"/>
            </w:pPr>
            <w:r>
              <w:rPr>
                <w:sz w:val="15"/>
              </w:rPr>
              <w:t>31 high-school students; 21 with learning disabilities and 10 peers without learning disabilities</w:t>
            </w:r>
          </w:p>
        </w:tc>
        <w:tc>
          <w:tcPr>
            <w:tcW w:type="dxa" w:w="2750"/>
            <w:tcMar>
              <w:top w:w="30" w:type="dxa"/>
              <w:left w:w="60" w:type="dxa"/>
              <w:bottom w:w="30" w:type="dxa"/>
              <w:right w:w="60" w:type="dxa"/>
            </w:tcMar>
          </w:tcPr>
          <w:p>
            <w:pPr>
              <w:pStyle w:val="MDPI42tablebody"/>
              <w:jc w:val="left"/>
            </w:pPr>
            <w:r>
              <w:rPr>
                <w:sz w:val="15"/>
              </w:rPr>
              <w:t>Essay production by handwriting, STT dictation, and human scribing</w:t>
            </w:r>
          </w:p>
        </w:tc>
        <w:tc>
          <w:tcPr>
            <w:tcW w:type="dxa" w:w="2000"/>
            <w:tcMar>
              <w:top w:w="30" w:type="dxa"/>
              <w:left w:w="60" w:type="dxa"/>
              <w:bottom w:w="30" w:type="dxa"/>
              <w:right w:w="60" w:type="dxa"/>
            </w:tcMar>
          </w:tcPr>
          <w:p>
            <w:pPr>
              <w:pStyle w:val="MDPI42tablebody"/>
              <w:jc w:val="left"/>
            </w:pPr>
            <w:r>
              <w:rPr>
                <w:sz w:val="15"/>
              </w:rPr>
              <w:t>Essay quality and word-error rate</w:t>
            </w:r>
          </w:p>
        </w:tc>
        <w:tc>
          <w:tcPr>
            <w:tcW w:type="dxa" w:w="3850"/>
            <w:tcMar>
              <w:top w:w="30" w:type="dxa"/>
              <w:left w:w="60" w:type="dxa"/>
              <w:bottom w:w="30" w:type="dxa"/>
              <w:right w:w="60" w:type="dxa"/>
            </w:tcMar>
          </w:tcPr>
          <w:p>
            <w:pPr>
              <w:pStyle w:val="MDPI42tablebody"/>
              <w:jc w:val="left"/>
            </w:pPr>
            <w:r>
              <w:rPr>
                <w:sz w:val="15"/>
              </w:rPr>
              <w:t>Among students with learning disabilities, STT essays were rated higher than handwritten essays; scribed essays were rated highest. STT word-error rates were below 10%.</w:t>
            </w:r>
          </w:p>
        </w:tc>
      </w:tr>
      <w:tr>
        <w:trPr>
          <w:cantSplit/>
        </w:trPr>
        <w:tc>
          <w:tcPr>
            <w:tcW w:type="dxa" w:w="650"/>
            <w:tcMar>
              <w:top w:w="30" w:type="dxa"/>
              <w:left w:w="60" w:type="dxa"/>
              <w:bottom w:w="30" w:type="dxa"/>
              <w:right w:w="60" w:type="dxa"/>
            </w:tcMar>
          </w:tcPr>
          <w:p>
            <w:pPr>
              <w:pStyle w:val="MDPI42tablebody"/>
              <w:jc w:val="left"/>
            </w:pPr>
            <w:r>
              <w:rPr>
                <w:sz w:val="15"/>
              </w:rPr>
              <w:t>[37]</w:t>
            </w:r>
          </w:p>
        </w:tc>
        <w:tc>
          <w:tcPr>
            <w:tcW w:type="dxa" w:w="1850"/>
            <w:tcMar>
              <w:top w:w="30" w:type="dxa"/>
              <w:left w:w="60" w:type="dxa"/>
              <w:bottom w:w="30" w:type="dxa"/>
              <w:right w:w="60" w:type="dxa"/>
            </w:tcMar>
          </w:tcPr>
          <w:p>
            <w:pPr>
              <w:pStyle w:val="MDPI42tablebody"/>
              <w:jc w:val="left"/>
            </w:pPr>
            <w:r>
              <w:rPr>
                <w:sz w:val="15"/>
              </w:rPr>
              <w:t>Kraft (2023); Sweden</w:t>
            </w:r>
          </w:p>
        </w:tc>
        <w:tc>
          <w:tcPr>
            <w:tcW w:type="dxa" w:w="2000"/>
            <w:tcMar>
              <w:top w:w="30" w:type="dxa"/>
              <w:left w:w="60" w:type="dxa"/>
              <w:bottom w:w="30" w:type="dxa"/>
              <w:right w:w="60" w:type="dxa"/>
            </w:tcMar>
          </w:tcPr>
          <w:p>
            <w:pPr>
              <w:pStyle w:val="MDPI42tablebody"/>
              <w:jc w:val="left"/>
            </w:pPr>
            <w:r>
              <w:rPr>
                <w:sz w:val="15"/>
              </w:rPr>
              <w:t>Counterbalanced within-participant comparison</w:t>
            </w:r>
          </w:p>
        </w:tc>
        <w:tc>
          <w:tcPr>
            <w:tcW w:type="dxa" w:w="2200"/>
            <w:tcMar>
              <w:top w:w="30" w:type="dxa"/>
              <w:left w:w="60" w:type="dxa"/>
              <w:bottom w:w="30" w:type="dxa"/>
              <w:right w:w="60" w:type="dxa"/>
            </w:tcMar>
          </w:tcPr>
          <w:p>
            <w:pPr>
              <w:pStyle w:val="MDPI42tablebody"/>
              <w:jc w:val="left"/>
            </w:pPr>
            <w:r>
              <w:rPr>
                <w:sz w:val="15"/>
              </w:rPr>
              <w:t>28 children aged 10–13 years: 16 with reading and writing difficulties identified by standardised spelling or decoding cut-offs; 12 reference peers without such difficulties</w:t>
            </w:r>
          </w:p>
        </w:tc>
        <w:tc>
          <w:tcPr>
            <w:tcW w:type="dxa" w:w="2750"/>
            <w:tcMar>
              <w:top w:w="30" w:type="dxa"/>
              <w:left w:w="60" w:type="dxa"/>
              <w:bottom w:w="30" w:type="dxa"/>
              <w:right w:w="60" w:type="dxa"/>
            </w:tcMar>
          </w:tcPr>
          <w:p>
            <w:pPr>
              <w:pStyle w:val="MDPI42tablebody"/>
              <w:jc w:val="left"/>
            </w:pPr>
            <w:r>
              <w:rPr>
                <w:sz w:val="15"/>
              </w:rPr>
              <w:t>Expository text composition using built-in automatic STT (word processor, spell-checker disabled) versus keyboard writing; order and topic counterbalanced; one text per condition after brief training</w:t>
            </w:r>
          </w:p>
        </w:tc>
        <w:tc>
          <w:tcPr>
            <w:tcW w:type="dxa" w:w="2000"/>
            <w:tcMar>
              <w:top w:w="30" w:type="dxa"/>
              <w:left w:w="60" w:type="dxa"/>
              <w:bottom w:w="30" w:type="dxa"/>
              <w:right w:w="60" w:type="dxa"/>
            </w:tcMar>
          </w:tcPr>
          <w:p>
            <w:pPr>
              <w:pStyle w:val="MDPI42tablebody"/>
              <w:jc w:val="left"/>
            </w:pPr>
            <w:r>
              <w:rPr>
                <w:sz w:val="15"/>
              </w:rPr>
              <w:t>Revisions at different levels, spelling and STT errors left in the final text, and text quality by comparative judgment</w:t>
            </w:r>
          </w:p>
        </w:tc>
        <w:tc>
          <w:tcPr>
            <w:tcW w:type="dxa" w:w="3850"/>
            <w:tcMar>
              <w:top w:w="30" w:type="dxa"/>
              <w:left w:w="60" w:type="dxa"/>
              <w:bottom w:w="30" w:type="dxa"/>
              <w:right w:w="60" w:type="dxa"/>
            </w:tcMar>
          </w:tcPr>
          <w:p>
            <w:pPr>
              <w:pStyle w:val="MDPI42tablebody"/>
              <w:jc w:val="left"/>
            </w:pPr>
            <w:r>
              <w:rPr>
                <w:sz w:val="15"/>
              </w:rPr>
              <w:t>Both groups left fewer errors in the final text with STT (condition F(1,52) = 14.92, p &lt; 0.001, partial η² = 0.22); the reduction in residual spelling errors was largest among learners with reading and writing difficulties (interaction F(1,52) = 8.88, p = 0.004, partial η² = 0.15); text quality did not differ between conditions (p = 0.95).</w:t>
            </w:r>
          </w:p>
        </w:tc>
      </w:tr>
      <w:tr>
        <w:trPr>
          <w:cantSplit/>
        </w:trPr>
        <w:tc>
          <w:tcPr>
            <w:tcW w:type="dxa" w:w="650"/>
            <w:tcMar>
              <w:top w:w="30" w:type="dxa"/>
              <w:left w:w="60" w:type="dxa"/>
              <w:bottom w:w="30" w:type="dxa"/>
              <w:right w:w="60" w:type="dxa"/>
            </w:tcMar>
          </w:tcPr>
          <w:p>
            <w:pPr>
              <w:pStyle w:val="MDPI42tablebody"/>
              <w:jc w:val="left"/>
            </w:pPr>
            <w:r>
              <w:rPr>
                <w:sz w:val="15"/>
              </w:rPr>
              <w:t>[38]</w:t>
            </w:r>
          </w:p>
        </w:tc>
        <w:tc>
          <w:tcPr>
            <w:tcW w:type="dxa" w:w="1850"/>
            <w:tcMar>
              <w:top w:w="30" w:type="dxa"/>
              <w:left w:w="60" w:type="dxa"/>
              <w:bottom w:w="30" w:type="dxa"/>
              <w:right w:w="60" w:type="dxa"/>
            </w:tcMar>
          </w:tcPr>
          <w:p>
            <w:pPr>
              <w:pStyle w:val="MDPI42tablebody"/>
              <w:jc w:val="left"/>
            </w:pPr>
            <w:r>
              <w:rPr>
                <w:sz w:val="15"/>
              </w:rPr>
              <w:t>Almgren Bäck et al. (2024); Norway and Sweden</w:t>
            </w:r>
          </w:p>
        </w:tc>
        <w:tc>
          <w:tcPr>
            <w:tcW w:type="dxa" w:w="2000"/>
            <w:tcMar>
              <w:top w:w="30" w:type="dxa"/>
              <w:left w:w="60" w:type="dxa"/>
              <w:bottom w:w="30" w:type="dxa"/>
              <w:right w:w="60" w:type="dxa"/>
            </w:tcMar>
          </w:tcPr>
          <w:p>
            <w:pPr>
              <w:pStyle w:val="MDPI42tablebody"/>
              <w:jc w:val="left"/>
            </w:pPr>
            <w:r>
              <w:rPr>
                <w:sz w:val="15"/>
              </w:rPr>
              <w:t>Modified, partially staggered multiple-baseline single-case study</w:t>
            </w:r>
          </w:p>
        </w:tc>
        <w:tc>
          <w:tcPr>
            <w:tcW w:type="dxa" w:w="2200"/>
            <w:tcMar>
              <w:top w:w="30" w:type="dxa"/>
              <w:left w:w="60" w:type="dxa"/>
              <w:bottom w:w="30" w:type="dxa"/>
              <w:right w:w="60" w:type="dxa"/>
            </w:tcMar>
          </w:tcPr>
          <w:p>
            <w:pPr>
              <w:pStyle w:val="MDPI42tablebody"/>
              <w:jc w:val="left"/>
            </w:pPr>
            <w:r>
              <w:rPr>
                <w:sz w:val="15"/>
              </w:rPr>
              <w:t>8 learners with severe reading/writing difficulties (4 per country)</w:t>
            </w:r>
          </w:p>
        </w:tc>
        <w:tc>
          <w:tcPr>
            <w:tcW w:type="dxa" w:w="2750"/>
            <w:tcMar>
              <w:top w:w="30" w:type="dxa"/>
              <w:left w:w="60" w:type="dxa"/>
              <w:bottom w:w="30" w:type="dxa"/>
              <w:right w:w="60" w:type="dxa"/>
            </w:tcMar>
          </w:tcPr>
          <w:p>
            <w:pPr>
              <w:pStyle w:val="MDPI42tablebody"/>
              <w:jc w:val="left"/>
            </w:pPr>
            <w:r>
              <w:rPr>
                <w:sz w:val="15"/>
              </w:rPr>
              <w:t>Structured STT instruction (25 individual sessions of approximately 30 min), with TTS introduced for revision; keyboarding baseline</w:t>
            </w:r>
          </w:p>
        </w:tc>
        <w:tc>
          <w:tcPr>
            <w:tcW w:type="dxa" w:w="2000"/>
            <w:tcMar>
              <w:top w:w="30" w:type="dxa"/>
              <w:left w:w="60" w:type="dxa"/>
              <w:bottom w:w="30" w:type="dxa"/>
              <w:right w:w="60" w:type="dxa"/>
            </w:tcMar>
          </w:tcPr>
          <w:p>
            <w:pPr>
              <w:pStyle w:val="MDPI42tablebody"/>
              <w:jc w:val="left"/>
            </w:pPr>
            <w:r>
              <w:rPr>
                <w:sz w:val="15"/>
              </w:rPr>
              <w:t>Text length, sentence construction, writing accuracy, punctuation, vocabulary diversity, and maintenance</w:t>
            </w:r>
          </w:p>
        </w:tc>
        <w:tc>
          <w:tcPr>
            <w:tcW w:type="dxa" w:w="3850"/>
            <w:tcMar>
              <w:top w:w="30" w:type="dxa"/>
              <w:left w:w="60" w:type="dxa"/>
              <w:bottom w:w="30" w:type="dxa"/>
              <w:right w:w="60" w:type="dxa"/>
            </w:tcMar>
          </w:tcPr>
          <w:p>
            <w:pPr>
              <w:pStyle w:val="MDPI42tablebody"/>
              <w:jc w:val="left"/>
            </w:pPr>
            <w:r>
              <w:rPr>
                <w:sz w:val="15"/>
              </w:rPr>
              <w:t>Seven of eight learners increased text productivity; accuracy was generally maintained or improved. Responses differed by learner and outcome; one participant had only one usable baseline observation.</w:t>
            </w:r>
          </w:p>
        </w:tc>
      </w:tr>
      <w:tr>
        <w:trPr>
          <w:cantSplit/>
        </w:trPr>
        <w:tc>
          <w:tcPr>
            <w:tcW w:type="dxa" w:w="650"/>
            <w:tcMar>
              <w:top w:w="30" w:type="dxa"/>
              <w:left w:w="60" w:type="dxa"/>
              <w:bottom w:w="30" w:type="dxa"/>
              <w:right w:w="60" w:type="dxa"/>
            </w:tcMar>
          </w:tcPr>
          <w:p>
            <w:pPr>
              <w:pStyle w:val="MDPI42tablebody"/>
              <w:jc w:val="left"/>
            </w:pPr>
            <w:r>
              <w:rPr>
                <w:sz w:val="15"/>
              </w:rPr>
              <w:t>[39]</w:t>
            </w:r>
          </w:p>
        </w:tc>
        <w:tc>
          <w:tcPr>
            <w:tcW w:type="dxa" w:w="1850"/>
            <w:tcMar>
              <w:top w:w="30" w:type="dxa"/>
              <w:left w:w="60" w:type="dxa"/>
              <w:bottom w:w="30" w:type="dxa"/>
              <w:right w:w="60" w:type="dxa"/>
            </w:tcMar>
          </w:tcPr>
          <w:p>
            <w:pPr>
              <w:pStyle w:val="MDPI42tablebody"/>
              <w:jc w:val="left"/>
            </w:pPr>
            <w:r>
              <w:rPr>
                <w:sz w:val="15"/>
              </w:rPr>
              <w:t>Fälth et al. (2025); Sweden</w:t>
            </w:r>
          </w:p>
        </w:tc>
        <w:tc>
          <w:tcPr>
            <w:tcW w:type="dxa" w:w="2000"/>
            <w:tcMar>
              <w:top w:w="30" w:type="dxa"/>
              <w:left w:w="60" w:type="dxa"/>
              <w:bottom w:w="30" w:type="dxa"/>
              <w:right w:w="60" w:type="dxa"/>
            </w:tcMar>
          </w:tcPr>
          <w:p>
            <w:pPr>
              <w:pStyle w:val="MDPI42tablebody"/>
              <w:jc w:val="left"/>
            </w:pPr>
            <w:r>
              <w:rPr>
                <w:sz w:val="15"/>
              </w:rPr>
              <w:t>A–B single-case study</w:t>
            </w:r>
          </w:p>
        </w:tc>
        <w:tc>
          <w:tcPr>
            <w:tcW w:type="dxa" w:w="2200"/>
            <w:tcMar>
              <w:top w:w="30" w:type="dxa"/>
              <w:left w:w="60" w:type="dxa"/>
              <w:bottom w:w="30" w:type="dxa"/>
              <w:right w:w="60" w:type="dxa"/>
            </w:tcMar>
          </w:tcPr>
          <w:p>
            <w:pPr>
              <w:pStyle w:val="MDPI42tablebody"/>
              <w:jc w:val="left"/>
            </w:pPr>
            <w:r>
              <w:rPr>
                <w:sz w:val="15"/>
              </w:rPr>
              <w:t>7 learners with mild intellectual disability, 10–13 years</w:t>
            </w:r>
          </w:p>
        </w:tc>
        <w:tc>
          <w:tcPr>
            <w:tcW w:type="dxa" w:w="2750"/>
            <w:tcMar>
              <w:top w:w="30" w:type="dxa"/>
              <w:left w:w="60" w:type="dxa"/>
              <w:bottom w:w="30" w:type="dxa"/>
              <w:right w:w="60" w:type="dxa"/>
            </w:tcMar>
          </w:tcPr>
          <w:p>
            <w:pPr>
              <w:pStyle w:val="MDPI42tablebody"/>
              <w:jc w:val="left"/>
            </w:pPr>
            <w:r>
              <w:rPr>
                <w:sz w:val="15"/>
              </w:rPr>
              <w:t>STT plus teacher modelling, checklists, and individualised writing instruction; independent keyboard writing baseline; 5 baseline and 10 intervention assessments</w:t>
            </w:r>
          </w:p>
        </w:tc>
        <w:tc>
          <w:tcPr>
            <w:tcW w:type="dxa" w:w="2000"/>
            <w:tcMar>
              <w:top w:w="30" w:type="dxa"/>
              <w:left w:w="60" w:type="dxa"/>
              <w:bottom w:w="30" w:type="dxa"/>
              <w:right w:w="60" w:type="dxa"/>
            </w:tcMar>
          </w:tcPr>
          <w:p>
            <w:pPr>
              <w:pStyle w:val="MDPI42tablebody"/>
              <w:jc w:val="left"/>
            </w:pPr>
            <w:r>
              <w:rPr>
                <w:sz w:val="15"/>
              </w:rPr>
              <w:t>Text length, punctuation, sentence completeness, narrative structure, and coherence</w:t>
            </w:r>
          </w:p>
        </w:tc>
        <w:tc>
          <w:tcPr>
            <w:tcW w:type="dxa" w:w="3850"/>
            <w:tcMar>
              <w:top w:w="30" w:type="dxa"/>
              <w:left w:w="60" w:type="dxa"/>
              <w:bottom w:w="30" w:type="dxa"/>
              <w:right w:w="60" w:type="dxa"/>
            </w:tcMar>
          </w:tcPr>
          <w:p>
            <w:pPr>
              <w:pStyle w:val="MDPI42tablebody"/>
              <w:jc w:val="left"/>
            </w:pPr>
            <w:r>
              <w:rPr>
                <w:sz w:val="15"/>
              </w:rPr>
              <w:t>Text-length percentage-exceeding-the-median (PEM) values ranged from 30% to 100%; text-quality PEM values ranged from 10% to 100%. Improvement was substantial for some learners and limited or absent for others.</w:t>
            </w:r>
          </w:p>
        </w:tc>
      </w:tr>
      <w:tr>
        <w:trPr>
          <w:cantSplit/>
        </w:trPr>
        <w:tc>
          <w:tcPr>
            <w:tcW w:type="dxa" w:w="650"/>
            <w:tcMar>
              <w:top w:w="30" w:type="dxa"/>
              <w:left w:w="60" w:type="dxa"/>
              <w:bottom w:w="30" w:type="dxa"/>
              <w:right w:w="60" w:type="dxa"/>
            </w:tcMar>
          </w:tcPr>
          <w:p>
            <w:pPr>
              <w:pStyle w:val="MDPI42tablebody"/>
              <w:jc w:val="left"/>
            </w:pPr>
            <w:r>
              <w:rPr>
                <w:sz w:val="15"/>
              </w:rPr>
              <w:t>[40]</w:t>
            </w:r>
          </w:p>
        </w:tc>
        <w:tc>
          <w:tcPr>
            <w:tcW w:type="dxa" w:w="1850"/>
            <w:tcMar>
              <w:top w:w="30" w:type="dxa"/>
              <w:left w:w="60" w:type="dxa"/>
              <w:bottom w:w="30" w:type="dxa"/>
              <w:right w:w="60" w:type="dxa"/>
            </w:tcMar>
          </w:tcPr>
          <w:p>
            <w:pPr>
              <w:pStyle w:val="MDPI42tablebody"/>
              <w:jc w:val="left"/>
            </w:pPr>
            <w:r>
              <w:rPr>
                <w:sz w:val="15"/>
              </w:rPr>
              <w:t>Sand et al. (2025); Sweden</w:t>
            </w:r>
          </w:p>
        </w:tc>
        <w:tc>
          <w:tcPr>
            <w:tcW w:type="dxa" w:w="2000"/>
            <w:tcMar>
              <w:top w:w="30" w:type="dxa"/>
              <w:left w:w="60" w:type="dxa"/>
              <w:bottom w:w="30" w:type="dxa"/>
              <w:right w:w="60" w:type="dxa"/>
            </w:tcMar>
          </w:tcPr>
          <w:p>
            <w:pPr>
              <w:pStyle w:val="MDPI42tablebody"/>
              <w:jc w:val="left"/>
            </w:pPr>
            <w:r>
              <w:rPr>
                <w:sz w:val="15"/>
              </w:rPr>
              <w:t>A–B single-case study with maintenance</w:t>
            </w:r>
          </w:p>
        </w:tc>
        <w:tc>
          <w:tcPr>
            <w:tcW w:type="dxa" w:w="2200"/>
            <w:tcMar>
              <w:top w:w="30" w:type="dxa"/>
              <w:left w:w="60" w:type="dxa"/>
              <w:bottom w:w="30" w:type="dxa"/>
              <w:right w:w="60" w:type="dxa"/>
            </w:tcMar>
          </w:tcPr>
          <w:p>
            <w:pPr>
              <w:pStyle w:val="MDPI42tablebody"/>
              <w:jc w:val="left"/>
            </w:pPr>
            <w:r>
              <w:rPr>
                <w:sz w:val="15"/>
              </w:rPr>
              <w:t>4 learners with mild intellectual disability, 10–13 years</w:t>
            </w:r>
          </w:p>
        </w:tc>
        <w:tc>
          <w:tcPr>
            <w:tcW w:type="dxa" w:w="2750"/>
            <w:tcMar>
              <w:top w:w="30" w:type="dxa"/>
              <w:left w:w="60" w:type="dxa"/>
              <w:bottom w:w="30" w:type="dxa"/>
              <w:right w:w="60" w:type="dxa"/>
            </w:tcMar>
          </w:tcPr>
          <w:p>
            <w:pPr>
              <w:pStyle w:val="MDPI42tablebody"/>
              <w:jc w:val="left"/>
            </w:pPr>
            <w:r>
              <w:rPr>
                <w:sz w:val="15"/>
              </w:rPr>
              <w:t>Individualised STT intervention; 3 baseline, 15 intervention, and 3-month maintenance observations</w:t>
            </w:r>
          </w:p>
        </w:tc>
        <w:tc>
          <w:tcPr>
            <w:tcW w:type="dxa" w:w="2000"/>
            <w:tcMar>
              <w:top w:w="30" w:type="dxa"/>
              <w:left w:w="60" w:type="dxa"/>
              <w:bottom w:w="30" w:type="dxa"/>
              <w:right w:w="60" w:type="dxa"/>
            </w:tcMar>
          </w:tcPr>
          <w:p>
            <w:pPr>
              <w:pStyle w:val="MDPI42tablebody"/>
              <w:jc w:val="left"/>
            </w:pPr>
            <w:r>
              <w:rPr>
                <w:sz w:val="15"/>
              </w:rPr>
              <w:t>Words, sentences, and content units produced</w:t>
            </w:r>
          </w:p>
        </w:tc>
        <w:tc>
          <w:tcPr>
            <w:tcW w:type="dxa" w:w="3850"/>
            <w:tcMar>
              <w:top w:w="30" w:type="dxa"/>
              <w:left w:w="60" w:type="dxa"/>
              <w:bottom w:w="30" w:type="dxa"/>
              <w:right w:w="60" w:type="dxa"/>
            </w:tcMar>
          </w:tcPr>
          <w:p>
            <w:pPr>
              <w:pStyle w:val="MDPI42tablebody"/>
              <w:jc w:val="left"/>
            </w:pPr>
            <w:r>
              <w:rPr>
                <w:sz w:val="15"/>
              </w:rPr>
              <w:t>All four learners increased words, sentences, and content during intervention; reported nonoverlap-of-all-pairs values ranged from 0.93 to 1.00. The three-point baseline limits causal inference.</w:t>
            </w:r>
          </w:p>
        </w:tc>
      </w:tr>
      <w:tr>
        <w:trPr>
          <w:cantSplit/>
        </w:trPr>
        <w:tc>
          <w:tcPr>
            <w:tcW w:type="dxa" w:w="650"/>
            <w:tcMar>
              <w:top w:w="30" w:type="dxa"/>
              <w:left w:w="60" w:type="dxa"/>
              <w:bottom w:w="30" w:type="dxa"/>
              <w:right w:w="60" w:type="dxa"/>
            </w:tcMar>
          </w:tcPr>
          <w:p>
            <w:pPr>
              <w:pStyle w:val="MDPI42tablebody"/>
              <w:jc w:val="left"/>
            </w:pPr>
            <w:r>
              <w:rPr>
                <w:sz w:val="15"/>
              </w:rPr>
              <w:t>[41]</w:t>
            </w:r>
          </w:p>
        </w:tc>
        <w:tc>
          <w:tcPr>
            <w:tcW w:type="dxa" w:w="1850"/>
            <w:tcMar>
              <w:top w:w="30" w:type="dxa"/>
              <w:left w:w="60" w:type="dxa"/>
              <w:bottom w:w="30" w:type="dxa"/>
              <w:right w:w="60" w:type="dxa"/>
            </w:tcMar>
          </w:tcPr>
          <w:p>
            <w:pPr>
              <w:pStyle w:val="MDPI42tablebody"/>
              <w:jc w:val="left"/>
            </w:pPr>
            <w:r>
              <w:rPr>
                <w:sz w:val="15"/>
              </w:rPr>
              <w:t>Bhola (2022); India</w:t>
            </w:r>
          </w:p>
        </w:tc>
        <w:tc>
          <w:tcPr>
            <w:tcW w:type="dxa" w:w="2000"/>
            <w:tcMar>
              <w:top w:w="30" w:type="dxa"/>
              <w:left w:w="60" w:type="dxa"/>
              <w:bottom w:w="30" w:type="dxa"/>
              <w:right w:w="60" w:type="dxa"/>
            </w:tcMar>
          </w:tcPr>
          <w:p>
            <w:pPr>
              <w:pStyle w:val="MDPI42tablebody"/>
              <w:jc w:val="left"/>
            </w:pPr>
            <w:r>
              <w:rPr>
                <w:sz w:val="15"/>
              </w:rPr>
              <w:t>Randomised parallel-group pretest–posttest study as reported</w:t>
            </w:r>
          </w:p>
        </w:tc>
        <w:tc>
          <w:tcPr>
            <w:tcW w:type="dxa" w:w="2200"/>
            <w:tcMar>
              <w:top w:w="30" w:type="dxa"/>
              <w:left w:w="60" w:type="dxa"/>
              <w:bottom w:w="30" w:type="dxa"/>
              <w:right w:w="60" w:type="dxa"/>
            </w:tcMar>
          </w:tcPr>
          <w:p>
            <w:pPr>
              <w:pStyle w:val="MDPI42tablebody"/>
              <w:jc w:val="left"/>
            </w:pPr>
            <w:r>
              <w:rPr>
                <w:sz w:val="15"/>
              </w:rPr>
              <w:t>20 learners with dyslexia, 6–12 years (10 per group)</w:t>
            </w:r>
          </w:p>
        </w:tc>
        <w:tc>
          <w:tcPr>
            <w:tcW w:type="dxa" w:w="2750"/>
            <w:tcMar>
              <w:top w:w="30" w:type="dxa"/>
              <w:left w:w="60" w:type="dxa"/>
              <w:bottom w:w="30" w:type="dxa"/>
              <w:right w:w="60" w:type="dxa"/>
            </w:tcMar>
          </w:tcPr>
          <w:p>
            <w:pPr>
              <w:pStyle w:val="MDPI42tablebody"/>
              <w:jc w:val="left"/>
            </w:pPr>
            <w:r>
              <w:rPr>
                <w:sz w:val="15"/>
              </w:rPr>
              <w:t>TTS-supported teaching for 4 months; conventional teaching</w:t>
            </w:r>
          </w:p>
        </w:tc>
        <w:tc>
          <w:tcPr>
            <w:tcW w:type="dxa" w:w="2000"/>
            <w:tcMar>
              <w:top w:w="30" w:type="dxa"/>
              <w:left w:w="60" w:type="dxa"/>
              <w:bottom w:w="30" w:type="dxa"/>
              <w:right w:w="60" w:type="dxa"/>
            </w:tcMar>
          </w:tcPr>
          <w:p>
            <w:pPr>
              <w:pStyle w:val="MDPI42tablebody"/>
              <w:jc w:val="left"/>
            </w:pPr>
            <w:r>
              <w:rPr>
                <w:sz w:val="15"/>
              </w:rPr>
              <w:t>Researcher-developed 50-item Hindi/English academic-achievement test</w:t>
            </w:r>
          </w:p>
        </w:tc>
        <w:tc>
          <w:tcPr>
            <w:tcW w:type="dxa" w:w="3850"/>
            <w:tcMar>
              <w:top w:w="30" w:type="dxa"/>
              <w:left w:w="60" w:type="dxa"/>
              <w:bottom w:w="30" w:type="dxa"/>
              <w:right w:w="60" w:type="dxa"/>
            </w:tcMar>
          </w:tcPr>
          <w:p>
            <w:pPr>
              <w:pStyle w:val="MDPI42tablebody"/>
              <w:jc w:val="left"/>
            </w:pPr>
            <w:r>
              <w:rPr>
                <w:sz w:val="15"/>
              </w:rPr>
              <w:t>Posttest mean 28 (SD 3.61) with TTS versus 24 (SD 4.52) with conventional teaching (t = 2.186, p &lt; 0.05). Randomisation, concealment, and outcome validation were not reported.</w:t>
            </w:r>
          </w:p>
        </w:tc>
      </w:tr>
      <w:tr>
        <w:trPr>
          <w:cantSplit/>
        </w:trPr>
        <w:tc>
          <w:tcPr>
            <w:tcW w:type="dxa" w:w="650"/>
            <w:tcMar>
              <w:top w:w="30" w:type="dxa"/>
              <w:left w:w="60" w:type="dxa"/>
              <w:bottom w:w="30" w:type="dxa"/>
              <w:right w:w="60" w:type="dxa"/>
            </w:tcMar>
          </w:tcPr>
          <w:p>
            <w:pPr>
              <w:pStyle w:val="MDPI42tablebody"/>
              <w:jc w:val="left"/>
            </w:pPr>
            <w:r>
              <w:rPr>
                <w:sz w:val="15"/>
              </w:rPr>
              <w:t>[42]</w:t>
            </w:r>
          </w:p>
        </w:tc>
        <w:tc>
          <w:tcPr>
            <w:tcW w:type="dxa" w:w="1850"/>
            <w:tcMar>
              <w:top w:w="30" w:type="dxa"/>
              <w:left w:w="60" w:type="dxa"/>
              <w:bottom w:w="30" w:type="dxa"/>
              <w:right w:w="60" w:type="dxa"/>
            </w:tcMar>
          </w:tcPr>
          <w:p>
            <w:pPr>
              <w:pStyle w:val="MDPI42tablebody"/>
              <w:jc w:val="left"/>
            </w:pPr>
            <w:r>
              <w:rPr>
                <w:sz w:val="15"/>
              </w:rPr>
              <w:t>Grunér et al. (2018); Sweden</w:t>
            </w:r>
          </w:p>
        </w:tc>
        <w:tc>
          <w:tcPr>
            <w:tcW w:type="dxa" w:w="2000"/>
            <w:tcMar>
              <w:top w:w="30" w:type="dxa"/>
              <w:left w:w="60" w:type="dxa"/>
              <w:bottom w:w="30" w:type="dxa"/>
              <w:right w:w="60" w:type="dxa"/>
            </w:tcMar>
          </w:tcPr>
          <w:p>
            <w:pPr>
              <w:pStyle w:val="MDPI42tablebody"/>
              <w:jc w:val="left"/>
            </w:pPr>
            <w:r>
              <w:rPr>
                <w:sz w:val="15"/>
              </w:rPr>
              <w:t>Randomised two-period crossover experiment</w:t>
            </w:r>
          </w:p>
        </w:tc>
        <w:tc>
          <w:tcPr>
            <w:tcW w:type="dxa" w:w="2200"/>
            <w:tcMar>
              <w:top w:w="30" w:type="dxa"/>
              <w:left w:w="60" w:type="dxa"/>
              <w:bottom w:w="30" w:type="dxa"/>
              <w:right w:w="60" w:type="dxa"/>
            </w:tcMar>
          </w:tcPr>
          <w:p>
            <w:pPr>
              <w:pStyle w:val="MDPI42tablebody"/>
              <w:jc w:val="left"/>
            </w:pPr>
            <w:r>
              <w:rPr>
                <w:sz w:val="15"/>
              </w:rPr>
              <w:t>49 schoolchildren with reading disability, grades 3–5 and 6–9</w:t>
            </w:r>
          </w:p>
        </w:tc>
        <w:tc>
          <w:tcPr>
            <w:tcW w:type="dxa" w:w="2750"/>
            <w:tcMar>
              <w:top w:w="30" w:type="dxa"/>
              <w:left w:w="60" w:type="dxa"/>
              <w:bottom w:w="30" w:type="dxa"/>
              <w:right w:w="60" w:type="dxa"/>
            </w:tcMar>
          </w:tcPr>
          <w:p>
            <w:pPr>
              <w:pStyle w:val="MDPI42tablebody"/>
              <w:jc w:val="left"/>
            </w:pPr>
            <w:r>
              <w:rPr>
                <w:sz w:val="15"/>
              </w:rPr>
              <w:t>Listening to a text with TTS versus reading the same text independently, with conditions switched between periods; inattention and hyperactivity symptoms rated with the Strengths and Difficulties Questionnaire (SDQ)</w:t>
            </w:r>
          </w:p>
        </w:tc>
        <w:tc>
          <w:tcPr>
            <w:tcW w:type="dxa" w:w="2000"/>
            <w:tcMar>
              <w:top w:w="30" w:type="dxa"/>
              <w:left w:w="60" w:type="dxa"/>
              <w:bottom w:w="30" w:type="dxa"/>
              <w:right w:w="60" w:type="dxa"/>
            </w:tcMar>
          </w:tcPr>
          <w:p>
            <w:pPr>
              <w:pStyle w:val="MDPI42tablebody"/>
              <w:jc w:val="left"/>
            </w:pPr>
            <w:r>
              <w:rPr>
                <w:sz w:val="15"/>
              </w:rPr>
              <w:t>Reading comprehension and reading rate; moderation by inattention/hyperactivity symptoms</w:t>
            </w:r>
          </w:p>
        </w:tc>
        <w:tc>
          <w:tcPr>
            <w:tcW w:type="dxa" w:w="3850"/>
            <w:tcMar>
              <w:top w:w="30" w:type="dxa"/>
              <w:left w:w="60" w:type="dxa"/>
              <w:bottom w:w="30" w:type="dxa"/>
              <w:right w:w="60" w:type="dxa"/>
            </w:tcMar>
          </w:tcPr>
          <w:p>
            <w:pPr>
              <w:pStyle w:val="MDPI42tablebody"/>
              <w:jc w:val="left"/>
            </w:pPr>
            <w:r>
              <w:rPr>
                <w:sz w:val="15"/>
              </w:rPr>
              <w:t>Reading rate improved with TTS in both grade groups and was not moderated by ADHD symptoms. Comprehension improved with TTS in grades 3–5 but not in grades 6–9; higher symptom scores were associated with less comprehension improvement in the younger group and greater improvement in the older group.</w:t>
            </w:r>
          </w:p>
        </w:tc>
      </w:tr>
      <w:tr>
        <w:trPr>
          <w:cantSplit/>
        </w:trPr>
        <w:tc>
          <w:tcPr>
            <w:tcW w:type="dxa" w:w="650"/>
            <w:tcMar>
              <w:top w:w="30" w:type="dxa"/>
              <w:left w:w="60" w:type="dxa"/>
              <w:bottom w:w="30" w:type="dxa"/>
              <w:right w:w="60" w:type="dxa"/>
            </w:tcMar>
          </w:tcPr>
          <w:p>
            <w:pPr>
              <w:pStyle w:val="MDPI42tablebody"/>
              <w:jc w:val="left"/>
            </w:pPr>
            <w:r>
              <w:rPr>
                <w:sz w:val="15"/>
              </w:rPr>
              <w:t>[43]</w:t>
            </w:r>
          </w:p>
        </w:tc>
        <w:tc>
          <w:tcPr>
            <w:tcW w:type="dxa" w:w="1850"/>
            <w:tcMar>
              <w:top w:w="30" w:type="dxa"/>
              <w:left w:w="60" w:type="dxa"/>
              <w:bottom w:w="30" w:type="dxa"/>
              <w:right w:w="60" w:type="dxa"/>
            </w:tcMar>
          </w:tcPr>
          <w:p>
            <w:pPr>
              <w:pStyle w:val="MDPI42tablebody"/>
              <w:jc w:val="left"/>
            </w:pPr>
            <w:r>
              <w:rPr>
                <w:sz w:val="15"/>
              </w:rPr>
              <w:t>Svensson et al. (2021); Sweden</w:t>
            </w:r>
          </w:p>
        </w:tc>
        <w:tc>
          <w:tcPr>
            <w:tcW w:type="dxa" w:w="2000"/>
            <w:tcMar>
              <w:top w:w="30" w:type="dxa"/>
              <w:left w:w="60" w:type="dxa"/>
              <w:bottom w:w="30" w:type="dxa"/>
              <w:right w:w="60" w:type="dxa"/>
            </w:tcMar>
          </w:tcPr>
          <w:p>
            <w:pPr>
              <w:pStyle w:val="MDPI42tablebody"/>
              <w:jc w:val="left"/>
            </w:pPr>
            <w:r>
              <w:rPr>
                <w:sz w:val="15"/>
              </w:rPr>
              <w:t>Nonrandomised controlled longitudinal study</w:t>
            </w:r>
          </w:p>
        </w:tc>
        <w:tc>
          <w:tcPr>
            <w:tcW w:type="dxa" w:w="2200"/>
            <w:tcMar>
              <w:top w:w="30" w:type="dxa"/>
              <w:left w:w="60" w:type="dxa"/>
              <w:bottom w:w="30" w:type="dxa"/>
              <w:right w:w="60" w:type="dxa"/>
            </w:tcMar>
          </w:tcPr>
          <w:p>
            <w:pPr>
              <w:pStyle w:val="MDPI42tablebody"/>
              <w:jc w:val="left"/>
            </w:pPr>
            <w:r>
              <w:rPr>
                <w:sz w:val="15"/>
              </w:rPr>
              <w:t>149 students with severe reading/writing difficulties in grades 4, 8, or high school</w:t>
            </w:r>
          </w:p>
        </w:tc>
        <w:tc>
          <w:tcPr>
            <w:tcW w:type="dxa" w:w="2750"/>
            <w:tcMar>
              <w:top w:w="30" w:type="dxa"/>
              <w:left w:w="60" w:type="dxa"/>
              <w:bottom w:w="30" w:type="dxa"/>
              <w:right w:w="60" w:type="dxa"/>
            </w:tcMar>
          </w:tcPr>
          <w:p>
            <w:pPr>
              <w:pStyle w:val="MDPI42tablebody"/>
              <w:jc w:val="left"/>
            </w:pPr>
            <w:r>
              <w:rPr>
                <w:sz w:val="15"/>
              </w:rPr>
              <w:t>Twenty-four sessions using TTS and STT applications; treatment as usual</w:t>
            </w:r>
          </w:p>
        </w:tc>
        <w:tc>
          <w:tcPr>
            <w:tcW w:type="dxa" w:w="2000"/>
            <w:tcMar>
              <w:top w:w="30" w:type="dxa"/>
              <w:left w:w="60" w:type="dxa"/>
              <w:bottom w:w="30" w:type="dxa"/>
              <w:right w:w="60" w:type="dxa"/>
            </w:tcMar>
          </w:tcPr>
          <w:p>
            <w:pPr>
              <w:pStyle w:val="MDPI42tablebody"/>
              <w:jc w:val="left"/>
            </w:pPr>
            <w:r>
              <w:rPr>
                <w:sz w:val="15"/>
              </w:rPr>
              <w:t>Reading, listening comprehension, motivation, and related standardised measures</w:t>
            </w:r>
          </w:p>
        </w:tc>
        <w:tc>
          <w:tcPr>
            <w:tcW w:type="dxa" w:w="3850"/>
            <w:tcMar>
              <w:top w:w="30" w:type="dxa"/>
              <w:left w:w="60" w:type="dxa"/>
              <w:bottom w:w="30" w:type="dxa"/>
              <w:right w:w="60" w:type="dxa"/>
            </w:tcMar>
          </w:tcPr>
          <w:p>
            <w:pPr>
              <w:pStyle w:val="MDPI42tablebody"/>
              <w:jc w:val="left"/>
            </w:pPr>
            <w:r>
              <w:rPr>
                <w:sz w:val="15"/>
              </w:rPr>
              <w:t>Both groups improved over time, but no overall between-group superiority was detected after intervention or at 1-year follow-up. Approximately 30% of participants were unavailable at the final assessment.</w:t>
            </w:r>
          </w:p>
        </w:tc>
      </w:tr>
      <w:tr>
        <w:trPr>
          <w:cantSplit/>
        </w:trPr>
        <w:tc>
          <w:tcPr>
            <w:tcW w:type="dxa" w:w="650"/>
            <w:tcMar>
              <w:top w:w="30" w:type="dxa"/>
              <w:left w:w="60" w:type="dxa"/>
              <w:bottom w:w="30" w:type="dxa"/>
              <w:right w:w="60" w:type="dxa"/>
            </w:tcMar>
          </w:tcPr>
          <w:p>
            <w:pPr>
              <w:pStyle w:val="MDPI42tablebody"/>
              <w:jc w:val="left"/>
            </w:pPr>
            <w:r>
              <w:rPr>
                <w:sz w:val="15"/>
              </w:rPr>
              <w:t>[44]</w:t>
            </w:r>
          </w:p>
        </w:tc>
        <w:tc>
          <w:tcPr>
            <w:tcW w:type="dxa" w:w="1850"/>
            <w:tcMar>
              <w:top w:w="30" w:type="dxa"/>
              <w:left w:w="60" w:type="dxa"/>
              <w:bottom w:w="30" w:type="dxa"/>
              <w:right w:w="60" w:type="dxa"/>
            </w:tcMar>
          </w:tcPr>
          <w:p>
            <w:pPr>
              <w:pStyle w:val="MDPI42tablebody"/>
              <w:jc w:val="left"/>
            </w:pPr>
            <w:r>
              <w:rPr>
                <w:sz w:val="15"/>
              </w:rPr>
              <w:t>Keelor et al. (2023); USA</w:t>
            </w:r>
          </w:p>
        </w:tc>
        <w:tc>
          <w:tcPr>
            <w:tcW w:type="dxa" w:w="2000"/>
            <w:tcMar>
              <w:top w:w="30" w:type="dxa"/>
              <w:left w:w="60" w:type="dxa"/>
              <w:bottom w:w="30" w:type="dxa"/>
              <w:right w:w="60" w:type="dxa"/>
            </w:tcMar>
          </w:tcPr>
          <w:p>
            <w:pPr>
              <w:pStyle w:val="MDPI42tablebody"/>
              <w:jc w:val="left"/>
            </w:pPr>
            <w:r>
              <w:rPr>
                <w:sz w:val="15"/>
              </w:rPr>
              <w:t>Counterbalanced within-participant five-condition experiment</w:t>
            </w:r>
          </w:p>
        </w:tc>
        <w:tc>
          <w:tcPr>
            <w:tcW w:type="dxa" w:w="2200"/>
            <w:tcMar>
              <w:top w:w="30" w:type="dxa"/>
              <w:left w:w="60" w:type="dxa"/>
              <w:bottom w:w="30" w:type="dxa"/>
              <w:right w:w="60" w:type="dxa"/>
            </w:tcMar>
          </w:tcPr>
          <w:p>
            <w:pPr>
              <w:pStyle w:val="MDPI42tablebody"/>
              <w:jc w:val="left"/>
            </w:pPr>
            <w:r>
              <w:rPr>
                <w:sz w:val="15"/>
              </w:rPr>
              <w:t>29 learners with reading difficulties, 8–12 years</w:t>
            </w:r>
          </w:p>
        </w:tc>
        <w:tc>
          <w:tcPr>
            <w:tcW w:type="dxa" w:w="2750"/>
            <w:tcMar>
              <w:top w:w="30" w:type="dxa"/>
              <w:left w:w="60" w:type="dxa"/>
              <w:bottom w:w="30" w:type="dxa"/>
              <w:right w:w="60" w:type="dxa"/>
            </w:tcMar>
          </w:tcPr>
          <w:p>
            <w:pPr>
              <w:pStyle w:val="MDPI42tablebody"/>
              <w:jc w:val="left"/>
            </w:pPr>
            <w:r>
              <w:rPr>
                <w:sz w:val="15"/>
              </w:rPr>
              <w:t>Silent reading, oral reading, listening only, TTS without highlighting, and TTS with highlighting</w:t>
            </w:r>
          </w:p>
        </w:tc>
        <w:tc>
          <w:tcPr>
            <w:tcW w:type="dxa" w:w="2000"/>
            <w:tcMar>
              <w:top w:w="30" w:type="dxa"/>
              <w:left w:w="60" w:type="dxa"/>
              <w:bottom w:w="30" w:type="dxa"/>
              <w:right w:w="60" w:type="dxa"/>
            </w:tcMar>
          </w:tcPr>
          <w:p>
            <w:pPr>
              <w:pStyle w:val="MDPI42tablebody"/>
              <w:jc w:val="left"/>
            </w:pPr>
            <w:r>
              <w:rPr>
                <w:sz w:val="15"/>
              </w:rPr>
              <w:t>Multiple-choice reading comprehension</w:t>
            </w:r>
          </w:p>
        </w:tc>
        <w:tc>
          <w:tcPr>
            <w:tcW w:type="dxa" w:w="3850"/>
            <w:tcMar>
              <w:top w:w="30" w:type="dxa"/>
              <w:left w:w="60" w:type="dxa"/>
              <w:bottom w:w="30" w:type="dxa"/>
              <w:right w:w="60" w:type="dxa"/>
            </w:tcMar>
          </w:tcPr>
          <w:p>
            <w:pPr>
              <w:pStyle w:val="MDPI42tablebody"/>
              <w:jc w:val="left"/>
            </w:pPr>
            <w:r>
              <w:rPr>
                <w:sz w:val="15"/>
              </w:rPr>
              <w:t>Both TTS conditions produced higher comprehension than silent reading; synchronised highlighting did not improve comprehension beyond TTS alone. Only the dyslexia-only subgroup had a statistically significant within-subgroup result; between-profile heterogeneity was not established.</w:t>
            </w:r>
          </w:p>
        </w:tc>
      </w:tr>
      <w:tr>
        <w:trPr>
          <w:cantSplit/>
        </w:trPr>
        <w:tc>
          <w:tcPr>
            <w:tcW w:type="dxa" w:w="650"/>
            <w:tcMar>
              <w:top w:w="30" w:type="dxa"/>
              <w:left w:w="60" w:type="dxa"/>
              <w:bottom w:w="30" w:type="dxa"/>
              <w:right w:w="60" w:type="dxa"/>
            </w:tcMar>
          </w:tcPr>
          <w:p>
            <w:pPr>
              <w:pStyle w:val="MDPI42tablebody"/>
              <w:jc w:val="left"/>
            </w:pPr>
            <w:r>
              <w:rPr>
                <w:sz w:val="15"/>
              </w:rPr>
              <w:t>[45]</w:t>
            </w:r>
          </w:p>
        </w:tc>
        <w:tc>
          <w:tcPr>
            <w:tcW w:type="dxa" w:w="1850"/>
            <w:tcMar>
              <w:top w:w="30" w:type="dxa"/>
              <w:left w:w="60" w:type="dxa"/>
              <w:bottom w:w="30" w:type="dxa"/>
              <w:right w:w="60" w:type="dxa"/>
            </w:tcMar>
          </w:tcPr>
          <w:p>
            <w:pPr>
              <w:pStyle w:val="MDPI42tablebody"/>
              <w:jc w:val="left"/>
            </w:pPr>
            <w:r>
              <w:rPr>
                <w:sz w:val="15"/>
              </w:rPr>
              <w:t>Ebajay and Malabo (2026); Philippines</w:t>
            </w:r>
          </w:p>
        </w:tc>
        <w:tc>
          <w:tcPr>
            <w:tcW w:type="dxa" w:w="2000"/>
            <w:tcMar>
              <w:top w:w="30" w:type="dxa"/>
              <w:left w:w="60" w:type="dxa"/>
              <w:bottom w:w="30" w:type="dxa"/>
              <w:right w:w="60" w:type="dxa"/>
            </w:tcMar>
          </w:tcPr>
          <w:p>
            <w:pPr>
              <w:pStyle w:val="MDPI42tablebody"/>
              <w:jc w:val="left"/>
            </w:pPr>
            <w:r>
              <w:rPr>
                <w:sz w:val="15"/>
              </w:rPr>
              <w:t>Non-equivalent matched-group pretest–posttest study</w:t>
            </w:r>
          </w:p>
        </w:tc>
        <w:tc>
          <w:tcPr>
            <w:tcW w:type="dxa" w:w="2200"/>
            <w:tcMar>
              <w:top w:w="30" w:type="dxa"/>
              <w:left w:w="60" w:type="dxa"/>
              <w:bottom w:w="30" w:type="dxa"/>
              <w:right w:w="60" w:type="dxa"/>
            </w:tcMar>
          </w:tcPr>
          <w:p>
            <w:pPr>
              <w:pStyle w:val="MDPI42tablebody"/>
              <w:jc w:val="left"/>
            </w:pPr>
            <w:r>
              <w:rPr>
                <w:sz w:val="15"/>
              </w:rPr>
              <w:t>20 students with specific learning disabilities in grades 1–5 (10 per group)</w:t>
            </w:r>
          </w:p>
        </w:tc>
        <w:tc>
          <w:tcPr>
            <w:tcW w:type="dxa" w:w="2750"/>
            <w:tcMar>
              <w:top w:w="30" w:type="dxa"/>
              <w:left w:w="60" w:type="dxa"/>
              <w:bottom w:w="30" w:type="dxa"/>
              <w:right w:w="60" w:type="dxa"/>
            </w:tcMar>
          </w:tcPr>
          <w:p>
            <w:pPr>
              <w:pStyle w:val="MDPI42tablebody"/>
              <w:jc w:val="left"/>
            </w:pPr>
            <w:r>
              <w:rPr>
                <w:sz w:val="15"/>
              </w:rPr>
              <w:t>NaturalReader-assisted mathematics instruction for 4 weeks; conventional instruction</w:t>
            </w:r>
          </w:p>
        </w:tc>
        <w:tc>
          <w:tcPr>
            <w:tcW w:type="dxa" w:w="2000"/>
            <w:tcMar>
              <w:top w:w="30" w:type="dxa"/>
              <w:left w:w="60" w:type="dxa"/>
              <w:bottom w:w="30" w:type="dxa"/>
              <w:right w:w="60" w:type="dxa"/>
            </w:tcMar>
          </w:tcPr>
          <w:p>
            <w:pPr>
              <w:pStyle w:val="MDPI42tablebody"/>
              <w:jc w:val="left"/>
            </w:pPr>
            <w:r>
              <w:rPr>
                <w:sz w:val="15"/>
              </w:rPr>
              <w:t>Researcher-reported mathematics achievement</w:t>
            </w:r>
          </w:p>
        </w:tc>
        <w:tc>
          <w:tcPr>
            <w:tcW w:type="dxa" w:w="3850"/>
            <w:tcMar>
              <w:top w:w="30" w:type="dxa"/>
              <w:left w:w="60" w:type="dxa"/>
              <w:bottom w:w="30" w:type="dxa"/>
              <w:right w:w="60" w:type="dxa"/>
            </w:tcMar>
          </w:tcPr>
          <w:p>
            <w:pPr>
              <w:pStyle w:val="MDPI42tablebody"/>
              <w:jc w:val="left"/>
            </w:pPr>
            <w:r>
              <w:rPr>
                <w:sz w:val="15"/>
              </w:rPr>
              <w:t>The adjusted posttest group effect was F(1,17) = 42.226, p &lt; 0.001, partial η² = 0.713. The article reports inconsistent posttest SDs for the TTS group, so those SDs were not reproduced here.</w:t>
            </w:r>
          </w:p>
        </w:tc>
      </w:tr>
      <w:tr>
        <w:trPr>
          <w:cantSplit/>
        </w:trPr>
        <w:tc>
          <w:tcPr>
            <w:tcW w:type="dxa" w:w="650"/>
            <w:tcMar>
              <w:top w:w="30" w:type="dxa"/>
              <w:left w:w="60" w:type="dxa"/>
              <w:bottom w:w="30" w:type="dxa"/>
              <w:right w:w="60" w:type="dxa"/>
            </w:tcMar>
          </w:tcPr>
          <w:p>
            <w:pPr>
              <w:pStyle w:val="MDPI42tablebody"/>
              <w:jc w:val="left"/>
            </w:pPr>
            <w:r>
              <w:rPr>
                <w:sz w:val="15"/>
              </w:rPr>
              <w:t>[46]</w:t>
            </w:r>
          </w:p>
        </w:tc>
        <w:tc>
          <w:tcPr>
            <w:tcW w:type="dxa" w:w="1850"/>
            <w:tcMar>
              <w:top w:w="30" w:type="dxa"/>
              <w:left w:w="60" w:type="dxa"/>
              <w:bottom w:w="30" w:type="dxa"/>
              <w:right w:w="60" w:type="dxa"/>
            </w:tcMar>
          </w:tcPr>
          <w:p>
            <w:pPr>
              <w:pStyle w:val="MDPI42tablebody"/>
              <w:jc w:val="left"/>
            </w:pPr>
            <w:r>
              <w:rPr>
                <w:sz w:val="15"/>
              </w:rPr>
              <w:t>Chen et al. (2026); Taiwan</w:t>
            </w:r>
          </w:p>
        </w:tc>
        <w:tc>
          <w:tcPr>
            <w:tcW w:type="dxa" w:w="2000"/>
            <w:tcMar>
              <w:top w:w="30" w:type="dxa"/>
              <w:left w:w="60" w:type="dxa"/>
              <w:bottom w:w="30" w:type="dxa"/>
              <w:right w:w="60" w:type="dxa"/>
            </w:tcMar>
          </w:tcPr>
          <w:p>
            <w:pPr>
              <w:pStyle w:val="MDPI42tablebody"/>
              <w:jc w:val="left"/>
            </w:pPr>
            <w:r>
              <w:rPr>
                <w:sz w:val="15"/>
              </w:rPr>
              <w:t>Counterbalanced 3 × 2 mixed-factorial experiment</w:t>
            </w:r>
          </w:p>
        </w:tc>
        <w:tc>
          <w:tcPr>
            <w:tcW w:type="dxa" w:w="2200"/>
            <w:tcMar>
              <w:top w:w="30" w:type="dxa"/>
              <w:left w:w="60" w:type="dxa"/>
              <w:bottom w:w="30" w:type="dxa"/>
              <w:right w:w="60" w:type="dxa"/>
            </w:tcMar>
          </w:tcPr>
          <w:p>
            <w:pPr>
              <w:pStyle w:val="MDPI42tablebody"/>
              <w:jc w:val="left"/>
            </w:pPr>
            <w:r>
              <w:rPr>
                <w:sz w:val="15"/>
              </w:rPr>
              <w:t>59 junior-high students: dyslexia n = 19, ADHD n = 19, typical readers n = 21; eye-tracking analysis n = 47</w:t>
            </w:r>
          </w:p>
        </w:tc>
        <w:tc>
          <w:tcPr>
            <w:tcW w:type="dxa" w:w="2750"/>
            <w:tcMar>
              <w:top w:w="30" w:type="dxa"/>
              <w:left w:w="60" w:type="dxa"/>
              <w:bottom w:w="30" w:type="dxa"/>
              <w:right w:w="60" w:type="dxa"/>
            </w:tcMar>
          </w:tcPr>
          <w:p>
            <w:pPr>
              <w:pStyle w:val="MDPI42tablebody"/>
              <w:jc w:val="left"/>
            </w:pPr>
            <w:r>
              <w:rPr>
                <w:sz w:val="15"/>
              </w:rPr>
              <w:t>Synchronised TTS plus displayed text versus silent reading</w:t>
            </w:r>
          </w:p>
        </w:tc>
        <w:tc>
          <w:tcPr>
            <w:tcW w:type="dxa" w:w="2000"/>
            <w:tcMar>
              <w:top w:w="30" w:type="dxa"/>
              <w:left w:w="60" w:type="dxa"/>
              <w:bottom w:w="30" w:type="dxa"/>
              <w:right w:w="60" w:type="dxa"/>
            </w:tcMar>
          </w:tcPr>
          <w:p>
            <w:pPr>
              <w:pStyle w:val="MDPI42tablebody"/>
              <w:jc w:val="left"/>
            </w:pPr>
            <w:r>
              <w:rPr>
                <w:sz w:val="15"/>
              </w:rPr>
              <w:t>Reading comprehension and eye-tracking measures</w:t>
            </w:r>
          </w:p>
        </w:tc>
        <w:tc>
          <w:tcPr>
            <w:tcW w:type="dxa" w:w="3850"/>
            <w:tcMar>
              <w:top w:w="30" w:type="dxa"/>
              <w:left w:w="60" w:type="dxa"/>
              <w:bottom w:w="30" w:type="dxa"/>
              <w:right w:w="60" w:type="dxa"/>
            </w:tcMar>
          </w:tcPr>
          <w:p>
            <w:pPr>
              <w:pStyle w:val="MDPI42tablebody"/>
              <w:jc w:val="left"/>
            </w:pPr>
            <w:r>
              <w:rPr>
                <w:sz w:val="15"/>
              </w:rPr>
              <w:t>The group-by-condition interaction was F(2,56) = 4.29, p &lt; 0.05, η² = 0.13. The ADHD group improved with TTS, F(1,18) = 7.00, p &lt; 0.05, η² = 0.28; the dyslexia group maintained comprehension with lower reading time/effort, and typical readers had no comprehension gain.</w:t>
            </w:r>
          </w:p>
        </w:tc>
      </w:tr>
      <w:tr>
        <w:trPr>
          <w:cantSplit/>
        </w:trPr>
        <w:tc>
          <w:tcPr>
            <w:tcW w:type="dxa" w:w="650"/>
            <w:tcMar>
              <w:top w:w="30" w:type="dxa"/>
              <w:left w:w="60" w:type="dxa"/>
              <w:bottom w:w="30" w:type="dxa"/>
              <w:right w:w="60" w:type="dxa"/>
            </w:tcMar>
          </w:tcPr>
          <w:p>
            <w:pPr>
              <w:pStyle w:val="MDPI42tablebody"/>
              <w:jc w:val="left"/>
            </w:pPr>
            <w:r>
              <w:rPr>
                <w:sz w:val="15"/>
              </w:rPr>
              <w:t>[47]</w:t>
            </w:r>
          </w:p>
        </w:tc>
        <w:tc>
          <w:tcPr>
            <w:tcW w:type="dxa" w:w="1850"/>
            <w:tcMar>
              <w:top w:w="30" w:type="dxa"/>
              <w:left w:w="60" w:type="dxa"/>
              <w:bottom w:w="30" w:type="dxa"/>
              <w:right w:w="60" w:type="dxa"/>
            </w:tcMar>
          </w:tcPr>
          <w:p>
            <w:pPr>
              <w:pStyle w:val="MDPI42tablebody"/>
              <w:jc w:val="left"/>
            </w:pPr>
            <w:r>
              <w:rPr>
                <w:sz w:val="15"/>
              </w:rPr>
              <w:t>Bonifacci et al. (2022); Italy</w:t>
            </w:r>
          </w:p>
        </w:tc>
        <w:tc>
          <w:tcPr>
            <w:tcW w:type="dxa" w:w="2000"/>
            <w:tcMar>
              <w:top w:w="30" w:type="dxa"/>
              <w:left w:w="60" w:type="dxa"/>
              <w:bottom w:w="30" w:type="dxa"/>
              <w:right w:w="60" w:type="dxa"/>
            </w:tcMar>
          </w:tcPr>
          <w:p>
            <w:pPr>
              <w:pStyle w:val="MDPI42tablebody"/>
              <w:jc w:val="left"/>
            </w:pPr>
            <w:r>
              <w:rPr>
                <w:sz w:val="15"/>
              </w:rPr>
              <w:t>Within-participant repeated-measures experiment</w:t>
            </w:r>
          </w:p>
        </w:tc>
        <w:tc>
          <w:tcPr>
            <w:tcW w:type="dxa" w:w="2200"/>
            <w:tcMar>
              <w:top w:w="30" w:type="dxa"/>
              <w:left w:w="60" w:type="dxa"/>
              <w:bottom w:w="30" w:type="dxa"/>
              <w:right w:w="60" w:type="dxa"/>
            </w:tcMar>
          </w:tcPr>
          <w:p>
            <w:pPr>
              <w:pStyle w:val="MDPI42tablebody"/>
              <w:jc w:val="left"/>
            </w:pPr>
            <w:r>
              <w:rPr>
                <w:sz w:val="15"/>
              </w:rPr>
              <w:t>70 school-age students: dyslexia n = 20; typical development n = 50</w:t>
            </w:r>
          </w:p>
        </w:tc>
        <w:tc>
          <w:tcPr>
            <w:tcW w:type="dxa" w:w="2750"/>
            <w:tcMar>
              <w:top w:w="30" w:type="dxa"/>
              <w:left w:w="60" w:type="dxa"/>
              <w:bottom w:w="30" w:type="dxa"/>
              <w:right w:w="60" w:type="dxa"/>
            </w:tcMar>
          </w:tcPr>
          <w:p>
            <w:pPr>
              <w:pStyle w:val="MDPI42tablebody"/>
              <w:jc w:val="left"/>
            </w:pPr>
            <w:r>
              <w:rPr>
                <w:sz w:val="15"/>
              </w:rPr>
              <w:t>Computer-presented texts read in two modalities: self-paced silent reading versus TTS reading</w:t>
            </w:r>
          </w:p>
        </w:tc>
        <w:tc>
          <w:tcPr>
            <w:tcW w:type="dxa" w:w="2000"/>
            <w:tcMar>
              <w:top w:w="30" w:type="dxa"/>
              <w:left w:w="60" w:type="dxa"/>
              <w:bottom w:w="30" w:type="dxa"/>
              <w:right w:w="60" w:type="dxa"/>
            </w:tcMar>
          </w:tcPr>
          <w:p>
            <w:pPr>
              <w:pStyle w:val="MDPI42tablebody"/>
              <w:jc w:val="left"/>
            </w:pPr>
            <w:r>
              <w:rPr>
                <w:sz w:val="15"/>
              </w:rPr>
              <w:t>Reading comprehension and probe-reported mind wandering</w:t>
            </w:r>
          </w:p>
        </w:tc>
        <w:tc>
          <w:tcPr>
            <w:tcW w:type="dxa" w:w="3850"/>
            <w:tcMar>
              <w:top w:w="30" w:type="dxa"/>
              <w:left w:w="60" w:type="dxa"/>
              <w:bottom w:w="30" w:type="dxa"/>
              <w:right w:w="60" w:type="dxa"/>
            </w:tcMar>
          </w:tcPr>
          <w:p>
            <w:pPr>
              <w:pStyle w:val="MDPI42tablebody"/>
              <w:jc w:val="left"/>
            </w:pPr>
            <w:r>
              <w:rPr>
                <w:sz w:val="15"/>
              </w:rPr>
              <w:t>Both groups showed higher comprehension and lower rates of mind wandering in the TTS condition, and students with dyslexia were significantly more on task with TTS. Baseline mind-wandering rates did not differ between groups. The participant age range is not stated in the published article and is recorded as not reported.</w:t>
            </w:r>
          </w:p>
        </w:tc>
      </w:tr>
      <w:tr>
        <w:trPr>
          <w:cantSplit/>
        </w:trPr>
        <w:tc>
          <w:tcPr>
            <w:tcW w:type="dxa" w:w="650"/>
            <w:tcMar>
              <w:top w:w="30" w:type="dxa"/>
              <w:left w:w="60" w:type="dxa"/>
              <w:bottom w:w="30" w:type="dxa"/>
              <w:right w:w="60" w:type="dxa"/>
            </w:tcMar>
          </w:tcPr>
          <w:p>
            <w:pPr>
              <w:pStyle w:val="MDPI42tablebody"/>
              <w:jc w:val="left"/>
            </w:pPr>
            <w:r>
              <w:rPr>
                <w:sz w:val="15"/>
              </w:rPr>
              <w:t>[48]</w:t>
            </w:r>
          </w:p>
        </w:tc>
        <w:tc>
          <w:tcPr>
            <w:tcW w:type="dxa" w:w="1850"/>
            <w:tcMar>
              <w:top w:w="30" w:type="dxa"/>
              <w:left w:w="60" w:type="dxa"/>
              <w:bottom w:w="30" w:type="dxa"/>
              <w:right w:w="60" w:type="dxa"/>
            </w:tcMar>
          </w:tcPr>
          <w:p>
            <w:pPr>
              <w:pStyle w:val="MDPI42tablebody"/>
              <w:jc w:val="left"/>
            </w:pPr>
            <w:r>
              <w:rPr>
                <w:sz w:val="15"/>
              </w:rPr>
              <w:t>Silvestri et al. (2022); Canada</w:t>
            </w:r>
          </w:p>
        </w:tc>
        <w:tc>
          <w:tcPr>
            <w:tcW w:type="dxa" w:w="2000"/>
            <w:tcMar>
              <w:top w:w="30" w:type="dxa"/>
              <w:left w:w="60" w:type="dxa"/>
              <w:bottom w:w="30" w:type="dxa"/>
              <w:right w:w="60" w:type="dxa"/>
            </w:tcMar>
          </w:tcPr>
          <w:p>
            <w:pPr>
              <w:pStyle w:val="MDPI42tablebody"/>
              <w:jc w:val="left"/>
            </w:pPr>
            <w:r>
              <w:rPr>
                <w:sz w:val="15"/>
              </w:rPr>
              <w:t>Within-participant counterbalanced comparison</w:t>
            </w:r>
          </w:p>
        </w:tc>
        <w:tc>
          <w:tcPr>
            <w:tcW w:type="dxa" w:w="2200"/>
            <w:tcMar>
              <w:top w:w="30" w:type="dxa"/>
              <w:left w:w="60" w:type="dxa"/>
              <w:bottom w:w="30" w:type="dxa"/>
              <w:right w:w="60" w:type="dxa"/>
            </w:tcMar>
          </w:tcPr>
          <w:p>
            <w:pPr>
              <w:pStyle w:val="MDPI42tablebody"/>
              <w:jc w:val="left"/>
            </w:pPr>
            <w:r>
              <w:rPr>
                <w:sz w:val="15"/>
              </w:rPr>
              <w:t>94 grade-8 students with reading difficulties</w:t>
            </w:r>
          </w:p>
        </w:tc>
        <w:tc>
          <w:tcPr>
            <w:tcW w:type="dxa" w:w="2750"/>
            <w:tcMar>
              <w:top w:w="30" w:type="dxa"/>
              <w:left w:w="60" w:type="dxa"/>
              <w:bottom w:w="30" w:type="dxa"/>
              <w:right w:w="60" w:type="dxa"/>
            </w:tcMar>
          </w:tcPr>
          <w:p>
            <w:pPr>
              <w:pStyle w:val="MDPI42tablebody"/>
              <w:jc w:val="left"/>
            </w:pPr>
            <w:r>
              <w:rPr>
                <w:sz w:val="15"/>
              </w:rPr>
              <w:t>Reading with versus without text-to-speech; participants classified into Simple View of Reading cognitive profiles</w:t>
            </w:r>
          </w:p>
        </w:tc>
        <w:tc>
          <w:tcPr>
            <w:tcW w:type="dxa" w:w="2000"/>
            <w:tcMar>
              <w:top w:w="30" w:type="dxa"/>
              <w:left w:w="60" w:type="dxa"/>
              <w:bottom w:w="30" w:type="dxa"/>
              <w:right w:w="60" w:type="dxa"/>
            </w:tcMar>
          </w:tcPr>
          <w:p>
            <w:pPr>
              <w:pStyle w:val="MDPI42tablebody"/>
              <w:jc w:val="left"/>
            </w:pPr>
            <w:r>
              <w:rPr>
                <w:sz w:val="15"/>
              </w:rPr>
              <w:t>Reading comprehension, analysed by cognitive profile</w:t>
            </w:r>
          </w:p>
        </w:tc>
        <w:tc>
          <w:tcPr>
            <w:tcW w:type="dxa" w:w="3850"/>
            <w:tcMar>
              <w:top w:w="30" w:type="dxa"/>
              <w:left w:w="60" w:type="dxa"/>
              <w:bottom w:w="30" w:type="dxa"/>
              <w:right w:w="60" w:type="dxa"/>
            </w:tcMar>
          </w:tcPr>
          <w:p>
            <w:pPr>
              <w:pStyle w:val="MDPI42tablebody"/>
              <w:jc w:val="left"/>
            </w:pPr>
            <w:r>
              <w:rPr>
                <w:sz w:val="15"/>
              </w:rPr>
              <w:t>Only students with a dyslexic profile, whose listening comprehension exceeded their decoding skill, had a statistically significant within-profile comprehension gain with TTS, reported as a 1.58-point grade-equivalent score difference (not 1.58 years of learning). The remaining profiles did not have statistically significant within-profile gains; between-profile heterogeneity was not established. A corrigendum to this article was published in 2021.</w:t>
            </w:r>
          </w:p>
        </w:tc>
      </w:tr>
      <w:tr>
        <w:trPr>
          <w:cantSplit/>
        </w:trPr>
        <w:tc>
          <w:tcPr>
            <w:tcW w:type="dxa" w:w="650"/>
            <w:tcMar>
              <w:top w:w="30" w:type="dxa"/>
              <w:left w:w="60" w:type="dxa"/>
              <w:bottom w:w="30" w:type="dxa"/>
              <w:right w:w="60" w:type="dxa"/>
            </w:tcMar>
          </w:tcPr>
          <w:p>
            <w:pPr>
              <w:pStyle w:val="MDPI42tablebody"/>
              <w:jc w:val="left"/>
            </w:pPr>
            <w:r>
              <w:rPr>
                <w:sz w:val="15"/>
              </w:rPr>
              <w:t>[49]</w:t>
            </w:r>
          </w:p>
        </w:tc>
        <w:tc>
          <w:tcPr>
            <w:tcW w:type="dxa" w:w="1850"/>
            <w:tcMar>
              <w:top w:w="30" w:type="dxa"/>
              <w:left w:w="60" w:type="dxa"/>
              <w:bottom w:w="30" w:type="dxa"/>
              <w:right w:w="60" w:type="dxa"/>
            </w:tcMar>
          </w:tcPr>
          <w:p>
            <w:pPr>
              <w:pStyle w:val="MDPI42tablebody"/>
              <w:jc w:val="left"/>
            </w:pPr>
            <w:r>
              <w:rPr>
                <w:sz w:val="15"/>
              </w:rPr>
              <w:t>Young et al. (2019); USA</w:t>
            </w:r>
          </w:p>
        </w:tc>
        <w:tc>
          <w:tcPr>
            <w:tcW w:type="dxa" w:w="2000"/>
            <w:tcMar>
              <w:top w:w="30" w:type="dxa"/>
              <w:left w:w="60" w:type="dxa"/>
              <w:bottom w:w="30" w:type="dxa"/>
              <w:right w:w="60" w:type="dxa"/>
            </w:tcMar>
          </w:tcPr>
          <w:p>
            <w:pPr>
              <w:pStyle w:val="MDPI42tablebody"/>
              <w:jc w:val="left"/>
            </w:pPr>
            <w:r>
              <w:rPr>
                <w:sz w:val="15"/>
              </w:rPr>
              <w:t>A–B–A–B withdrawal single-case study</w:t>
            </w:r>
          </w:p>
        </w:tc>
        <w:tc>
          <w:tcPr>
            <w:tcW w:type="dxa" w:w="2200"/>
            <w:tcMar>
              <w:top w:w="30" w:type="dxa"/>
              <w:left w:w="60" w:type="dxa"/>
              <w:bottom w:w="30" w:type="dxa"/>
              <w:right w:w="60" w:type="dxa"/>
            </w:tcMar>
          </w:tcPr>
          <w:p>
            <w:pPr>
              <w:pStyle w:val="MDPI42tablebody"/>
              <w:jc w:val="left"/>
            </w:pPr>
            <w:r>
              <w:rPr>
                <w:sz w:val="15"/>
              </w:rPr>
              <w:t>4 secondary students with learning disabilities</w:t>
            </w:r>
          </w:p>
        </w:tc>
        <w:tc>
          <w:tcPr>
            <w:tcW w:type="dxa" w:w="2750"/>
            <w:tcMar>
              <w:top w:w="30" w:type="dxa"/>
              <w:left w:w="60" w:type="dxa"/>
              <w:bottom w:w="30" w:type="dxa"/>
              <w:right w:w="60" w:type="dxa"/>
            </w:tcMar>
          </w:tcPr>
          <w:p>
            <w:pPr>
              <w:pStyle w:val="MDPI42tablebody"/>
              <w:jc w:val="left"/>
            </w:pPr>
            <w:r>
              <w:rPr>
                <w:sz w:val="15"/>
              </w:rPr>
              <w:t>TTS-supported versus unsupported reading of instructional passages</w:t>
            </w:r>
          </w:p>
        </w:tc>
        <w:tc>
          <w:tcPr>
            <w:tcW w:type="dxa" w:w="2000"/>
            <w:tcMar>
              <w:top w:w="30" w:type="dxa"/>
              <w:left w:w="60" w:type="dxa"/>
              <w:bottom w:w="30" w:type="dxa"/>
              <w:right w:w="60" w:type="dxa"/>
            </w:tcMar>
          </w:tcPr>
          <w:p>
            <w:pPr>
              <w:pStyle w:val="MDPI42tablebody"/>
              <w:jc w:val="left"/>
            </w:pPr>
            <w:r>
              <w:rPr>
                <w:sz w:val="15"/>
              </w:rPr>
              <w:t>Reading comprehension, oral reading fluency, Lexile score, and 4-week maintenance</w:t>
            </w:r>
          </w:p>
        </w:tc>
        <w:tc>
          <w:tcPr>
            <w:tcW w:type="dxa" w:w="3850"/>
            <w:tcMar>
              <w:top w:w="30" w:type="dxa"/>
              <w:left w:w="60" w:type="dxa"/>
              <w:bottom w:w="30" w:type="dxa"/>
              <w:right w:w="60" w:type="dxa"/>
            </w:tcMar>
          </w:tcPr>
          <w:p>
            <w:pPr>
              <w:pStyle w:val="MDPI42tablebody"/>
              <w:jc w:val="left"/>
            </w:pPr>
            <w:r>
              <w:rPr>
                <w:sz w:val="15"/>
              </w:rPr>
              <w:t>All four students scored higher on comprehension in TTS phases and maintained comprehension gains for 4 weeks. Oral reading fluency increased by the end of accommodation phases; two of four increased Lexile scores.</w:t>
            </w:r>
          </w:p>
        </w:tc>
      </w:tr>
      <w:tr>
        <w:trPr>
          <w:cantSplit/>
        </w:trPr>
        <w:tc>
          <w:tcPr>
            <w:tcW w:type="dxa" w:w="650"/>
            <w:tcMar>
              <w:top w:w="30" w:type="dxa"/>
              <w:left w:w="60" w:type="dxa"/>
              <w:bottom w:w="30" w:type="dxa"/>
              <w:right w:w="60" w:type="dxa"/>
            </w:tcMar>
          </w:tcPr>
          <w:p>
            <w:pPr>
              <w:pStyle w:val="MDPI42tablebody"/>
              <w:jc w:val="left"/>
            </w:pPr>
            <w:r>
              <w:rPr>
                <w:sz w:val="15"/>
              </w:rPr>
              <w:t>[50]</w:t>
            </w:r>
          </w:p>
        </w:tc>
        <w:tc>
          <w:tcPr>
            <w:tcW w:type="dxa" w:w="1850"/>
            <w:tcMar>
              <w:top w:w="30" w:type="dxa"/>
              <w:left w:w="60" w:type="dxa"/>
              <w:bottom w:w="30" w:type="dxa"/>
              <w:right w:w="60" w:type="dxa"/>
            </w:tcMar>
          </w:tcPr>
          <w:p>
            <w:pPr>
              <w:pStyle w:val="MDPI42tablebody"/>
              <w:jc w:val="left"/>
            </w:pPr>
            <w:r>
              <w:rPr>
                <w:sz w:val="15"/>
              </w:rPr>
              <w:t>Sulaimon and Schaefer (2023); USA</w:t>
            </w:r>
          </w:p>
        </w:tc>
        <w:tc>
          <w:tcPr>
            <w:tcW w:type="dxa" w:w="2000"/>
            <w:tcMar>
              <w:top w:w="30" w:type="dxa"/>
              <w:left w:w="60" w:type="dxa"/>
              <w:bottom w:w="30" w:type="dxa"/>
              <w:right w:w="60" w:type="dxa"/>
            </w:tcMar>
          </w:tcPr>
          <w:p>
            <w:pPr>
              <w:pStyle w:val="MDPI42tablebody"/>
              <w:jc w:val="left"/>
            </w:pPr>
            <w:r>
              <w:rPr>
                <w:sz w:val="15"/>
              </w:rPr>
              <w:t>A–B–A–B withdrawal single-case study</w:t>
            </w:r>
          </w:p>
        </w:tc>
        <w:tc>
          <w:tcPr>
            <w:tcW w:type="dxa" w:w="2200"/>
            <w:tcMar>
              <w:top w:w="30" w:type="dxa"/>
              <w:left w:w="60" w:type="dxa"/>
              <w:bottom w:w="30" w:type="dxa"/>
              <w:right w:w="60" w:type="dxa"/>
            </w:tcMar>
          </w:tcPr>
          <w:p>
            <w:pPr>
              <w:pStyle w:val="MDPI42tablebody"/>
              <w:jc w:val="left"/>
            </w:pPr>
            <w:r>
              <w:rPr>
                <w:sz w:val="15"/>
              </w:rPr>
              <w:t>2 fourth-grade students with learning disabilities</w:t>
            </w:r>
          </w:p>
        </w:tc>
        <w:tc>
          <w:tcPr>
            <w:tcW w:type="dxa" w:w="2750"/>
            <w:tcMar>
              <w:top w:w="30" w:type="dxa"/>
              <w:left w:w="60" w:type="dxa"/>
              <w:bottom w:w="30" w:type="dxa"/>
              <w:right w:w="60" w:type="dxa"/>
            </w:tcMar>
          </w:tcPr>
          <w:p>
            <w:pPr>
              <w:pStyle w:val="MDPI42tablebody"/>
              <w:jc w:val="left"/>
            </w:pPr>
            <w:r>
              <w:rPr>
                <w:sz w:val="15"/>
              </w:rPr>
              <w:t>Read&amp;Write Gold 11 TTS versus unsupported reading</w:t>
            </w:r>
          </w:p>
        </w:tc>
        <w:tc>
          <w:tcPr>
            <w:tcW w:type="dxa" w:w="2000"/>
            <w:tcMar>
              <w:top w:w="30" w:type="dxa"/>
              <w:left w:w="60" w:type="dxa"/>
              <w:bottom w:w="30" w:type="dxa"/>
              <w:right w:w="60" w:type="dxa"/>
            </w:tcMar>
          </w:tcPr>
          <w:p>
            <w:pPr>
              <w:pStyle w:val="MDPI42tablebody"/>
              <w:jc w:val="left"/>
            </w:pPr>
            <w:r>
              <w:rPr>
                <w:sz w:val="15"/>
              </w:rPr>
              <w:t>Percentage of 10 comprehension questions answered correctly; usability</w:t>
            </w:r>
          </w:p>
        </w:tc>
        <w:tc>
          <w:tcPr>
            <w:tcW w:type="dxa" w:w="3850"/>
            <w:tcMar>
              <w:top w:w="30" w:type="dxa"/>
              <w:left w:w="60" w:type="dxa"/>
              <w:bottom w:w="30" w:type="dxa"/>
              <w:right w:w="60" w:type="dxa"/>
            </w:tcMar>
          </w:tcPr>
          <w:p>
            <w:pPr>
              <w:pStyle w:val="MDPI42tablebody"/>
              <w:jc w:val="left"/>
            </w:pPr>
            <w:r>
              <w:rPr>
                <w:sz w:val="15"/>
              </w:rPr>
              <w:t>For one participant, phase means were 42%, 80%, 43%, and 73%; for the other, 40%, 73%, 23%, and 73% across A1, B1, A2, and B2, respectively. Both rated the software as easy to use.</w:t>
            </w:r>
          </w:p>
        </w:tc>
      </w:tr>
      <w:tr>
        <w:trPr>
          <w:cantSplit/>
        </w:trPr>
        <w:tc>
          <w:tcPr>
            <w:tcW w:type="dxa" w:w="650"/>
            <w:tcMar>
              <w:top w:w="30" w:type="dxa"/>
              <w:left w:w="60" w:type="dxa"/>
              <w:bottom w:w="30" w:type="dxa"/>
              <w:right w:w="60" w:type="dxa"/>
            </w:tcMar>
          </w:tcPr>
          <w:p>
            <w:pPr>
              <w:pStyle w:val="MDPI42tablebody"/>
              <w:jc w:val="left"/>
            </w:pPr>
            <w:r>
              <w:rPr>
                <w:sz w:val="15"/>
              </w:rPr>
              <w:t>[51]</w:t>
            </w:r>
          </w:p>
        </w:tc>
        <w:tc>
          <w:tcPr>
            <w:tcW w:type="dxa" w:w="1850"/>
            <w:tcMar>
              <w:top w:w="30" w:type="dxa"/>
              <w:left w:w="60" w:type="dxa"/>
              <w:bottom w:w="30" w:type="dxa"/>
              <w:right w:w="60" w:type="dxa"/>
            </w:tcMar>
          </w:tcPr>
          <w:p>
            <w:pPr>
              <w:pStyle w:val="MDPI42tablebody"/>
              <w:jc w:val="left"/>
            </w:pPr>
            <w:r>
              <w:rPr>
                <w:sz w:val="15"/>
              </w:rPr>
              <w:t>Schmitt et al. (2019); USA</w:t>
            </w:r>
          </w:p>
        </w:tc>
        <w:tc>
          <w:tcPr>
            <w:tcW w:type="dxa" w:w="2000"/>
            <w:tcMar>
              <w:top w:w="30" w:type="dxa"/>
              <w:left w:w="60" w:type="dxa"/>
              <w:bottom w:w="30" w:type="dxa"/>
              <w:right w:w="60" w:type="dxa"/>
            </w:tcMar>
          </w:tcPr>
          <w:p>
            <w:pPr>
              <w:pStyle w:val="MDPI42tablebody"/>
              <w:jc w:val="left"/>
            </w:pPr>
            <w:r>
              <w:rPr>
                <w:sz w:val="15"/>
              </w:rPr>
              <w:t>Adapted alternating-treatments single-case study</w:t>
            </w:r>
          </w:p>
        </w:tc>
        <w:tc>
          <w:tcPr>
            <w:tcW w:type="dxa" w:w="2200"/>
            <w:tcMar>
              <w:top w:w="30" w:type="dxa"/>
              <w:left w:w="60" w:type="dxa"/>
              <w:bottom w:w="30" w:type="dxa"/>
              <w:right w:w="60" w:type="dxa"/>
            </w:tcMar>
          </w:tcPr>
          <w:p>
            <w:pPr>
              <w:pStyle w:val="MDPI42tablebody"/>
              <w:jc w:val="left"/>
            </w:pPr>
            <w:r>
              <w:rPr>
                <w:sz w:val="15"/>
              </w:rPr>
              <w:t>4 middle-school students with reading learning disabilities</w:t>
            </w:r>
          </w:p>
        </w:tc>
        <w:tc>
          <w:tcPr>
            <w:tcW w:type="dxa" w:w="2750"/>
            <w:tcMar>
              <w:top w:w="30" w:type="dxa"/>
              <w:left w:w="60" w:type="dxa"/>
              <w:bottom w:w="30" w:type="dxa"/>
              <w:right w:w="60" w:type="dxa"/>
            </w:tcMar>
          </w:tcPr>
          <w:p>
            <w:pPr>
              <w:pStyle w:val="MDPI42tablebody"/>
              <w:jc w:val="left"/>
            </w:pPr>
            <w:r>
              <w:rPr>
                <w:sz w:val="15"/>
              </w:rPr>
              <w:t>Continuous TTS, discontinuous reading-pen TTS, and silent reading</w:t>
            </w:r>
          </w:p>
        </w:tc>
        <w:tc>
          <w:tcPr>
            <w:tcW w:type="dxa" w:w="2000"/>
            <w:tcMar>
              <w:top w:w="30" w:type="dxa"/>
              <w:left w:w="60" w:type="dxa"/>
              <w:bottom w:w="30" w:type="dxa"/>
              <w:right w:w="60" w:type="dxa"/>
            </w:tcMar>
          </w:tcPr>
          <w:p>
            <w:pPr>
              <w:pStyle w:val="MDPI42tablebody"/>
              <w:jc w:val="left"/>
            </w:pPr>
            <w:r>
              <w:rPr>
                <w:sz w:val="15"/>
              </w:rPr>
              <w:t>Reading-comprehension accuracy and rate</w:t>
            </w:r>
          </w:p>
        </w:tc>
        <w:tc>
          <w:tcPr>
            <w:tcW w:type="dxa" w:w="3850"/>
            <w:tcMar>
              <w:top w:w="30" w:type="dxa"/>
              <w:left w:w="60" w:type="dxa"/>
              <w:bottom w:w="30" w:type="dxa"/>
              <w:right w:w="60" w:type="dxa"/>
            </w:tcMar>
          </w:tcPr>
          <w:p>
            <w:pPr>
              <w:pStyle w:val="MDPI42tablebody"/>
              <w:jc w:val="left"/>
            </w:pPr>
            <w:r>
              <w:rPr>
                <w:sz w:val="15"/>
              </w:rPr>
              <w:t>Continuous TTS produced the strongest performance for three of four students; the fourth performed best with the reading pen. Author-reported, study-specific effect-size indices reached 0.70 for accuracy and 0.99 for rate; the index used was not identified, so these values are not comparable with a standardised effect size. Reading-pen TTS produced the lowest comprehension rate for all four participants.</w:t>
            </w:r>
          </w:p>
        </w:tc>
      </w:tr>
      <w:tr>
        <w:trPr>
          <w:cantSplit/>
        </w:trPr>
        <w:tc>
          <w:tcPr>
            <w:tcW w:type="dxa" w:w="650"/>
            <w:tcMar>
              <w:top w:w="30" w:type="dxa"/>
              <w:left w:w="60" w:type="dxa"/>
              <w:bottom w:w="30" w:type="dxa"/>
              <w:right w:w="60" w:type="dxa"/>
            </w:tcMar>
          </w:tcPr>
          <w:p>
            <w:pPr>
              <w:pStyle w:val="MDPI42tablebody"/>
              <w:jc w:val="left"/>
            </w:pPr>
            <w:r>
              <w:rPr>
                <w:sz w:val="15"/>
              </w:rPr>
              <w:t>[52]</w:t>
            </w:r>
          </w:p>
        </w:tc>
        <w:tc>
          <w:tcPr>
            <w:tcW w:type="dxa" w:w="1850"/>
            <w:tcMar>
              <w:top w:w="30" w:type="dxa"/>
              <w:left w:w="60" w:type="dxa"/>
              <w:bottom w:w="30" w:type="dxa"/>
              <w:right w:w="60" w:type="dxa"/>
            </w:tcMar>
          </w:tcPr>
          <w:p>
            <w:pPr>
              <w:pStyle w:val="MDPI42tablebody"/>
              <w:jc w:val="left"/>
            </w:pPr>
            <w:r>
              <w:rPr>
                <w:sz w:val="15"/>
              </w:rPr>
              <w:t>Alqahtani (2023); Saudi Arabia</w:t>
            </w:r>
          </w:p>
        </w:tc>
        <w:tc>
          <w:tcPr>
            <w:tcW w:type="dxa" w:w="2000"/>
            <w:tcMar>
              <w:top w:w="30" w:type="dxa"/>
              <w:left w:w="60" w:type="dxa"/>
              <w:bottom w:w="30" w:type="dxa"/>
              <w:right w:w="60" w:type="dxa"/>
            </w:tcMar>
          </w:tcPr>
          <w:p>
            <w:pPr>
              <w:pStyle w:val="MDPI42tablebody"/>
              <w:jc w:val="left"/>
            </w:pPr>
            <w:r>
              <w:rPr>
                <w:sz w:val="15"/>
              </w:rPr>
              <w:t>Multiple-baseline plus alternating-treatments single-case study</w:t>
            </w:r>
          </w:p>
        </w:tc>
        <w:tc>
          <w:tcPr>
            <w:tcW w:type="dxa" w:w="2200"/>
            <w:tcMar>
              <w:top w:w="30" w:type="dxa"/>
              <w:left w:w="60" w:type="dxa"/>
              <w:bottom w:w="30" w:type="dxa"/>
              <w:right w:w="60" w:type="dxa"/>
            </w:tcMar>
          </w:tcPr>
          <w:p>
            <w:pPr>
              <w:pStyle w:val="MDPI42tablebody"/>
              <w:jc w:val="left"/>
            </w:pPr>
            <w:r>
              <w:rPr>
                <w:sz w:val="15"/>
              </w:rPr>
              <w:t>3 students in grades 3–4 with reading difficulties</w:t>
            </w:r>
          </w:p>
        </w:tc>
        <w:tc>
          <w:tcPr>
            <w:tcW w:type="dxa" w:w="2750"/>
            <w:tcMar>
              <w:top w:w="30" w:type="dxa"/>
              <w:left w:w="60" w:type="dxa"/>
              <w:bottom w:w="30" w:type="dxa"/>
              <w:right w:w="60" w:type="dxa"/>
            </w:tcMar>
          </w:tcPr>
          <w:p>
            <w:pPr>
              <w:pStyle w:val="MDPI42tablebody"/>
              <w:jc w:val="left"/>
            </w:pPr>
            <w:r>
              <w:rPr>
                <w:sz w:val="15"/>
              </w:rPr>
              <w:t>iPad TTS plus question generation versus repeated reading plus question generation</w:t>
            </w:r>
          </w:p>
        </w:tc>
        <w:tc>
          <w:tcPr>
            <w:tcW w:type="dxa" w:w="2000"/>
            <w:tcMar>
              <w:top w:w="30" w:type="dxa"/>
              <w:left w:w="60" w:type="dxa"/>
              <w:bottom w:w="30" w:type="dxa"/>
              <w:right w:w="60" w:type="dxa"/>
            </w:tcMar>
          </w:tcPr>
          <w:p>
            <w:pPr>
              <w:pStyle w:val="MDPI42tablebody"/>
              <w:jc w:val="left"/>
            </w:pPr>
            <w:r>
              <w:rPr>
                <w:sz w:val="15"/>
              </w:rPr>
              <w:t>Reading comprehension and session duration</w:t>
            </w:r>
          </w:p>
        </w:tc>
        <w:tc>
          <w:tcPr>
            <w:tcW w:type="dxa" w:w="3850"/>
            <w:tcMar>
              <w:top w:w="30" w:type="dxa"/>
              <w:left w:w="60" w:type="dxa"/>
              <w:bottom w:w="30" w:type="dxa"/>
              <w:right w:w="60" w:type="dxa"/>
            </w:tcMar>
          </w:tcPr>
          <w:p>
            <w:pPr>
              <w:pStyle w:val="MDPI42tablebody"/>
              <w:jc w:val="left"/>
            </w:pPr>
            <w:r>
              <w:rPr>
                <w:sz w:val="15"/>
              </w:rPr>
              <w:t>Two of three students improved; one showed a small advantage for repeated reading. Mean session duration was 5.45 min with iPad TTS and 12.73 min with repeated reading.</w:t>
            </w:r>
          </w:p>
        </w:tc>
      </w:tr>
      <w:tr>
        <w:trPr>
          <w:cantSplit/>
        </w:trPr>
        <w:tc>
          <w:tcPr>
            <w:tcW w:type="dxa" w:w="650"/>
            <w:tcMar>
              <w:top w:w="30" w:type="dxa"/>
              <w:left w:w="60" w:type="dxa"/>
              <w:bottom w:w="30" w:type="dxa"/>
              <w:right w:w="60" w:type="dxa"/>
            </w:tcMar>
          </w:tcPr>
          <w:p>
            <w:pPr>
              <w:pStyle w:val="MDPI42tablebody"/>
              <w:jc w:val="left"/>
            </w:pPr>
            <w:r>
              <w:rPr>
                <w:sz w:val="15"/>
              </w:rPr>
              <w:t>[53]</w:t>
            </w:r>
          </w:p>
        </w:tc>
        <w:tc>
          <w:tcPr>
            <w:tcW w:type="dxa" w:w="1850"/>
            <w:tcMar>
              <w:top w:w="30" w:type="dxa"/>
              <w:left w:w="60" w:type="dxa"/>
              <w:bottom w:w="30" w:type="dxa"/>
              <w:right w:w="60" w:type="dxa"/>
            </w:tcMar>
          </w:tcPr>
          <w:p>
            <w:pPr>
              <w:pStyle w:val="MDPI42tablebody"/>
              <w:jc w:val="left"/>
            </w:pPr>
            <w:r>
              <w:rPr>
                <w:sz w:val="15"/>
              </w:rPr>
              <w:t>Nuraini Herawati et al. (2022); Indonesia</w:t>
            </w:r>
          </w:p>
        </w:tc>
        <w:tc>
          <w:tcPr>
            <w:tcW w:type="dxa" w:w="2000"/>
            <w:tcMar>
              <w:top w:w="30" w:type="dxa"/>
              <w:left w:w="60" w:type="dxa"/>
              <w:bottom w:w="30" w:type="dxa"/>
              <w:right w:w="60" w:type="dxa"/>
            </w:tcMar>
          </w:tcPr>
          <w:p>
            <w:pPr>
              <w:pStyle w:val="MDPI42tablebody"/>
              <w:jc w:val="left"/>
            </w:pPr>
            <w:r>
              <w:rPr>
                <w:sz w:val="15"/>
              </w:rPr>
              <w:t>A–B–A single-case study</w:t>
            </w:r>
          </w:p>
        </w:tc>
        <w:tc>
          <w:tcPr>
            <w:tcW w:type="dxa" w:w="2200"/>
            <w:tcMar>
              <w:top w:w="30" w:type="dxa"/>
              <w:left w:w="60" w:type="dxa"/>
              <w:bottom w:w="30" w:type="dxa"/>
              <w:right w:w="60" w:type="dxa"/>
            </w:tcMar>
          </w:tcPr>
          <w:p>
            <w:pPr>
              <w:pStyle w:val="MDPI42tablebody"/>
              <w:jc w:val="left"/>
            </w:pPr>
            <w:r>
              <w:rPr>
                <w:sz w:val="15"/>
              </w:rPr>
              <w:t>1 second-grade learner with ADHD</w:t>
            </w:r>
          </w:p>
        </w:tc>
        <w:tc>
          <w:tcPr>
            <w:tcW w:type="dxa" w:w="2750"/>
            <w:tcMar>
              <w:top w:w="30" w:type="dxa"/>
              <w:left w:w="60" w:type="dxa"/>
              <w:bottom w:w="30" w:type="dxa"/>
              <w:right w:w="60" w:type="dxa"/>
            </w:tcMar>
          </w:tcPr>
          <w:p>
            <w:pPr>
              <w:pStyle w:val="MDPI42tablebody"/>
              <w:jc w:val="left"/>
            </w:pPr>
            <w:r>
              <w:rPr>
                <w:sz w:val="15"/>
              </w:rPr>
              <w:t>TTS-supported e-learning versus unsupported baseline phases</w:t>
            </w:r>
          </w:p>
        </w:tc>
        <w:tc>
          <w:tcPr>
            <w:tcW w:type="dxa" w:w="2000"/>
            <w:tcMar>
              <w:top w:w="30" w:type="dxa"/>
              <w:left w:w="60" w:type="dxa"/>
              <w:bottom w:w="30" w:type="dxa"/>
              <w:right w:w="60" w:type="dxa"/>
            </w:tcMar>
          </w:tcPr>
          <w:p>
            <w:pPr>
              <w:pStyle w:val="MDPI42tablebody"/>
              <w:jc w:val="left"/>
            </w:pPr>
            <w:r>
              <w:rPr>
                <w:sz w:val="15"/>
              </w:rPr>
              <w:t>Reading/spelling and pronunciation-related performance</w:t>
            </w:r>
          </w:p>
        </w:tc>
        <w:tc>
          <w:tcPr>
            <w:tcW w:type="dxa" w:w="3850"/>
            <w:tcMar>
              <w:top w:w="30" w:type="dxa"/>
              <w:left w:w="60" w:type="dxa"/>
              <w:bottom w:w="30" w:type="dxa"/>
              <w:right w:w="60" w:type="dxa"/>
            </w:tcMar>
          </w:tcPr>
          <w:p>
            <w:pPr>
              <w:pStyle w:val="MDPI42tablebody"/>
              <w:jc w:val="left"/>
            </w:pPr>
            <w:r>
              <w:rPr>
                <w:sz w:val="15"/>
              </w:rPr>
              <w:t>The report described higher performance during the intervention phase; however, the outcome scale and phase-level numerical reporting were insufficiently clear for a reliable effect estimate.</w:t>
            </w:r>
          </w:p>
        </w:tc>
      </w:tr>
      <w:tr>
        <w:trPr>
          <w:cantSplit/>
        </w:trPr>
        <w:tc>
          <w:tcPr>
            <w:tcW w:type="dxa" w:w="650"/>
            <w:tcMar>
              <w:top w:w="30" w:type="dxa"/>
              <w:left w:w="60" w:type="dxa"/>
              <w:bottom w:w="30" w:type="dxa"/>
              <w:right w:w="60" w:type="dxa"/>
            </w:tcMar>
          </w:tcPr>
          <w:p>
            <w:pPr>
              <w:pStyle w:val="MDPI42tablebody"/>
              <w:jc w:val="left"/>
            </w:pPr>
            <w:r>
              <w:rPr>
                <w:sz w:val="15"/>
              </w:rPr>
              <w:t>[54]</w:t>
            </w:r>
          </w:p>
        </w:tc>
        <w:tc>
          <w:tcPr>
            <w:tcW w:type="dxa" w:w="1850"/>
            <w:tcMar>
              <w:top w:w="30" w:type="dxa"/>
              <w:left w:w="60" w:type="dxa"/>
              <w:bottom w:w="30" w:type="dxa"/>
              <w:right w:w="60" w:type="dxa"/>
            </w:tcMar>
          </w:tcPr>
          <w:p>
            <w:pPr>
              <w:pStyle w:val="MDPI42tablebody"/>
              <w:jc w:val="left"/>
            </w:pPr>
            <w:r>
              <w:rPr>
                <w:sz w:val="15"/>
              </w:rPr>
              <w:t>Svensson et al. (2026); Sweden</w:t>
            </w:r>
          </w:p>
        </w:tc>
        <w:tc>
          <w:tcPr>
            <w:tcW w:type="dxa" w:w="2000"/>
            <w:tcMar>
              <w:top w:w="30" w:type="dxa"/>
              <w:left w:w="60" w:type="dxa"/>
              <w:bottom w:w="30" w:type="dxa"/>
              <w:right w:w="60" w:type="dxa"/>
            </w:tcMar>
          </w:tcPr>
          <w:p>
            <w:pPr>
              <w:pStyle w:val="MDPI42tablebody"/>
              <w:jc w:val="left"/>
            </w:pPr>
            <w:r>
              <w:rPr>
                <w:sz w:val="15"/>
              </w:rPr>
              <w:t>Time-lagged A–B single-case study with follow-up</w:t>
            </w:r>
          </w:p>
        </w:tc>
        <w:tc>
          <w:tcPr>
            <w:tcW w:type="dxa" w:w="2200"/>
            <w:tcMar>
              <w:top w:w="30" w:type="dxa"/>
              <w:left w:w="60" w:type="dxa"/>
              <w:bottom w:w="30" w:type="dxa"/>
              <w:right w:w="60" w:type="dxa"/>
            </w:tcMar>
          </w:tcPr>
          <w:p>
            <w:pPr>
              <w:pStyle w:val="MDPI42tablebody"/>
              <w:jc w:val="left"/>
            </w:pPr>
            <w:r>
              <w:rPr>
                <w:sz w:val="15"/>
              </w:rPr>
              <w:t>8 learners with mild intellectual disability, 11–14 years</w:t>
            </w:r>
          </w:p>
        </w:tc>
        <w:tc>
          <w:tcPr>
            <w:tcW w:type="dxa" w:w="2750"/>
            <w:tcMar>
              <w:top w:w="30" w:type="dxa"/>
              <w:left w:w="60" w:type="dxa"/>
              <w:bottom w:w="30" w:type="dxa"/>
              <w:right w:w="60" w:type="dxa"/>
            </w:tcMar>
          </w:tcPr>
          <w:p>
            <w:pPr>
              <w:pStyle w:val="MDPI42tablebody"/>
              <w:jc w:val="left"/>
            </w:pPr>
            <w:r>
              <w:rPr>
                <w:sz w:val="15"/>
              </w:rPr>
              <w:t>ClaroSpeak Plus TTS; usually 4 baseline and 12 intervention sessions. According to the participant table, five of the eight learners had fewer than four baseline observations (3, 2, 1, 1, and 1), and three completed 11 rather than 12 intervention sessions; the source narrative states four such learners, and the participant-level value is used throughout this review.</w:t>
            </w:r>
          </w:p>
        </w:tc>
        <w:tc>
          <w:tcPr>
            <w:tcW w:type="dxa" w:w="2000"/>
            <w:tcMar>
              <w:top w:w="30" w:type="dxa"/>
              <w:left w:w="60" w:type="dxa"/>
              <w:bottom w:w="30" w:type="dxa"/>
              <w:right w:w="60" w:type="dxa"/>
            </w:tcMar>
          </w:tcPr>
          <w:p>
            <w:pPr>
              <w:pStyle w:val="MDPI42tablebody"/>
              <w:jc w:val="left"/>
            </w:pPr>
            <w:r>
              <w:rPr>
                <w:sz w:val="15"/>
              </w:rPr>
              <w:t>Text comprehension, retelling, oral language output, decoding, and approximately 1.5-year follow-up</w:t>
            </w:r>
          </w:p>
        </w:tc>
        <w:tc>
          <w:tcPr>
            <w:tcW w:type="dxa" w:w="3850"/>
            <w:tcMar>
              <w:top w:w="30" w:type="dxa"/>
              <w:left w:w="60" w:type="dxa"/>
              <w:bottom w:w="30" w:type="dxa"/>
              <w:right w:w="60" w:type="dxa"/>
            </w:tcMar>
          </w:tcPr>
          <w:p>
            <w:pPr>
              <w:pStyle w:val="MDPI42tablebody"/>
              <w:jc w:val="left"/>
            </w:pPr>
            <w:r>
              <w:rPr>
                <w:sz w:val="15"/>
              </w:rPr>
              <w:t>All eight learners comprehended more content while listening than while reading independently; one showed clear improvement in decoding. The A–B structure does not isolate practice, text, and maturation effects.</w:t>
            </w:r>
          </w:p>
        </w:tc>
      </w:tr>
      <w:tr>
        <w:trPr>
          <w:cantSplit/>
        </w:trPr>
        <w:tc>
          <w:tcPr>
            <w:tcW w:type="dxa" w:w="650"/>
            <w:tcMar>
              <w:top w:w="30" w:type="dxa"/>
              <w:left w:w="60" w:type="dxa"/>
              <w:bottom w:w="30" w:type="dxa"/>
              <w:right w:w="60" w:type="dxa"/>
            </w:tcMar>
          </w:tcPr>
          <w:p>
            <w:pPr>
              <w:pStyle w:val="MDPI42tablebody"/>
              <w:jc w:val="left"/>
            </w:pPr>
            <w:r>
              <w:rPr>
                <w:sz w:val="15"/>
              </w:rPr>
              <w:t>[55]</w:t>
            </w:r>
          </w:p>
        </w:tc>
        <w:tc>
          <w:tcPr>
            <w:tcW w:type="dxa" w:w="1850"/>
            <w:tcMar>
              <w:top w:w="30" w:type="dxa"/>
              <w:left w:w="60" w:type="dxa"/>
              <w:bottom w:w="30" w:type="dxa"/>
              <w:right w:w="60" w:type="dxa"/>
            </w:tcMar>
          </w:tcPr>
          <w:p>
            <w:pPr>
              <w:pStyle w:val="MDPI42tablebody"/>
              <w:jc w:val="left"/>
            </w:pPr>
            <w:r>
              <w:rPr>
                <w:sz w:val="15"/>
              </w:rPr>
              <w:t>Moorman et al. (2010); USA</w:t>
            </w:r>
          </w:p>
        </w:tc>
        <w:tc>
          <w:tcPr>
            <w:tcW w:type="dxa" w:w="2000"/>
            <w:tcMar>
              <w:top w:w="30" w:type="dxa"/>
              <w:left w:w="60" w:type="dxa"/>
              <w:bottom w:w="30" w:type="dxa"/>
              <w:right w:w="60" w:type="dxa"/>
            </w:tcMar>
          </w:tcPr>
          <w:p>
            <w:pPr>
              <w:pStyle w:val="MDPI42tablebody"/>
              <w:jc w:val="left"/>
            </w:pPr>
            <w:r>
              <w:rPr>
                <w:sz w:val="15"/>
              </w:rPr>
              <w:t>A–B–A–B withdrawal single-case study</w:t>
            </w:r>
          </w:p>
        </w:tc>
        <w:tc>
          <w:tcPr>
            <w:tcW w:type="dxa" w:w="2200"/>
            <w:tcMar>
              <w:top w:w="30" w:type="dxa"/>
              <w:left w:w="60" w:type="dxa"/>
              <w:bottom w:w="30" w:type="dxa"/>
              <w:right w:w="60" w:type="dxa"/>
            </w:tcMar>
          </w:tcPr>
          <w:p>
            <w:pPr>
              <w:pStyle w:val="MDPI42tablebody"/>
              <w:jc w:val="left"/>
            </w:pPr>
            <w:r>
              <w:rPr>
                <w:sz w:val="15"/>
              </w:rPr>
              <w:t>2 high-school students with specific learning disabilities</w:t>
            </w:r>
          </w:p>
        </w:tc>
        <w:tc>
          <w:tcPr>
            <w:tcW w:type="dxa" w:w="2750"/>
            <w:tcMar>
              <w:top w:w="30" w:type="dxa"/>
              <w:left w:w="60" w:type="dxa"/>
              <w:bottom w:w="30" w:type="dxa"/>
              <w:right w:w="60" w:type="dxa"/>
            </w:tcMar>
          </w:tcPr>
          <w:p>
            <w:pPr>
              <w:pStyle w:val="MDPI42tablebody"/>
              <w:jc w:val="left"/>
            </w:pPr>
            <w:r>
              <w:rPr>
                <w:sz w:val="15"/>
              </w:rPr>
              <w:t>Text-to-speech software versus unsupported independent reading of expository passages</w:t>
            </w:r>
          </w:p>
        </w:tc>
        <w:tc>
          <w:tcPr>
            <w:tcW w:type="dxa" w:w="2000"/>
            <w:tcMar>
              <w:top w:w="30" w:type="dxa"/>
              <w:left w:w="60" w:type="dxa"/>
              <w:bottom w:w="30" w:type="dxa"/>
              <w:right w:w="60" w:type="dxa"/>
            </w:tcMar>
          </w:tcPr>
          <w:p>
            <w:pPr>
              <w:pStyle w:val="MDPI42tablebody"/>
              <w:jc w:val="left"/>
            </w:pPr>
            <w:r>
              <w:rPr>
                <w:sz w:val="15"/>
              </w:rPr>
              <w:t>Reading rate and reading comprehension</w:t>
            </w:r>
          </w:p>
        </w:tc>
        <w:tc>
          <w:tcPr>
            <w:tcW w:type="dxa" w:w="3850"/>
            <w:tcMar>
              <w:top w:w="30" w:type="dxa"/>
              <w:left w:w="60" w:type="dxa"/>
              <w:bottom w:w="30" w:type="dxa"/>
              <w:right w:w="60" w:type="dxa"/>
            </w:tcMar>
          </w:tcPr>
          <w:p>
            <w:pPr>
              <w:pStyle w:val="MDPI42tablebody"/>
              <w:jc w:val="left"/>
            </w:pPr>
            <w:r>
              <w:rPr>
                <w:sz w:val="15"/>
              </w:rPr>
              <w:t>The ERIC record abstract reports increases in reading rate and improved comprehension for both participants. The full text was unavailable, so extraction is limited to abstract-level findings; phase-level values and a WWC rating could not be established.</w:t>
            </w:r>
          </w:p>
        </w:tc>
      </w:tr>
      <w:tr>
        <w:trPr>
          <w:cantSplit/>
        </w:trPr>
        <w:tc>
          <w:tcPr>
            <w:tcW w:type="dxa" w:w="650"/>
            <w:tcMar>
              <w:top w:w="30" w:type="dxa"/>
              <w:left w:w="60" w:type="dxa"/>
              <w:bottom w:w="30" w:type="dxa"/>
              <w:right w:w="60" w:type="dxa"/>
            </w:tcMar>
          </w:tcPr>
          <w:p>
            <w:pPr>
              <w:pStyle w:val="MDPI42tablebody"/>
              <w:jc w:val="left"/>
            </w:pPr>
            <w:r>
              <w:rPr>
                <w:sz w:val="15"/>
              </w:rPr>
              <w:t>[56]</w:t>
            </w:r>
          </w:p>
        </w:tc>
        <w:tc>
          <w:tcPr>
            <w:tcW w:type="dxa" w:w="1850"/>
            <w:tcMar>
              <w:top w:w="30" w:type="dxa"/>
              <w:left w:w="60" w:type="dxa"/>
              <w:bottom w:w="30" w:type="dxa"/>
              <w:right w:w="60" w:type="dxa"/>
            </w:tcMar>
          </w:tcPr>
          <w:p>
            <w:pPr>
              <w:pStyle w:val="MDPI42tablebody"/>
              <w:jc w:val="left"/>
            </w:pPr>
            <w:r>
              <w:rPr>
                <w:sz w:val="15"/>
              </w:rPr>
              <w:t>Meyer and Bouck (2014); USA</w:t>
            </w:r>
          </w:p>
        </w:tc>
        <w:tc>
          <w:tcPr>
            <w:tcW w:type="dxa" w:w="2000"/>
            <w:tcMar>
              <w:top w:w="30" w:type="dxa"/>
              <w:left w:w="60" w:type="dxa"/>
              <w:bottom w:w="30" w:type="dxa"/>
              <w:right w:w="60" w:type="dxa"/>
            </w:tcMar>
          </w:tcPr>
          <w:p>
            <w:pPr>
              <w:pStyle w:val="MDPI42tablebody"/>
              <w:jc w:val="left"/>
            </w:pPr>
            <w:r>
              <w:rPr>
                <w:sz w:val="15"/>
              </w:rPr>
              <w:t>Multiple-baseline-across-participants single-case study</w:t>
            </w:r>
          </w:p>
        </w:tc>
        <w:tc>
          <w:tcPr>
            <w:tcW w:type="dxa" w:w="2200"/>
            <w:tcMar>
              <w:top w:w="30" w:type="dxa"/>
              <w:left w:w="60" w:type="dxa"/>
              <w:bottom w:w="30" w:type="dxa"/>
              <w:right w:w="60" w:type="dxa"/>
            </w:tcMar>
          </w:tcPr>
          <w:p>
            <w:pPr>
              <w:pStyle w:val="MDPI42tablebody"/>
              <w:jc w:val="left"/>
            </w:pPr>
            <w:r>
              <w:rPr>
                <w:sz w:val="15"/>
              </w:rPr>
              <w:t>3 junior-high students with reading disabilities</w:t>
            </w:r>
          </w:p>
        </w:tc>
        <w:tc>
          <w:tcPr>
            <w:tcW w:type="dxa" w:w="2750"/>
            <w:tcMar>
              <w:top w:w="30" w:type="dxa"/>
              <w:left w:w="60" w:type="dxa"/>
              <w:bottom w:w="30" w:type="dxa"/>
              <w:right w:w="60" w:type="dxa"/>
            </w:tcMar>
          </w:tcPr>
          <w:p>
            <w:pPr>
              <w:pStyle w:val="MDPI42tablebody"/>
              <w:jc w:val="left"/>
            </w:pPr>
            <w:r>
              <w:rPr>
                <w:sz w:val="15"/>
              </w:rPr>
              <w:t>Text-to-speech versus unsupported reading of grade-level expository text</w:t>
            </w:r>
          </w:p>
        </w:tc>
        <w:tc>
          <w:tcPr>
            <w:tcW w:type="dxa" w:w="2000"/>
            <w:tcMar>
              <w:top w:w="30" w:type="dxa"/>
              <w:left w:w="60" w:type="dxa"/>
              <w:bottom w:w="30" w:type="dxa"/>
              <w:right w:w="60" w:type="dxa"/>
            </w:tcMar>
          </w:tcPr>
          <w:p>
            <w:pPr>
              <w:pStyle w:val="MDPI42tablebody"/>
              <w:jc w:val="left"/>
            </w:pPr>
            <w:r>
              <w:rPr>
                <w:sz w:val="15"/>
              </w:rPr>
              <w:t>Oral reading fluency, reading comprehension, task-completion time, and social validity</w:t>
            </w:r>
          </w:p>
        </w:tc>
        <w:tc>
          <w:tcPr>
            <w:tcW w:type="dxa" w:w="3850"/>
            <w:tcMar>
              <w:top w:w="30" w:type="dxa"/>
              <w:left w:w="60" w:type="dxa"/>
              <w:bottom w:w="30" w:type="dxa"/>
              <w:right w:w="60" w:type="dxa"/>
            </w:tcMar>
          </w:tcPr>
          <w:p>
            <w:pPr>
              <w:pStyle w:val="MDPI42tablebody"/>
              <w:jc w:val="left"/>
            </w:pPr>
            <w:r>
              <w:rPr>
                <w:sz w:val="15"/>
              </w:rPr>
              <w:t>No statistically detectable difference in fluency, comprehension, or task-completion time was reported with text-to-speech. All three students nonetheless reported that they had comprehended more, read more fluently, and finished more quickly with the technology, and valued the independence it provided; the measured data did not support these perceptions.</w:t>
            </w:r>
          </w:p>
        </w:tc>
      </w:tr>
      <w:tr>
        <w:trPr>
          <w:cantSplit/>
        </w:trPr>
        <w:tc>
          <w:tcPr>
            <w:tcW w:type="dxa" w:w="650"/>
            <w:tcMar>
              <w:top w:w="30" w:type="dxa"/>
              <w:left w:w="60" w:type="dxa"/>
              <w:bottom w:w="30" w:type="dxa"/>
              <w:right w:w="60" w:type="dxa"/>
            </w:tcMar>
          </w:tcPr>
          <w:p>
            <w:pPr>
              <w:pStyle w:val="MDPI42tablebody"/>
              <w:jc w:val="left"/>
            </w:pPr>
            <w:r>
              <w:rPr>
                <w:sz w:val="15"/>
              </w:rPr>
              <w:t>[57]</w:t>
            </w:r>
          </w:p>
        </w:tc>
        <w:tc>
          <w:tcPr>
            <w:tcW w:type="dxa" w:w="1850"/>
            <w:tcMar>
              <w:top w:w="30" w:type="dxa"/>
              <w:left w:w="60" w:type="dxa"/>
              <w:bottom w:w="30" w:type="dxa"/>
              <w:right w:w="60" w:type="dxa"/>
            </w:tcMar>
          </w:tcPr>
          <w:p>
            <w:pPr>
              <w:pStyle w:val="MDPI42tablebody"/>
              <w:jc w:val="left"/>
            </w:pPr>
            <w:r>
              <w:rPr>
                <w:sz w:val="15"/>
              </w:rPr>
              <w:t>Meyer and Bouck (2017); USA</w:t>
            </w:r>
          </w:p>
        </w:tc>
        <w:tc>
          <w:tcPr>
            <w:tcW w:type="dxa" w:w="2000"/>
            <w:tcMar>
              <w:top w:w="30" w:type="dxa"/>
              <w:left w:w="60" w:type="dxa"/>
              <w:bottom w:w="30" w:type="dxa"/>
              <w:right w:w="60" w:type="dxa"/>
            </w:tcMar>
          </w:tcPr>
          <w:p>
            <w:pPr>
              <w:pStyle w:val="MDPI42tablebody"/>
              <w:jc w:val="left"/>
            </w:pPr>
            <w:r>
              <w:rPr>
                <w:sz w:val="15"/>
              </w:rPr>
              <w:t>Alternating-treatments single-case study</w:t>
            </w:r>
          </w:p>
        </w:tc>
        <w:tc>
          <w:tcPr>
            <w:tcW w:type="dxa" w:w="2200"/>
            <w:tcMar>
              <w:top w:w="30" w:type="dxa"/>
              <w:left w:w="60" w:type="dxa"/>
              <w:bottom w:w="30" w:type="dxa"/>
              <w:right w:w="60" w:type="dxa"/>
            </w:tcMar>
          </w:tcPr>
          <w:p>
            <w:pPr>
              <w:pStyle w:val="MDPI42tablebody"/>
              <w:jc w:val="left"/>
            </w:pPr>
            <w:r>
              <w:rPr>
                <w:sz w:val="15"/>
              </w:rPr>
              <w:t>4 secondary students with reading learning disabilities</w:t>
            </w:r>
          </w:p>
        </w:tc>
        <w:tc>
          <w:tcPr>
            <w:tcW w:type="dxa" w:w="2750"/>
            <w:tcMar>
              <w:top w:w="30" w:type="dxa"/>
              <w:left w:w="60" w:type="dxa"/>
              <w:bottom w:w="30" w:type="dxa"/>
              <w:right w:w="60" w:type="dxa"/>
            </w:tcMar>
          </w:tcPr>
          <w:p>
            <w:pPr>
              <w:pStyle w:val="MDPI42tablebody"/>
              <w:jc w:val="left"/>
            </w:pPr>
            <w:r>
              <w:rPr>
                <w:sz w:val="15"/>
              </w:rPr>
              <w:t>Live adult read-aloud, text-to-speech, and independent reading of expository text</w:t>
            </w:r>
          </w:p>
        </w:tc>
        <w:tc>
          <w:tcPr>
            <w:tcW w:type="dxa" w:w="2000"/>
            <w:tcMar>
              <w:top w:w="30" w:type="dxa"/>
              <w:left w:w="60" w:type="dxa"/>
              <w:bottom w:w="30" w:type="dxa"/>
              <w:right w:w="60" w:type="dxa"/>
            </w:tcMar>
          </w:tcPr>
          <w:p>
            <w:pPr>
              <w:pStyle w:val="MDPI42tablebody"/>
              <w:jc w:val="left"/>
            </w:pPr>
            <w:r>
              <w:rPr>
                <w:sz w:val="15"/>
              </w:rPr>
              <w:t>Reading comprehension of expository text and task-completion time</w:t>
            </w:r>
          </w:p>
        </w:tc>
        <w:tc>
          <w:tcPr>
            <w:tcW w:type="dxa" w:w="3850"/>
            <w:tcMar>
              <w:top w:w="30" w:type="dxa"/>
              <w:left w:w="60" w:type="dxa"/>
              <w:bottom w:w="30" w:type="dxa"/>
              <w:right w:w="60" w:type="dxa"/>
            </w:tcMar>
          </w:tcPr>
          <w:p>
            <w:pPr>
              <w:pStyle w:val="MDPI42tablebody"/>
              <w:jc w:val="left"/>
            </w:pPr>
            <w:r>
              <w:rPr>
                <w:sz w:val="15"/>
              </w:rPr>
              <w:t>The publisher abstract reports that neither live nor TTS read-aloud increased comprehension to proficiency and that neither accommodation was superior. The full text was unavailable, so extraction is limited to abstract-level findings and a WWC rating could not be established.</w:t>
            </w:r>
          </w:p>
        </w:tc>
      </w:tr>
      <w:tr>
        <w:trPr>
          <w:cantSplit/>
        </w:trPr>
        <w:tc>
          <w:tcPr>
            <w:tcW w:type="dxa" w:w="650"/>
            <w:tcMar>
              <w:top w:w="30" w:type="dxa"/>
              <w:left w:w="60" w:type="dxa"/>
              <w:bottom w:w="30" w:type="dxa"/>
              <w:right w:w="60" w:type="dxa"/>
            </w:tcMar>
          </w:tcPr>
          <w:p>
            <w:pPr>
              <w:pStyle w:val="MDPI42tablebody"/>
              <w:jc w:val="left"/>
            </w:pPr>
            <w:r>
              <w:rPr>
                <w:sz w:val="15"/>
              </w:rPr>
              <w:t>[58]</w:t>
            </w:r>
          </w:p>
        </w:tc>
        <w:tc>
          <w:tcPr>
            <w:tcW w:type="dxa" w:w="1850"/>
            <w:tcMar>
              <w:top w:w="30" w:type="dxa"/>
              <w:left w:w="60" w:type="dxa"/>
              <w:bottom w:w="30" w:type="dxa"/>
              <w:right w:w="60" w:type="dxa"/>
            </w:tcMar>
          </w:tcPr>
          <w:p>
            <w:pPr>
              <w:pStyle w:val="MDPI42tablebody"/>
              <w:jc w:val="left"/>
            </w:pPr>
            <w:r>
              <w:rPr>
                <w:sz w:val="15"/>
              </w:rPr>
              <w:t>Brunow and Cullen (2021); USA</w:t>
            </w:r>
          </w:p>
        </w:tc>
        <w:tc>
          <w:tcPr>
            <w:tcW w:type="dxa" w:w="2000"/>
            <w:tcMar>
              <w:top w:w="30" w:type="dxa"/>
              <w:left w:w="60" w:type="dxa"/>
              <w:bottom w:w="30" w:type="dxa"/>
              <w:right w:w="60" w:type="dxa"/>
            </w:tcMar>
          </w:tcPr>
          <w:p>
            <w:pPr>
              <w:pStyle w:val="MDPI42tablebody"/>
              <w:jc w:val="left"/>
            </w:pPr>
            <w:r>
              <w:rPr>
                <w:sz w:val="15"/>
              </w:rPr>
              <w:t>Alternating-treatments single-case study</w:t>
            </w:r>
          </w:p>
        </w:tc>
        <w:tc>
          <w:tcPr>
            <w:tcW w:type="dxa" w:w="2200"/>
            <w:tcMar>
              <w:top w:w="30" w:type="dxa"/>
              <w:left w:w="60" w:type="dxa"/>
              <w:bottom w:w="30" w:type="dxa"/>
              <w:right w:w="60" w:type="dxa"/>
            </w:tcMar>
          </w:tcPr>
          <w:p>
            <w:pPr>
              <w:pStyle w:val="MDPI42tablebody"/>
              <w:jc w:val="left"/>
            </w:pPr>
            <w:r>
              <w:rPr>
                <w:sz w:val="15"/>
              </w:rPr>
              <w:t>4 students with learning disabilities, 16–17 years</w:t>
            </w:r>
          </w:p>
        </w:tc>
        <w:tc>
          <w:tcPr>
            <w:tcW w:type="dxa" w:w="2750"/>
            <w:tcMar>
              <w:top w:w="30" w:type="dxa"/>
              <w:left w:w="60" w:type="dxa"/>
              <w:bottom w:w="30" w:type="dxa"/>
              <w:right w:w="60" w:type="dxa"/>
            </w:tcMar>
          </w:tcPr>
          <w:p>
            <w:pPr>
              <w:pStyle w:val="MDPI42tablebody"/>
              <w:jc w:val="left"/>
            </w:pPr>
            <w:r>
              <w:rPr>
                <w:sz w:val="15"/>
              </w:rPr>
              <w:t>Text-to-speech versus a human reader applied to grade-level required reading</w:t>
            </w:r>
          </w:p>
        </w:tc>
        <w:tc>
          <w:tcPr>
            <w:tcW w:type="dxa" w:w="2000"/>
            <w:tcMar>
              <w:top w:w="30" w:type="dxa"/>
              <w:left w:w="60" w:type="dxa"/>
              <w:bottom w:w="30" w:type="dxa"/>
              <w:right w:w="60" w:type="dxa"/>
            </w:tcMar>
          </w:tcPr>
          <w:p>
            <w:pPr>
              <w:pStyle w:val="MDPI42tablebody"/>
              <w:jc w:val="left"/>
            </w:pPr>
            <w:r>
              <w:rPr>
                <w:sz w:val="15"/>
              </w:rPr>
              <w:t>Listening comprehension (excerpt and multiple-choice quizzes)</w:t>
            </w:r>
          </w:p>
        </w:tc>
        <w:tc>
          <w:tcPr>
            <w:tcW w:type="dxa" w:w="3850"/>
            <w:tcMar>
              <w:top w:w="30" w:type="dxa"/>
              <w:left w:w="60" w:type="dxa"/>
              <w:bottom w:w="30" w:type="dxa"/>
              <w:right w:w="60" w:type="dxa"/>
            </w:tcMar>
          </w:tcPr>
          <w:p>
            <w:pPr>
              <w:pStyle w:val="MDPI42tablebody"/>
              <w:jc w:val="left"/>
            </w:pPr>
            <w:r>
              <w:rPr>
                <w:sz w:val="15"/>
              </w:rPr>
              <w:t>Mean listening-comprehension scores were higher under the human reader than under text-to-speech for all four students. The authors concluded that TTS may support learners with learning disabilities as a supplement to explicit instruction but was less effective than a human reader for listening comprehension.</w:t>
            </w:r>
          </w:p>
        </w:tc>
      </w:tr>
      <w:tr>
        <w:trPr>
          <w:cantSplit/>
        </w:trPr>
        <w:tc>
          <w:tcPr>
            <w:tcW w:type="dxa" w:w="650"/>
            <w:tcMar>
              <w:top w:w="30" w:type="dxa"/>
              <w:left w:w="60" w:type="dxa"/>
              <w:bottom w:w="30" w:type="dxa"/>
              <w:right w:w="60" w:type="dxa"/>
            </w:tcMar>
          </w:tcPr>
          <w:p>
            <w:pPr>
              <w:pStyle w:val="MDPI42tablebody"/>
              <w:jc w:val="left"/>
            </w:pPr>
            <w:r>
              <w:rPr>
                <w:sz w:val="15"/>
              </w:rPr>
              <w:t>[59]</w:t>
            </w:r>
          </w:p>
        </w:tc>
        <w:tc>
          <w:tcPr>
            <w:tcW w:type="dxa" w:w="1850"/>
            <w:tcMar>
              <w:top w:w="30" w:type="dxa"/>
              <w:left w:w="60" w:type="dxa"/>
              <w:bottom w:w="30" w:type="dxa"/>
              <w:right w:w="60" w:type="dxa"/>
            </w:tcMar>
          </w:tcPr>
          <w:p>
            <w:pPr>
              <w:pStyle w:val="MDPI42tablebody"/>
              <w:jc w:val="left"/>
            </w:pPr>
            <w:r>
              <w:rPr>
                <w:sz w:val="15"/>
              </w:rPr>
              <w:t>Fälth et al. (2025); Sweden</w:t>
            </w:r>
          </w:p>
        </w:tc>
        <w:tc>
          <w:tcPr>
            <w:tcW w:type="dxa" w:w="2000"/>
            <w:tcMar>
              <w:top w:w="30" w:type="dxa"/>
              <w:left w:w="60" w:type="dxa"/>
              <w:bottom w:w="30" w:type="dxa"/>
              <w:right w:w="60" w:type="dxa"/>
            </w:tcMar>
          </w:tcPr>
          <w:p>
            <w:pPr>
              <w:pStyle w:val="MDPI42tablebody"/>
              <w:jc w:val="left"/>
            </w:pPr>
            <w:r>
              <w:rPr>
                <w:sz w:val="15"/>
              </w:rPr>
              <w:t>Single-subject two-condition comparison</w:t>
            </w:r>
          </w:p>
        </w:tc>
        <w:tc>
          <w:tcPr>
            <w:tcW w:type="dxa" w:w="2200"/>
            <w:tcMar>
              <w:top w:w="30" w:type="dxa"/>
              <w:left w:w="60" w:type="dxa"/>
              <w:bottom w:w="30" w:type="dxa"/>
              <w:right w:w="60" w:type="dxa"/>
            </w:tcMar>
          </w:tcPr>
          <w:p>
            <w:pPr>
              <w:pStyle w:val="MDPI42tablebody"/>
              <w:jc w:val="left"/>
            </w:pPr>
            <w:r>
              <w:rPr>
                <w:sz w:val="15"/>
              </w:rPr>
              <w:t>5 students with mild intellectual disability</w:t>
            </w:r>
          </w:p>
        </w:tc>
        <w:tc>
          <w:tcPr>
            <w:tcW w:type="dxa" w:w="2750"/>
            <w:tcMar>
              <w:top w:w="30" w:type="dxa"/>
              <w:left w:w="60" w:type="dxa"/>
              <w:bottom w:w="30" w:type="dxa"/>
              <w:right w:w="60" w:type="dxa"/>
            </w:tcMar>
          </w:tcPr>
          <w:p>
            <w:pPr>
              <w:pStyle w:val="MDPI42tablebody"/>
              <w:jc w:val="left"/>
            </w:pPr>
            <w:r>
              <w:rPr>
                <w:sz w:val="15"/>
              </w:rPr>
              <w:t>Independent reading versus listening with text-to-speech, using short accessible texts</w:t>
            </w:r>
          </w:p>
        </w:tc>
        <w:tc>
          <w:tcPr>
            <w:tcW w:type="dxa" w:w="2000"/>
            <w:tcMar>
              <w:top w:w="30" w:type="dxa"/>
              <w:left w:w="60" w:type="dxa"/>
              <w:bottom w:w="30" w:type="dxa"/>
              <w:right w:w="60" w:type="dxa"/>
            </w:tcMar>
          </w:tcPr>
          <w:p>
            <w:pPr>
              <w:pStyle w:val="MDPI42tablebody"/>
              <w:jc w:val="left"/>
            </w:pPr>
            <w:r>
              <w:rPr>
                <w:sz w:val="15"/>
              </w:rPr>
              <w:t>Text comprehension, retelling, and independence</w:t>
            </w:r>
          </w:p>
        </w:tc>
        <w:tc>
          <w:tcPr>
            <w:tcW w:type="dxa" w:w="3850"/>
            <w:tcMar>
              <w:top w:w="30" w:type="dxa"/>
              <w:left w:w="60" w:type="dxa"/>
              <w:bottom w:w="30" w:type="dxa"/>
              <w:right w:w="60" w:type="dxa"/>
            </w:tcMar>
          </w:tcPr>
          <w:p>
            <w:pPr>
              <w:pStyle w:val="MDPI42tablebody"/>
              <w:jc w:val="left"/>
            </w:pPr>
            <w:r>
              <w:rPr>
                <w:sz w:val="15"/>
              </w:rPr>
              <w:t>Source-reported PEM values ranged from 0.08 to 0.75 (8–75%) across learners for comprehension and independence; higher values indicate greater separation from baseline, and responses were heterogeneous. The authors recommended combining TTS with comprehension-strategy instruction. Cohort overlap with [39], [40], and [54] could not be excluded (Table S4, Panel C).</w:t>
            </w:r>
          </w:p>
        </w:tc>
      </w:tr>
      <w:tr>
        <w:trPr>
          <w:cantSplit/>
        </w:trPr>
        <w:tc>
          <w:tcPr>
            <w:tcW w:type="dxa" w:w="650"/>
            <w:tcMar>
              <w:top w:w="30" w:type="dxa"/>
              <w:left w:w="60" w:type="dxa"/>
              <w:bottom w:w="30" w:type="dxa"/>
              <w:right w:w="60" w:type="dxa"/>
            </w:tcMar>
          </w:tcPr>
          <w:p>
            <w:pPr>
              <w:pStyle w:val="MDPI42tablebody"/>
              <w:jc w:val="left"/>
            </w:pPr>
            <w:r>
              <w:rPr>
                <w:sz w:val="15"/>
              </w:rPr>
              <w:t>[60]</w:t>
            </w:r>
          </w:p>
        </w:tc>
        <w:tc>
          <w:tcPr>
            <w:tcW w:type="dxa" w:w="1850"/>
            <w:tcMar>
              <w:top w:w="30" w:type="dxa"/>
              <w:left w:w="60" w:type="dxa"/>
              <w:bottom w:w="30" w:type="dxa"/>
              <w:right w:w="60" w:type="dxa"/>
            </w:tcMar>
          </w:tcPr>
          <w:p>
            <w:pPr>
              <w:pStyle w:val="MDPI42tablebody"/>
              <w:jc w:val="left"/>
            </w:pPr>
            <w:r>
              <w:rPr>
                <w:sz w:val="15"/>
              </w:rPr>
              <w:t>McCarthy et al. (2016); USA</w:t>
            </w:r>
          </w:p>
        </w:tc>
        <w:tc>
          <w:tcPr>
            <w:tcW w:type="dxa" w:w="2000"/>
            <w:tcMar>
              <w:top w:w="30" w:type="dxa"/>
              <w:left w:w="60" w:type="dxa"/>
              <w:bottom w:w="30" w:type="dxa"/>
              <w:right w:w="60" w:type="dxa"/>
            </w:tcMar>
          </w:tcPr>
          <w:p>
            <w:pPr>
              <w:pStyle w:val="MDPI42tablebody"/>
              <w:jc w:val="left"/>
            </w:pPr>
            <w:r>
              <w:rPr>
                <w:sz w:val="15"/>
              </w:rPr>
              <w:t>Adapted alternating-treatments/crossover single-case study with mixed-methods components</w:t>
            </w:r>
          </w:p>
        </w:tc>
        <w:tc>
          <w:tcPr>
            <w:tcW w:type="dxa" w:w="2200"/>
            <w:tcMar>
              <w:top w:w="30" w:type="dxa"/>
              <w:left w:w="60" w:type="dxa"/>
              <w:bottom w:w="30" w:type="dxa"/>
              <w:right w:w="60" w:type="dxa"/>
            </w:tcMar>
          </w:tcPr>
          <w:p>
            <w:pPr>
              <w:pStyle w:val="MDPI42tablebody"/>
              <w:jc w:val="left"/>
            </w:pPr>
            <w:r>
              <w:rPr>
                <w:sz w:val="15"/>
              </w:rPr>
              <w:t>10 Braille learners with visual impairment, age 4 years 11 months to 14 years 11 months; 7 teachers</w:t>
            </w:r>
          </w:p>
        </w:tc>
        <w:tc>
          <w:tcPr>
            <w:tcW w:type="dxa" w:w="2750"/>
            <w:tcMar>
              <w:top w:w="30" w:type="dxa"/>
              <w:left w:w="60" w:type="dxa"/>
              <w:bottom w:w="30" w:type="dxa"/>
              <w:right w:w="60" w:type="dxa"/>
            </w:tcMar>
          </w:tcPr>
          <w:p>
            <w:pPr>
              <w:pStyle w:val="MDPI42tablebody"/>
              <w:jc w:val="left"/>
            </w:pPr>
            <w:r>
              <w:rPr>
                <w:sz w:val="15"/>
              </w:rPr>
              <w:t>Teacher instruction plus adaptive AI Braille Tutor versus teacher instruction alone, using different contraction sets within learners</w:t>
            </w:r>
          </w:p>
        </w:tc>
        <w:tc>
          <w:tcPr>
            <w:tcW w:type="dxa" w:w="2000"/>
            <w:tcMar>
              <w:top w:w="30" w:type="dxa"/>
              <w:left w:w="60" w:type="dxa"/>
              <w:bottom w:w="30" w:type="dxa"/>
              <w:right w:w="60" w:type="dxa"/>
            </w:tcMar>
          </w:tcPr>
          <w:p>
            <w:pPr>
              <w:pStyle w:val="MDPI42tablebody"/>
              <w:jc w:val="left"/>
            </w:pPr>
            <w:r>
              <w:rPr>
                <w:sz w:val="15"/>
              </w:rPr>
              <w:t>Sessions to 100% mastery of written Braille contractions; contraction acquisition; usability</w:t>
            </w:r>
          </w:p>
        </w:tc>
        <w:tc>
          <w:tcPr>
            <w:tcW w:type="dxa" w:w="3850"/>
            <w:tcMar>
              <w:top w:w="30" w:type="dxa"/>
              <w:left w:w="60" w:type="dxa"/>
              <w:bottom w:w="30" w:type="dxa"/>
              <w:right w:w="60" w:type="dxa"/>
            </w:tcMar>
          </w:tcPr>
          <w:p>
            <w:pPr>
              <w:pStyle w:val="MDPI42tablebody"/>
              <w:jc w:val="left"/>
            </w:pPr>
            <w:r>
              <w:rPr>
                <w:sz w:val="15"/>
              </w:rPr>
              <w:t>Mean sessions to mastery were 7.00 (range 1–12) with Tutor support and 9.58 (range 3–16) with teacher-only instruction. The authors characterised this as a trend; the study was not powered for a confirmatory comparison, and different contraction sets were used in the two conditions.</w:t>
            </w:r>
          </w:p>
        </w:tc>
      </w:tr>
    </w:tbl>
    <w:p>
      <w:pPr>
        <w:pStyle w:val="MDPI43tablefooter"/>
        <w:ind w:left="0"/>
      </w:pPr>
      <w:r>
        <w:t>ADHD, attention-deficit/hyperactivity disorder; AI, artificial intelligence; LD, learning disability; NAP, non-overlap of all pairs; PEM, percentage exceeding the median; SDQ, Strengths and Difficulties Questionnaire; STT, speech-to-text; TTS, text-to-speech. Participant counts are enrolled or baseline samples unless otherwise indicated; outcome-specific analytic samples were smaller in some reports. Reports [34] and [35] describe overlapping cohorts and were treated as one study. For reports [55] and [57], extraction is limited to the published abstract because the full text could not be obtained. Reported p values and effect statistics were transcribed from the source reports and should be read together with the appraisal in Table S3.</w:t>
      </w:r>
    </w:p>
    <w:p>
      <w:pPr>
        <w:pStyle w:val="MDPI41tablecaption"/>
        <w:keepNext/>
        <w:ind w:left="0"/>
      </w:pPr>
      <w:r>
        <w:rPr>
          <w:b/>
        </w:rPr>
        <w:t>Table S3.</w:t>
      </w:r>
      <w:r>
        <w:t xml:space="preserve"> Design-specific risk-of-bias and single-case appraisal of the 27 included reports.</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650"/>
        <w:gridCol w:w="1900"/>
        <w:gridCol w:w="2450"/>
        <w:gridCol w:w="10300"/>
      </w:tblGrid>
      <w:tr>
        <w:trPr>
          <w:tblHeader/>
        </w:trPr>
        <w:tc>
          <w:tcPr>
            <w:tcW w:type="dxa" w:w="650"/>
            <w:tcBorders>
              <w:bottom w:val="single" w:sz="4" w:space="0" w:color="000000"/>
            </w:tcBorders>
            <w:tcMar>
              <w:top w:w="30" w:type="dxa"/>
              <w:left w:w="60" w:type="dxa"/>
              <w:bottom w:w="30" w:type="dxa"/>
              <w:right w:w="60" w:type="dxa"/>
            </w:tcMar>
          </w:tcPr>
          <w:p>
            <w:pPr>
              <w:pStyle w:val="MDPI42tablebody"/>
              <w:jc w:val="left"/>
            </w:pPr>
            <w:r>
              <w:rPr>
                <w:b/>
                <w:sz w:val="16"/>
              </w:rPr>
              <w:t>Ref.</w:t>
            </w:r>
          </w:p>
        </w:tc>
        <w:tc>
          <w:tcPr>
            <w:tcW w:type="dxa" w:w="1900"/>
            <w:tcBorders>
              <w:bottom w:val="single" w:sz="4" w:space="0" w:color="000000"/>
            </w:tcBorders>
            <w:tcMar>
              <w:top w:w="30" w:type="dxa"/>
              <w:left w:w="60" w:type="dxa"/>
              <w:bottom w:w="30" w:type="dxa"/>
              <w:right w:w="60" w:type="dxa"/>
            </w:tcMar>
          </w:tcPr>
          <w:p>
            <w:pPr>
              <w:pStyle w:val="MDPI42tablebody"/>
              <w:jc w:val="left"/>
            </w:pPr>
            <w:r>
              <w:rPr>
                <w:b/>
                <w:sz w:val="16"/>
              </w:rPr>
              <w:t>Tool</w:t>
            </w:r>
          </w:p>
        </w:tc>
        <w:tc>
          <w:tcPr>
            <w:tcW w:type="dxa" w:w="2450"/>
            <w:tcBorders>
              <w:bottom w:val="single" w:sz="4" w:space="0" w:color="000000"/>
            </w:tcBorders>
            <w:tcMar>
              <w:top w:w="30" w:type="dxa"/>
              <w:left w:w="60" w:type="dxa"/>
              <w:bottom w:w="30" w:type="dxa"/>
              <w:right w:w="60" w:type="dxa"/>
            </w:tcMar>
          </w:tcPr>
          <w:p>
            <w:pPr>
              <w:pStyle w:val="MDPI42tablebody"/>
              <w:jc w:val="left"/>
            </w:pPr>
            <w:r>
              <w:rPr>
                <w:b/>
                <w:sz w:val="16"/>
              </w:rPr>
              <w:t>Overall judgement</w:t>
            </w:r>
          </w:p>
        </w:tc>
        <w:tc>
          <w:tcPr>
            <w:tcW w:type="dxa" w:w="10300"/>
            <w:tcBorders>
              <w:bottom w:val="single" w:sz="4" w:space="0" w:color="000000"/>
            </w:tcBorders>
            <w:tcMar>
              <w:top w:w="30" w:type="dxa"/>
              <w:left w:w="60" w:type="dxa"/>
              <w:bottom w:w="30" w:type="dxa"/>
              <w:right w:w="60" w:type="dxa"/>
            </w:tcMar>
          </w:tcPr>
          <w:p>
            <w:pPr>
              <w:pStyle w:val="MDPI42tablebody"/>
              <w:jc w:val="left"/>
            </w:pPr>
            <w:r>
              <w:rPr>
                <w:b/>
                <w:sz w:val="16"/>
              </w:rPr>
              <w:t>Principal basis for judgement</w:t>
            </w:r>
          </w:p>
        </w:tc>
      </w:tr>
      <w:tr>
        <w:trPr>
          <w:cantSplit/>
        </w:trPr>
        <w:tc>
          <w:tcPr>
            <w:tcW w:type="dxa" w:w="650"/>
            <w:tcMar>
              <w:top w:w="30" w:type="dxa"/>
              <w:left w:w="60" w:type="dxa"/>
              <w:bottom w:w="30" w:type="dxa"/>
              <w:right w:w="60" w:type="dxa"/>
            </w:tcMar>
          </w:tcPr>
          <w:p>
            <w:pPr>
              <w:pStyle w:val="MDPI42tablebody"/>
              <w:jc w:val="left"/>
            </w:pPr>
            <w:r>
              <w:rPr>
                <w:sz w:val="16"/>
              </w:rPr>
              <w:t>[34]</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Serious risk</w:t>
            </w:r>
          </w:p>
        </w:tc>
        <w:tc>
          <w:tcPr>
            <w:tcW w:type="dxa" w:w="10300"/>
            <w:tcMar>
              <w:top w:w="30" w:type="dxa"/>
              <w:left w:w="60" w:type="dxa"/>
              <w:bottom w:w="30" w:type="dxa"/>
              <w:right w:w="60" w:type="dxa"/>
            </w:tcMar>
          </w:tcPr>
          <w:p>
            <w:pPr>
              <w:pStyle w:val="MDPI42tablebody"/>
              <w:jc w:val="left"/>
            </w:pPr>
            <w:r>
              <w:rPr>
                <w:sz w:val="16"/>
              </w:rPr>
              <w:t>Nonrandom allocation and residual confounding; masking and prespecified analysis not documented.</w:t>
            </w:r>
          </w:p>
        </w:tc>
      </w:tr>
      <w:tr>
        <w:trPr>
          <w:cantSplit/>
        </w:trPr>
        <w:tc>
          <w:tcPr>
            <w:tcW w:type="dxa" w:w="650"/>
            <w:tcMar>
              <w:top w:w="30" w:type="dxa"/>
              <w:left w:w="60" w:type="dxa"/>
              <w:bottom w:w="30" w:type="dxa"/>
              <w:right w:w="60" w:type="dxa"/>
            </w:tcMar>
          </w:tcPr>
          <w:p>
            <w:pPr>
              <w:pStyle w:val="MDPI42tablebody"/>
              <w:jc w:val="left"/>
            </w:pPr>
            <w:r>
              <w:rPr>
                <w:sz w:val="16"/>
              </w:rPr>
              <w:t>[35]</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Serious risk</w:t>
            </w:r>
          </w:p>
        </w:tc>
        <w:tc>
          <w:tcPr>
            <w:tcW w:type="dxa" w:w="10300"/>
            <w:tcMar>
              <w:top w:w="30" w:type="dxa"/>
              <w:left w:w="60" w:type="dxa"/>
              <w:bottom w:w="30" w:type="dxa"/>
              <w:right w:w="60" w:type="dxa"/>
            </w:tcMar>
          </w:tcPr>
          <w:p>
            <w:pPr>
              <w:pStyle w:val="MDPI42tablebody"/>
              <w:jc w:val="left"/>
            </w:pPr>
            <w:r>
              <w:rPr>
                <w:sz w:val="16"/>
              </w:rPr>
              <w:t>Nonrandom, nonconcurrent expanded comparison; participant overlap with [34]; residual confounding.</w:t>
            </w:r>
          </w:p>
        </w:tc>
      </w:tr>
      <w:tr>
        <w:trPr>
          <w:cantSplit/>
        </w:trPr>
        <w:tc>
          <w:tcPr>
            <w:tcW w:type="dxa" w:w="650"/>
            <w:tcMar>
              <w:top w:w="30" w:type="dxa"/>
              <w:left w:w="60" w:type="dxa"/>
              <w:bottom w:w="30" w:type="dxa"/>
              <w:right w:w="60" w:type="dxa"/>
            </w:tcMar>
          </w:tcPr>
          <w:p>
            <w:pPr>
              <w:pStyle w:val="MDPI42tablebody"/>
              <w:jc w:val="left"/>
            </w:pPr>
            <w:r>
              <w:rPr>
                <w:sz w:val="16"/>
              </w:rPr>
              <w:t>[36]</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Moderate risk</w:t>
            </w:r>
          </w:p>
        </w:tc>
        <w:tc>
          <w:tcPr>
            <w:tcW w:type="dxa" w:w="10300"/>
            <w:tcMar>
              <w:top w:w="30" w:type="dxa"/>
              <w:left w:w="60" w:type="dxa"/>
              <w:bottom w:w="30" w:type="dxa"/>
              <w:right w:w="60" w:type="dxa"/>
            </w:tcMar>
          </w:tcPr>
          <w:p>
            <w:pPr>
              <w:pStyle w:val="MDPI42tablebody"/>
              <w:jc w:val="left"/>
            </w:pPr>
            <w:r>
              <w:rPr>
                <w:sz w:val="16"/>
              </w:rPr>
              <w:t>Within-participant counterbalancing reduced time-invariant confounding, but carryover, expectation, and unmasked outcome-rating concerns remained.</w:t>
            </w:r>
          </w:p>
        </w:tc>
      </w:tr>
      <w:tr>
        <w:trPr>
          <w:cantSplit/>
        </w:trPr>
        <w:tc>
          <w:tcPr>
            <w:tcW w:type="dxa" w:w="650"/>
            <w:tcMar>
              <w:top w:w="30" w:type="dxa"/>
              <w:left w:w="60" w:type="dxa"/>
              <w:bottom w:w="30" w:type="dxa"/>
              <w:right w:w="60" w:type="dxa"/>
            </w:tcMar>
          </w:tcPr>
          <w:p>
            <w:pPr>
              <w:pStyle w:val="MDPI42tablebody"/>
              <w:jc w:val="left"/>
            </w:pPr>
            <w:r>
              <w:rPr>
                <w:sz w:val="16"/>
              </w:rPr>
              <w:t>[37]</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Moderate risk</w:t>
            </w:r>
          </w:p>
        </w:tc>
        <w:tc>
          <w:tcPr>
            <w:tcW w:type="dxa" w:w="10300"/>
            <w:tcMar>
              <w:top w:w="30" w:type="dxa"/>
              <w:left w:w="60" w:type="dxa"/>
              <w:bottom w:w="30" w:type="dxa"/>
              <w:right w:w="60" w:type="dxa"/>
            </w:tcMar>
          </w:tcPr>
          <w:p>
            <w:pPr>
              <w:pStyle w:val="MDPI42tablebody"/>
              <w:jc w:val="left"/>
            </w:pPr>
            <w:r>
              <w:rPr>
                <w:sz w:val="16"/>
              </w:rPr>
              <w:t>Target result: errors left in the final text product under the STT versus keyboard condition. Order and topic were counterbalanced, controlling time-invariant confounding, and interventions were clearly classified. Residual concerns: the analysed participants were the subset of a larger project with complete composition-process data (selection); a single composition per condition; unmasked administration; and although text-quality raters were independent of data collection, residual STT transcription errors could reveal the composing condition. Participants had no prior experience of composing with STT, which may disadvantage the STT condition and is conservative with respect to the reported benefit.</w:t>
            </w:r>
          </w:p>
        </w:tc>
      </w:tr>
      <w:tr>
        <w:trPr>
          <w:cantSplit/>
        </w:trPr>
        <w:tc>
          <w:tcPr>
            <w:tcW w:type="dxa" w:w="650"/>
            <w:tcMar>
              <w:top w:w="30" w:type="dxa"/>
              <w:left w:w="60" w:type="dxa"/>
              <w:bottom w:w="30" w:type="dxa"/>
              <w:right w:w="60" w:type="dxa"/>
            </w:tcMar>
          </w:tcPr>
          <w:p>
            <w:pPr>
              <w:pStyle w:val="MDPI42tablebody"/>
              <w:jc w:val="left"/>
            </w:pPr>
            <w:r>
              <w:rPr>
                <w:sz w:val="16"/>
              </w:rPr>
              <w:t>[38]</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Only two planned baseline lengths (three or six observations), incomplete baseline for one learner, and fewer than three WWC-eligible intervention-onset timings.</w:t>
            </w:r>
          </w:p>
        </w:tc>
      </w:tr>
      <w:tr>
        <w:trPr>
          <w:cantSplit/>
        </w:trPr>
        <w:tc>
          <w:tcPr>
            <w:tcW w:type="dxa" w:w="650"/>
            <w:tcMar>
              <w:top w:w="30" w:type="dxa"/>
              <w:left w:w="60" w:type="dxa"/>
              <w:bottom w:w="30" w:type="dxa"/>
              <w:right w:w="60" w:type="dxa"/>
            </w:tcMar>
          </w:tcPr>
          <w:p>
            <w:pPr>
              <w:pStyle w:val="MDPI42tablebody"/>
              <w:jc w:val="left"/>
            </w:pPr>
            <w:r>
              <w:rPr>
                <w:sz w:val="16"/>
              </w:rPr>
              <w:t>[39]</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A–B design provides only one opportunity per learner to demonstrate an intervention effect.</w:t>
            </w:r>
          </w:p>
        </w:tc>
      </w:tr>
      <w:tr>
        <w:trPr>
          <w:cantSplit/>
        </w:trPr>
        <w:tc>
          <w:tcPr>
            <w:tcW w:type="dxa" w:w="650"/>
            <w:tcMar>
              <w:top w:w="30" w:type="dxa"/>
              <w:left w:w="60" w:type="dxa"/>
              <w:bottom w:w="30" w:type="dxa"/>
              <w:right w:w="60" w:type="dxa"/>
            </w:tcMar>
          </w:tcPr>
          <w:p>
            <w:pPr>
              <w:pStyle w:val="MDPI42tablebody"/>
              <w:jc w:val="left"/>
            </w:pPr>
            <w:r>
              <w:rPr>
                <w:sz w:val="16"/>
              </w:rPr>
              <w:t>[40]</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A–B design with a three-observation baseline; no reversal or staggered replication.</w:t>
            </w:r>
          </w:p>
        </w:tc>
      </w:tr>
      <w:tr>
        <w:trPr>
          <w:cantSplit/>
        </w:trPr>
        <w:tc>
          <w:tcPr>
            <w:tcW w:type="dxa" w:w="650"/>
            <w:tcMar>
              <w:top w:w="30" w:type="dxa"/>
              <w:left w:w="60" w:type="dxa"/>
              <w:bottom w:w="30" w:type="dxa"/>
              <w:right w:w="60" w:type="dxa"/>
            </w:tcMar>
          </w:tcPr>
          <w:p>
            <w:pPr>
              <w:pStyle w:val="MDPI42tablebody"/>
              <w:jc w:val="left"/>
            </w:pPr>
            <w:r>
              <w:rPr>
                <w:sz w:val="16"/>
              </w:rPr>
              <w:t>[41]</w:t>
            </w:r>
          </w:p>
        </w:tc>
        <w:tc>
          <w:tcPr>
            <w:tcW w:type="dxa" w:w="1900"/>
            <w:tcMar>
              <w:top w:w="30" w:type="dxa"/>
              <w:left w:w="60" w:type="dxa"/>
              <w:bottom w:w="30" w:type="dxa"/>
              <w:right w:w="60" w:type="dxa"/>
            </w:tcMar>
          </w:tcPr>
          <w:p>
            <w:pPr>
              <w:pStyle w:val="MDPI42tablebody"/>
              <w:jc w:val="left"/>
            </w:pPr>
            <w:r>
              <w:rPr>
                <w:sz w:val="16"/>
              </w:rPr>
              <w:t>RoB 2</w:t>
            </w:r>
          </w:p>
        </w:tc>
        <w:tc>
          <w:tcPr>
            <w:tcW w:type="dxa" w:w="2450"/>
            <w:tcMar>
              <w:top w:w="30" w:type="dxa"/>
              <w:left w:w="60" w:type="dxa"/>
              <w:bottom w:w="30" w:type="dxa"/>
              <w:right w:w="60" w:type="dxa"/>
            </w:tcMar>
          </w:tcPr>
          <w:p>
            <w:pPr>
              <w:pStyle w:val="MDPI42tablebody"/>
              <w:jc w:val="left"/>
            </w:pPr>
            <w:r>
              <w:rPr>
                <w:sz w:val="16"/>
              </w:rPr>
              <w:t>High risk</w:t>
            </w:r>
          </w:p>
        </w:tc>
        <w:tc>
          <w:tcPr>
            <w:tcW w:type="dxa" w:w="10300"/>
            <w:tcMar>
              <w:top w:w="30" w:type="dxa"/>
              <w:left w:w="60" w:type="dxa"/>
              <w:bottom w:w="30" w:type="dxa"/>
              <w:right w:w="60" w:type="dxa"/>
            </w:tcMar>
          </w:tcPr>
          <w:p>
            <w:pPr>
              <w:pStyle w:val="MDPI42tablebody"/>
              <w:jc w:val="left"/>
            </w:pPr>
            <w:r>
              <w:rPr>
                <w:sz w:val="16"/>
              </w:rPr>
              <w:t>Randomization method and concealment absent; researcher-developed outcome lacked validation and blinded assessment; no prespecified analysis plan.</w:t>
            </w:r>
          </w:p>
        </w:tc>
      </w:tr>
      <w:tr>
        <w:trPr>
          <w:cantSplit/>
        </w:trPr>
        <w:tc>
          <w:tcPr>
            <w:tcW w:type="dxa" w:w="650"/>
            <w:tcMar>
              <w:top w:w="30" w:type="dxa"/>
              <w:left w:w="60" w:type="dxa"/>
              <w:bottom w:w="30" w:type="dxa"/>
              <w:right w:w="60" w:type="dxa"/>
            </w:tcMar>
          </w:tcPr>
          <w:p>
            <w:pPr>
              <w:pStyle w:val="MDPI42tablebody"/>
              <w:jc w:val="left"/>
            </w:pPr>
            <w:r>
              <w:rPr>
                <w:sz w:val="16"/>
              </w:rPr>
              <w:t>[42]</w:t>
            </w:r>
          </w:p>
        </w:tc>
        <w:tc>
          <w:tcPr>
            <w:tcW w:type="dxa" w:w="1900"/>
            <w:tcMar>
              <w:top w:w="30" w:type="dxa"/>
              <w:left w:w="60" w:type="dxa"/>
              <w:bottom w:w="30" w:type="dxa"/>
              <w:right w:w="60" w:type="dxa"/>
            </w:tcMar>
          </w:tcPr>
          <w:p>
            <w:pPr>
              <w:pStyle w:val="MDPI42tablebody"/>
              <w:jc w:val="left"/>
            </w:pPr>
            <w:r>
              <w:rPr>
                <w:sz w:val="16"/>
              </w:rPr>
              <w:t>RoB 2 (crossover variant)</w:t>
            </w:r>
          </w:p>
        </w:tc>
        <w:tc>
          <w:tcPr>
            <w:tcW w:type="dxa" w:w="2450"/>
            <w:tcMar>
              <w:top w:w="30" w:type="dxa"/>
              <w:left w:w="60" w:type="dxa"/>
              <w:bottom w:w="30" w:type="dxa"/>
              <w:right w:w="60" w:type="dxa"/>
            </w:tcMar>
          </w:tcPr>
          <w:p>
            <w:pPr>
              <w:pStyle w:val="MDPI42tablebody"/>
              <w:jc w:val="left"/>
            </w:pPr>
            <w:r>
              <w:rPr>
                <w:sz w:val="16"/>
              </w:rPr>
              <w:t>Some concerns</w:t>
            </w:r>
          </w:p>
        </w:tc>
        <w:tc>
          <w:tcPr>
            <w:tcW w:type="dxa" w:w="10300"/>
            <w:tcMar>
              <w:top w:w="30" w:type="dxa"/>
              <w:left w:w="60" w:type="dxa"/>
              <w:bottom w:w="30" w:type="dxa"/>
              <w:right w:w="60" w:type="dxa"/>
            </w:tcMar>
          </w:tcPr>
          <w:p>
            <w:pPr>
              <w:pStyle w:val="MDPI42tablebody"/>
              <w:jc w:val="left"/>
            </w:pPr>
            <w:r>
              <w:rPr>
                <w:sz w:val="16"/>
              </w:rPr>
              <w:t>Randomised two-period crossover with objectively scored comprehension and rate outcomes. The method of sequence generation and allocation concealment was not described in detail, carryover between periods was not formally evaluated, and the grade-group moderator analyses were not clearly prespecified. No domain reached a high-risk judgment.</w:t>
            </w:r>
          </w:p>
        </w:tc>
      </w:tr>
      <w:tr>
        <w:trPr>
          <w:cantSplit/>
        </w:trPr>
        <w:tc>
          <w:tcPr>
            <w:tcW w:type="dxa" w:w="650"/>
            <w:tcMar>
              <w:top w:w="30" w:type="dxa"/>
              <w:left w:w="60" w:type="dxa"/>
              <w:bottom w:w="30" w:type="dxa"/>
              <w:right w:w="60" w:type="dxa"/>
            </w:tcMar>
          </w:tcPr>
          <w:p>
            <w:pPr>
              <w:pStyle w:val="MDPI42tablebody"/>
              <w:jc w:val="left"/>
            </w:pPr>
            <w:r>
              <w:rPr>
                <w:sz w:val="16"/>
              </w:rPr>
              <w:t>[43]</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Serious risk</w:t>
            </w:r>
          </w:p>
        </w:tc>
        <w:tc>
          <w:tcPr>
            <w:tcW w:type="dxa" w:w="10300"/>
            <w:tcMar>
              <w:top w:w="30" w:type="dxa"/>
              <w:left w:w="60" w:type="dxa"/>
              <w:bottom w:w="30" w:type="dxa"/>
              <w:right w:w="60" w:type="dxa"/>
            </w:tcMar>
          </w:tcPr>
          <w:p>
            <w:pPr>
              <w:pStyle w:val="MDPI42tablebody"/>
              <w:jc w:val="left"/>
            </w:pPr>
            <w:r>
              <w:rPr>
                <w:sz w:val="16"/>
              </w:rPr>
              <w:t>Nonrandom assignment, residual confounding, and approximately 30% loss by the final assessment.</w:t>
            </w:r>
          </w:p>
        </w:tc>
      </w:tr>
      <w:tr>
        <w:trPr>
          <w:cantSplit/>
        </w:trPr>
        <w:tc>
          <w:tcPr>
            <w:tcW w:type="dxa" w:w="650"/>
            <w:tcMar>
              <w:top w:w="30" w:type="dxa"/>
              <w:left w:w="60" w:type="dxa"/>
              <w:bottom w:w="30" w:type="dxa"/>
              <w:right w:w="60" w:type="dxa"/>
            </w:tcMar>
          </w:tcPr>
          <w:p>
            <w:pPr>
              <w:pStyle w:val="MDPI42tablebody"/>
              <w:jc w:val="left"/>
            </w:pPr>
            <w:r>
              <w:rPr>
                <w:sz w:val="16"/>
              </w:rPr>
              <w:t>[44]</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Moderate risk</w:t>
            </w:r>
          </w:p>
        </w:tc>
        <w:tc>
          <w:tcPr>
            <w:tcW w:type="dxa" w:w="10300"/>
            <w:tcMar>
              <w:top w:w="30" w:type="dxa"/>
              <w:left w:w="60" w:type="dxa"/>
              <w:bottom w:w="30" w:type="dxa"/>
              <w:right w:w="60" w:type="dxa"/>
            </w:tcMar>
          </w:tcPr>
          <w:p>
            <w:pPr>
              <w:pStyle w:val="MDPI42tablebody"/>
              <w:jc w:val="left"/>
            </w:pPr>
            <w:r>
              <w:rPr>
                <w:sz w:val="16"/>
              </w:rPr>
              <w:t>Counterbalanced within-participant design, with remaining order/carryover, missing-data, and outcome-selection concerns.</w:t>
            </w:r>
          </w:p>
        </w:tc>
      </w:tr>
      <w:tr>
        <w:trPr>
          <w:cantSplit/>
        </w:trPr>
        <w:tc>
          <w:tcPr>
            <w:tcW w:type="dxa" w:w="650"/>
            <w:tcMar>
              <w:top w:w="30" w:type="dxa"/>
              <w:left w:w="60" w:type="dxa"/>
              <w:bottom w:w="30" w:type="dxa"/>
              <w:right w:w="60" w:type="dxa"/>
            </w:tcMar>
          </w:tcPr>
          <w:p>
            <w:pPr>
              <w:pStyle w:val="MDPI42tablebody"/>
              <w:jc w:val="left"/>
            </w:pPr>
            <w:r>
              <w:rPr>
                <w:sz w:val="16"/>
              </w:rPr>
              <w:t>[45]</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Serious risk</w:t>
            </w:r>
          </w:p>
        </w:tc>
        <w:tc>
          <w:tcPr>
            <w:tcW w:type="dxa" w:w="10300"/>
            <w:tcMar>
              <w:top w:w="30" w:type="dxa"/>
              <w:left w:w="60" w:type="dxa"/>
              <w:bottom w:w="30" w:type="dxa"/>
              <w:right w:w="60" w:type="dxa"/>
            </w:tcMar>
          </w:tcPr>
          <w:p>
            <w:pPr>
              <w:pStyle w:val="MDPI42tablebody"/>
              <w:jc w:val="left"/>
            </w:pPr>
            <w:r>
              <w:rPr>
                <w:sz w:val="16"/>
              </w:rPr>
              <w:t>Purposive non-equivalent groups, residual confounding, small sample, researcher-reported outcome, and internally inconsistent SDs.</w:t>
            </w:r>
          </w:p>
        </w:tc>
      </w:tr>
      <w:tr>
        <w:trPr>
          <w:cantSplit/>
        </w:trPr>
        <w:tc>
          <w:tcPr>
            <w:tcW w:type="dxa" w:w="650"/>
            <w:tcMar>
              <w:top w:w="30" w:type="dxa"/>
              <w:left w:w="60" w:type="dxa"/>
              <w:bottom w:w="30" w:type="dxa"/>
              <w:right w:w="60" w:type="dxa"/>
            </w:tcMar>
          </w:tcPr>
          <w:p>
            <w:pPr>
              <w:pStyle w:val="MDPI42tablebody"/>
              <w:jc w:val="left"/>
            </w:pPr>
            <w:r>
              <w:rPr>
                <w:sz w:val="16"/>
              </w:rPr>
              <w:t>[46]</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Serious risk</w:t>
            </w:r>
          </w:p>
        </w:tc>
        <w:tc>
          <w:tcPr>
            <w:tcW w:type="dxa" w:w="10300"/>
            <w:tcMar>
              <w:top w:w="30" w:type="dxa"/>
              <w:left w:w="60" w:type="dxa"/>
              <w:bottom w:w="30" w:type="dxa"/>
              <w:right w:w="60" w:type="dxa"/>
            </w:tcMar>
          </w:tcPr>
          <w:p>
            <w:pPr>
              <w:pStyle w:val="MDPI42tablebody"/>
              <w:jc w:val="left"/>
            </w:pPr>
            <w:r>
              <w:rPr>
                <w:sz w:val="16"/>
              </w:rPr>
              <w:t>Serious concern in selection of the reported result: multiple outcomes and group comparisons were reported without a multiplicity-adjusted confirmatory analysis. The eye-tracking analytic sample was reduced to 47 of 59 enrolled participants, and residual differences between diagnostic groups were not adjusted. The within-participant condition contrast was counterbalanced, which limited time-invariant confounding.</w:t>
            </w:r>
          </w:p>
        </w:tc>
      </w:tr>
      <w:tr>
        <w:trPr>
          <w:cantSplit/>
        </w:trPr>
        <w:tc>
          <w:tcPr>
            <w:tcW w:type="dxa" w:w="650"/>
            <w:tcMar>
              <w:top w:w="30" w:type="dxa"/>
              <w:left w:w="60" w:type="dxa"/>
              <w:bottom w:w="30" w:type="dxa"/>
              <w:right w:w="60" w:type="dxa"/>
            </w:tcMar>
          </w:tcPr>
          <w:p>
            <w:pPr>
              <w:pStyle w:val="MDPI42tablebody"/>
              <w:jc w:val="left"/>
            </w:pPr>
            <w:r>
              <w:rPr>
                <w:sz w:val="16"/>
              </w:rPr>
              <w:t>[47]</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Moderate risk</w:t>
            </w:r>
          </w:p>
        </w:tc>
        <w:tc>
          <w:tcPr>
            <w:tcW w:type="dxa" w:w="10300"/>
            <w:tcMar>
              <w:top w:w="30" w:type="dxa"/>
              <w:left w:w="60" w:type="dxa"/>
              <w:bottom w:w="30" w:type="dxa"/>
              <w:right w:w="60" w:type="dxa"/>
            </w:tcMar>
          </w:tcPr>
          <w:p>
            <w:pPr>
              <w:pStyle w:val="MDPI42tablebody"/>
              <w:jc w:val="left"/>
            </w:pPr>
            <w:r>
              <w:rPr>
                <w:sz w:val="16"/>
              </w:rPr>
              <w:t>The within-participant design controlled time-invariant confounding and interventions were clearly classified. Residual order and carryover effects, unmasked administration, and multiple outcome comparisons remained; participant selection was clinically referred rather than population based.</w:t>
            </w:r>
          </w:p>
        </w:tc>
      </w:tr>
      <w:tr>
        <w:trPr>
          <w:cantSplit/>
        </w:trPr>
        <w:tc>
          <w:tcPr>
            <w:tcW w:type="dxa" w:w="650"/>
            <w:tcMar>
              <w:top w:w="30" w:type="dxa"/>
              <w:left w:w="60" w:type="dxa"/>
              <w:bottom w:w="30" w:type="dxa"/>
              <w:right w:w="60" w:type="dxa"/>
            </w:tcMar>
          </w:tcPr>
          <w:p>
            <w:pPr>
              <w:pStyle w:val="MDPI42tablebody"/>
              <w:jc w:val="left"/>
            </w:pPr>
            <w:r>
              <w:rPr>
                <w:sz w:val="16"/>
              </w:rPr>
              <w:t>[48]</w:t>
            </w:r>
          </w:p>
        </w:tc>
        <w:tc>
          <w:tcPr>
            <w:tcW w:type="dxa" w:w="1900"/>
            <w:tcMar>
              <w:top w:w="30" w:type="dxa"/>
              <w:left w:w="60" w:type="dxa"/>
              <w:bottom w:w="30" w:type="dxa"/>
              <w:right w:w="60" w:type="dxa"/>
            </w:tcMar>
          </w:tcPr>
          <w:p>
            <w:pPr>
              <w:pStyle w:val="MDPI42tablebody"/>
              <w:jc w:val="left"/>
            </w:pPr>
            <w:r>
              <w:rPr>
                <w:sz w:val="16"/>
              </w:rPr>
              <w:t>ROBINS-I</w:t>
            </w:r>
          </w:p>
        </w:tc>
        <w:tc>
          <w:tcPr>
            <w:tcW w:type="dxa" w:w="2450"/>
            <w:tcMar>
              <w:top w:w="30" w:type="dxa"/>
              <w:left w:w="60" w:type="dxa"/>
              <w:bottom w:w="30" w:type="dxa"/>
              <w:right w:w="60" w:type="dxa"/>
            </w:tcMar>
          </w:tcPr>
          <w:p>
            <w:pPr>
              <w:pStyle w:val="MDPI42tablebody"/>
              <w:jc w:val="left"/>
            </w:pPr>
            <w:r>
              <w:rPr>
                <w:sz w:val="16"/>
              </w:rPr>
              <w:t>Moderate risk</w:t>
            </w:r>
          </w:p>
        </w:tc>
        <w:tc>
          <w:tcPr>
            <w:tcW w:type="dxa" w:w="10300"/>
            <w:tcMar>
              <w:top w:w="30" w:type="dxa"/>
              <w:left w:w="60" w:type="dxa"/>
              <w:bottom w:w="30" w:type="dxa"/>
              <w:right w:w="60" w:type="dxa"/>
            </w:tcMar>
          </w:tcPr>
          <w:p>
            <w:pPr>
              <w:pStyle w:val="MDPI42tablebody"/>
              <w:jc w:val="left"/>
            </w:pPr>
            <w:r>
              <w:rPr>
                <w:sz w:val="16"/>
              </w:rPr>
              <w:t>Target result: reading comprehension with versus without text-to-speech at the single assessment point. The within-participant counterbalanced design controlled time-invariant confounding and interventions were clearly classified. Residual order and carryover effects, unmasked administration, and subgroup analysis across four cognitive profiles without a multiplicity adjustment remain. Prespecified confounding domains: baseline decoding, listening comprehension, and prior technology experience.</w:t>
            </w:r>
          </w:p>
        </w:tc>
      </w:tr>
      <w:tr>
        <w:trPr>
          <w:cantSplit/>
        </w:trPr>
        <w:tc>
          <w:tcPr>
            <w:tcW w:type="dxa" w:w="650"/>
            <w:tcMar>
              <w:top w:w="30" w:type="dxa"/>
              <w:left w:w="60" w:type="dxa"/>
              <w:bottom w:w="30" w:type="dxa"/>
              <w:right w:w="60" w:type="dxa"/>
            </w:tcMar>
          </w:tcPr>
          <w:p>
            <w:pPr>
              <w:pStyle w:val="MDPI42tablebody"/>
              <w:jc w:val="left"/>
            </w:pPr>
            <w:r>
              <w:rPr>
                <w:sz w:val="16"/>
              </w:rPr>
              <w:t>[49]</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The A–B–A–B sequence provided repeated effect demonstrations; the observation and measurement requirements supported a rating with reservations rather than without reservations.</w:t>
            </w:r>
          </w:p>
        </w:tc>
      </w:tr>
      <w:tr>
        <w:trPr>
          <w:cantSplit/>
        </w:trPr>
        <w:tc>
          <w:tcPr>
            <w:tcW w:type="dxa" w:w="650"/>
            <w:tcMar>
              <w:top w:w="30" w:type="dxa"/>
              <w:left w:w="60" w:type="dxa"/>
              <w:bottom w:w="30" w:type="dxa"/>
              <w:right w:w="60" w:type="dxa"/>
            </w:tcMar>
          </w:tcPr>
          <w:p>
            <w:pPr>
              <w:pStyle w:val="MDPI42tablebody"/>
              <w:jc w:val="left"/>
            </w:pPr>
            <w:r>
              <w:rPr>
                <w:sz w:val="16"/>
              </w:rPr>
              <w:t>[50]</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The A–B–A–B sequence and reported 90% agreement supported replication, but several phases contained only three or four observations.</w:t>
            </w:r>
          </w:p>
        </w:tc>
      </w:tr>
      <w:tr>
        <w:trPr>
          <w:cantSplit/>
        </w:trPr>
        <w:tc>
          <w:tcPr>
            <w:tcW w:type="dxa" w:w="650"/>
            <w:tcMar>
              <w:top w:w="30" w:type="dxa"/>
              <w:left w:w="60" w:type="dxa"/>
              <w:bottom w:w="30" w:type="dxa"/>
              <w:right w:w="60" w:type="dxa"/>
            </w:tcMar>
          </w:tcPr>
          <w:p>
            <w:pPr>
              <w:pStyle w:val="MDPI42tablebody"/>
              <w:jc w:val="left"/>
            </w:pPr>
            <w:r>
              <w:rPr>
                <w:sz w:val="16"/>
              </w:rPr>
              <w:t>[51]</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The adapted alternating-treatments design provided repeated comparisons, but the number of observations and possible treatment interference required reservations.</w:t>
            </w:r>
          </w:p>
        </w:tc>
      </w:tr>
      <w:tr>
        <w:trPr>
          <w:cantSplit/>
        </w:trPr>
        <w:tc>
          <w:tcPr>
            <w:tcW w:type="dxa" w:w="650"/>
            <w:tcMar>
              <w:top w:w="30" w:type="dxa"/>
              <w:left w:w="60" w:type="dxa"/>
              <w:bottom w:w="30" w:type="dxa"/>
              <w:right w:w="60" w:type="dxa"/>
            </w:tcMar>
          </w:tcPr>
          <w:p>
            <w:pPr>
              <w:pStyle w:val="MDPI42tablebody"/>
              <w:jc w:val="left"/>
            </w:pPr>
            <w:r>
              <w:rPr>
                <w:sz w:val="16"/>
              </w:rPr>
              <w:t>[52]</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The combination design provided replication across three participants, but observation-level limitations required a rating with reservations.</w:t>
            </w:r>
          </w:p>
        </w:tc>
      </w:tr>
      <w:tr>
        <w:trPr>
          <w:cantSplit/>
        </w:trPr>
        <w:tc>
          <w:tcPr>
            <w:tcW w:type="dxa" w:w="650"/>
            <w:tcMar>
              <w:top w:w="30" w:type="dxa"/>
              <w:left w:w="60" w:type="dxa"/>
              <w:bottom w:w="30" w:type="dxa"/>
              <w:right w:w="60" w:type="dxa"/>
            </w:tcMar>
          </w:tcPr>
          <w:p>
            <w:pPr>
              <w:pStyle w:val="MDPI42tablebody"/>
              <w:jc w:val="left"/>
            </w:pPr>
            <w:r>
              <w:rPr>
                <w:sz w:val="16"/>
              </w:rPr>
              <w:t>[53]</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Single A–B–A sequence, inadequate final baseline observations, and unclear outcome measurement/reporting.</w:t>
            </w:r>
          </w:p>
        </w:tc>
      </w:tr>
      <w:tr>
        <w:trPr>
          <w:cantSplit/>
        </w:trPr>
        <w:tc>
          <w:tcPr>
            <w:tcW w:type="dxa" w:w="650"/>
            <w:tcMar>
              <w:top w:w="30" w:type="dxa"/>
              <w:left w:w="60" w:type="dxa"/>
              <w:bottom w:w="30" w:type="dxa"/>
              <w:right w:w="60" w:type="dxa"/>
            </w:tcMar>
          </w:tcPr>
          <w:p>
            <w:pPr>
              <w:pStyle w:val="MDPI42tablebody"/>
              <w:jc w:val="left"/>
            </w:pPr>
            <w:r>
              <w:rPr>
                <w:sz w:val="16"/>
              </w:rPr>
              <w:t>[54]</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Target result: text comprehension at the first intervention session. The A–B structure with a time lag did not provide three concurrent, WWC-eligible demonstrations of effect, and five of the eight learners had fewer than four baseline observations (3, 2, 1, 1, and 1) according to the participant table. The source narrative states four such learners; this review uses the participant-level value, which strengthens rather than alters the rating. Additional bias domains: outcome assessment was not blinded; implementation fidelity was not reported.</w:t>
            </w:r>
          </w:p>
        </w:tc>
      </w:tr>
      <w:tr>
        <w:trPr>
          <w:cantSplit/>
        </w:trPr>
        <w:tc>
          <w:tcPr>
            <w:tcW w:type="dxa" w:w="650"/>
            <w:tcMar>
              <w:top w:w="30" w:type="dxa"/>
              <w:left w:w="60" w:type="dxa"/>
              <w:bottom w:w="30" w:type="dxa"/>
              <w:right w:w="60" w:type="dxa"/>
            </w:tcMar>
          </w:tcPr>
          <w:p>
            <w:pPr>
              <w:pStyle w:val="MDPI42tablebody"/>
              <w:jc w:val="left"/>
            </w:pPr>
            <w:r>
              <w:rPr>
                <w:sz w:val="16"/>
              </w:rPr>
              <w:t>[55]</w:t>
            </w:r>
          </w:p>
        </w:tc>
        <w:tc>
          <w:tcPr>
            <w:tcW w:type="dxa" w:w="1900"/>
            <w:tcMar>
              <w:top w:w="30" w:type="dxa"/>
              <w:left w:w="60" w:type="dxa"/>
              <w:bottom w:w="30" w:type="dxa"/>
              <w:right w:w="60" w:type="dxa"/>
            </w:tcMar>
          </w:tcPr>
          <w:p>
            <w:pPr>
              <w:pStyle w:val="MDPI42tablebody"/>
              <w:jc w:val="left"/>
            </w:pPr>
            <w:r>
              <w:rPr>
                <w:sz w:val="16"/>
              </w:rPr>
              <w:t>Not appraised (abstract only)</w:t>
            </w:r>
          </w:p>
        </w:tc>
        <w:tc>
          <w:tcPr>
            <w:tcW w:type="dxa" w:w="2450"/>
            <w:tcMar>
              <w:top w:w="30" w:type="dxa"/>
              <w:left w:w="60" w:type="dxa"/>
              <w:bottom w:w="30" w:type="dxa"/>
              <w:right w:w="60" w:type="dxa"/>
            </w:tcMar>
          </w:tcPr>
          <w:p>
            <w:pPr>
              <w:pStyle w:val="MDPI42tablebody"/>
              <w:jc w:val="left"/>
            </w:pPr>
            <w:r>
              <w:rPr>
                <w:sz w:val="16"/>
              </w:rPr>
              <w:t>Not assessable</w:t>
            </w:r>
          </w:p>
        </w:tc>
        <w:tc>
          <w:tcPr>
            <w:tcW w:type="dxa" w:w="10300"/>
            <w:tcMar>
              <w:top w:w="30" w:type="dxa"/>
              <w:left w:w="60" w:type="dxa"/>
              <w:bottom w:w="30" w:type="dxa"/>
              <w:right w:w="60" w:type="dxa"/>
            </w:tcMar>
          </w:tcPr>
          <w:p>
            <w:pPr>
              <w:pStyle w:val="MDPI42tablebody"/>
              <w:jc w:val="left"/>
            </w:pPr>
            <w:r>
              <w:rPr>
                <w:sz w:val="16"/>
              </w:rPr>
              <w:t>The full text was unavailable. The ERIC record abstract does not report the phase observations, agreement, or measurement details required to apply WWC Version 5.0 criteria.</w:t>
            </w:r>
          </w:p>
        </w:tc>
      </w:tr>
      <w:tr>
        <w:trPr>
          <w:cantSplit/>
        </w:trPr>
        <w:tc>
          <w:tcPr>
            <w:tcW w:type="dxa" w:w="650"/>
            <w:tcMar>
              <w:top w:w="30" w:type="dxa"/>
              <w:left w:w="60" w:type="dxa"/>
              <w:bottom w:w="30" w:type="dxa"/>
              <w:right w:w="60" w:type="dxa"/>
            </w:tcMar>
          </w:tcPr>
          <w:p>
            <w:pPr>
              <w:pStyle w:val="MDPI42tablebody"/>
              <w:jc w:val="left"/>
            </w:pPr>
            <w:r>
              <w:rPr>
                <w:sz w:val="16"/>
              </w:rPr>
              <w:t>[56]</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Target result: reading comprehension at the first intervention phase. The multiple-baseline design across three participants provides three staggered demonstrations. Reservations reflect the number of observations per phase. Additional bias domains: no evidence of selective outcome reporting; the null result was fully reported; outcome assessment was not blinded.</w:t>
            </w:r>
          </w:p>
        </w:tc>
      </w:tr>
      <w:tr>
        <w:trPr>
          <w:cantSplit/>
        </w:trPr>
        <w:tc>
          <w:tcPr>
            <w:tcW w:type="dxa" w:w="650"/>
            <w:tcMar>
              <w:top w:w="30" w:type="dxa"/>
              <w:left w:w="60" w:type="dxa"/>
              <w:bottom w:w="30" w:type="dxa"/>
              <w:right w:w="60" w:type="dxa"/>
            </w:tcMar>
          </w:tcPr>
          <w:p>
            <w:pPr>
              <w:pStyle w:val="MDPI42tablebody"/>
              <w:jc w:val="left"/>
            </w:pPr>
            <w:r>
              <w:rPr>
                <w:sz w:val="16"/>
              </w:rPr>
              <w:t>[57]</w:t>
            </w:r>
          </w:p>
        </w:tc>
        <w:tc>
          <w:tcPr>
            <w:tcW w:type="dxa" w:w="1900"/>
            <w:tcMar>
              <w:top w:w="30" w:type="dxa"/>
              <w:left w:w="60" w:type="dxa"/>
              <w:bottom w:w="30" w:type="dxa"/>
              <w:right w:w="60" w:type="dxa"/>
            </w:tcMar>
          </w:tcPr>
          <w:p>
            <w:pPr>
              <w:pStyle w:val="MDPI42tablebody"/>
              <w:jc w:val="left"/>
            </w:pPr>
            <w:r>
              <w:rPr>
                <w:sz w:val="16"/>
              </w:rPr>
              <w:t>Not appraised (abstract only)</w:t>
            </w:r>
          </w:p>
        </w:tc>
        <w:tc>
          <w:tcPr>
            <w:tcW w:type="dxa" w:w="2450"/>
            <w:tcMar>
              <w:top w:w="30" w:type="dxa"/>
              <w:left w:w="60" w:type="dxa"/>
              <w:bottom w:w="30" w:type="dxa"/>
              <w:right w:w="60" w:type="dxa"/>
            </w:tcMar>
          </w:tcPr>
          <w:p>
            <w:pPr>
              <w:pStyle w:val="MDPI42tablebody"/>
              <w:jc w:val="left"/>
            </w:pPr>
            <w:r>
              <w:rPr>
                <w:sz w:val="16"/>
              </w:rPr>
              <w:t>Not assessable</w:t>
            </w:r>
          </w:p>
        </w:tc>
        <w:tc>
          <w:tcPr>
            <w:tcW w:type="dxa" w:w="10300"/>
            <w:tcMar>
              <w:top w:w="30" w:type="dxa"/>
              <w:left w:w="60" w:type="dxa"/>
              <w:bottom w:w="30" w:type="dxa"/>
              <w:right w:w="60" w:type="dxa"/>
            </w:tcMar>
          </w:tcPr>
          <w:p>
            <w:pPr>
              <w:pStyle w:val="MDPI42tablebody"/>
              <w:jc w:val="left"/>
            </w:pPr>
            <w:r>
              <w:rPr>
                <w:sz w:val="16"/>
              </w:rPr>
              <w:t>The full text was unavailable. The publisher abstract does not report the phase observations, agreement, or measurement details required to apply WWC Version 5.0 criteria.</w:t>
            </w:r>
          </w:p>
        </w:tc>
      </w:tr>
      <w:tr>
        <w:trPr>
          <w:cantSplit/>
        </w:trPr>
        <w:tc>
          <w:tcPr>
            <w:tcW w:type="dxa" w:w="650"/>
            <w:tcMar>
              <w:top w:w="30" w:type="dxa"/>
              <w:left w:w="60" w:type="dxa"/>
              <w:bottom w:w="30" w:type="dxa"/>
              <w:right w:w="60" w:type="dxa"/>
            </w:tcMar>
          </w:tcPr>
          <w:p>
            <w:pPr>
              <w:pStyle w:val="MDPI42tablebody"/>
              <w:jc w:val="left"/>
            </w:pPr>
            <w:r>
              <w:rPr>
                <w:sz w:val="16"/>
              </w:rPr>
              <w:t>[58]</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Meets WWC Standards With Reservations</w:t>
            </w:r>
          </w:p>
        </w:tc>
        <w:tc>
          <w:tcPr>
            <w:tcW w:type="dxa" w:w="10300"/>
            <w:tcMar>
              <w:top w:w="30" w:type="dxa"/>
              <w:left w:w="60" w:type="dxa"/>
              <w:bottom w:w="30" w:type="dxa"/>
              <w:right w:w="60" w:type="dxa"/>
            </w:tcMar>
          </w:tcPr>
          <w:p>
            <w:pPr>
              <w:pStyle w:val="MDPI42tablebody"/>
              <w:jc w:val="left"/>
            </w:pPr>
            <w:r>
              <w:rPr>
                <w:sz w:val="16"/>
              </w:rPr>
              <w:t>Target result: listening comprehension under text-to-speech relative to the human-reader condition. The alternating-treatments design provides repeated comparisons across four participants. Reservations reflect possible carryover between conditions and the number of observations per condition. Additional bias domains: outcome assessment was not blinded; implementation fidelity was not reported.</w:t>
            </w:r>
          </w:p>
        </w:tc>
      </w:tr>
      <w:tr>
        <w:trPr>
          <w:cantSplit/>
        </w:trPr>
        <w:tc>
          <w:tcPr>
            <w:tcW w:type="dxa" w:w="650"/>
            <w:tcMar>
              <w:top w:w="30" w:type="dxa"/>
              <w:left w:w="60" w:type="dxa"/>
              <w:bottom w:w="30" w:type="dxa"/>
              <w:right w:w="60" w:type="dxa"/>
            </w:tcMar>
          </w:tcPr>
          <w:p>
            <w:pPr>
              <w:pStyle w:val="MDPI42tablebody"/>
              <w:jc w:val="left"/>
            </w:pPr>
            <w:r>
              <w:rPr>
                <w:sz w:val="16"/>
              </w:rPr>
              <w:t>[59]</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The article describes an A–B design. One baseline-to-intervention transition per learner does not provide three WWC-eligible demonstrations of effect. Outcome assessment was not blinded, and cohort overlap with [39], [40], and [54] remains unresolved.</w:t>
            </w:r>
          </w:p>
        </w:tc>
      </w:tr>
      <w:tr>
        <w:trPr>
          <w:cantSplit/>
        </w:trPr>
        <w:tc>
          <w:tcPr>
            <w:tcW w:type="dxa" w:w="650"/>
            <w:tcMar>
              <w:top w:w="30" w:type="dxa"/>
              <w:left w:w="60" w:type="dxa"/>
              <w:bottom w:w="30" w:type="dxa"/>
              <w:right w:w="60" w:type="dxa"/>
            </w:tcMar>
          </w:tcPr>
          <w:p>
            <w:pPr>
              <w:pStyle w:val="MDPI42tablebody"/>
              <w:jc w:val="left"/>
            </w:pPr>
            <w:r>
              <w:rPr>
                <w:sz w:val="16"/>
              </w:rPr>
              <w:t>[60]</w:t>
            </w:r>
          </w:p>
        </w:tc>
        <w:tc>
          <w:tcPr>
            <w:tcW w:type="dxa" w:w="1900"/>
            <w:tcMar>
              <w:top w:w="30" w:type="dxa"/>
              <w:left w:w="60" w:type="dxa"/>
              <w:bottom w:w="30" w:type="dxa"/>
              <w:right w:w="60" w:type="dxa"/>
            </w:tcMar>
          </w:tcPr>
          <w:p>
            <w:pPr>
              <w:pStyle w:val="MDPI42tablebody"/>
              <w:jc w:val="left"/>
            </w:pPr>
            <w:r>
              <w:rPr>
                <w:sz w:val="16"/>
              </w:rPr>
              <w:t>WWC v5 SCD</w:t>
            </w:r>
          </w:p>
        </w:tc>
        <w:tc>
          <w:tcPr>
            <w:tcW w:type="dxa" w:w="2450"/>
            <w:tcMar>
              <w:top w:w="30" w:type="dxa"/>
              <w:left w:w="60" w:type="dxa"/>
              <w:bottom w:w="30" w:type="dxa"/>
              <w:right w:w="60" w:type="dxa"/>
            </w:tcMar>
          </w:tcPr>
          <w:p>
            <w:pPr>
              <w:pStyle w:val="MDPI42tablebody"/>
              <w:jc w:val="left"/>
            </w:pPr>
            <w:r>
              <w:rPr>
                <w:sz w:val="16"/>
              </w:rPr>
              <w:t>Does Not Meet WWC Standards</w:t>
            </w:r>
          </w:p>
        </w:tc>
        <w:tc>
          <w:tcPr>
            <w:tcW w:type="dxa" w:w="10300"/>
            <w:tcMar>
              <w:top w:w="30" w:type="dxa"/>
              <w:left w:w="60" w:type="dxa"/>
              <w:bottom w:w="30" w:type="dxa"/>
              <w:right w:w="60" w:type="dxa"/>
            </w:tcMar>
          </w:tcPr>
          <w:p>
            <w:pPr>
              <w:pStyle w:val="MDPI42tablebody"/>
              <w:jc w:val="left"/>
            </w:pPr>
            <w:r>
              <w:rPr>
                <w:sz w:val="16"/>
              </w:rPr>
              <w:t>Two sequential intervention conditions did not provide three WWC-eligible demonstrations of effect.</w:t>
            </w:r>
          </w:p>
        </w:tc>
      </w:tr>
    </w:tbl>
    <w:p>
      <w:pPr>
        <w:pStyle w:val="MDPI43tablefooter"/>
        <w:ind w:left="0"/>
      </w:pPr>
      <w:r>
        <w:t>RoB 2 overall categories: low risk of bias, some concerns, high risk of bias; the crossover variant adds a domain for period and carryover effects. ROBINS-I categories: low, moderate, serious, critical risk of bias, and no information. What Works Clearinghouse (WWC) categories: Meets Standards Without Reservations, Meets Standards With Reservations, Does Not Meet Standards. WWC ratings are the review authors’ application of the version 5.0 design standards, not official WWC determinations. Two reports were not assessable because only abstracts were available. Figure 3 of the main manuscript displays the overall judgements.</w:t>
      </w:r>
    </w:p>
    <w:p>
      <w:pPr>
        <w:pStyle w:val="MDPI41tablecaption"/>
        <w:keepNext/>
        <w:ind w:left="0"/>
      </w:pPr>
      <w:r>
        <w:rPr>
          <w:b/>
        </w:rPr>
        <w:t>Table S4.</w:t>
      </w:r>
      <w:r>
        <w:t xml:space="preserve"> Synthesis groups, protocol deviations and post hoc elements, report linkage, selected excluded reports, and studies awaiting classification.</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2900"/>
        <w:gridCol w:w="4200"/>
        <w:gridCol w:w="4300"/>
        <w:gridCol w:w="3900"/>
      </w:tblGrid>
      <w:tr>
        <w:trPr>
          <w:tblHeader/>
        </w:trPr>
        <w:tc>
          <w:tcPr>
            <w:tcW w:type="dxa" w:w="2900"/>
            <w:tcBorders>
              <w:bottom w:val="single" w:sz="4" w:space="0" w:color="000000"/>
            </w:tcBorders>
            <w:tcMar>
              <w:top w:w="30" w:type="dxa"/>
              <w:left w:w="60" w:type="dxa"/>
              <w:bottom w:w="30" w:type="dxa"/>
              <w:right w:w="60" w:type="dxa"/>
            </w:tcMar>
          </w:tcPr>
          <w:p>
            <w:pPr>
              <w:pStyle w:val="MDPI42tablebody"/>
              <w:jc w:val="left"/>
            </w:pPr>
            <w:r>
              <w:rPr>
                <w:b/>
                <w:sz w:val="16"/>
              </w:rPr>
              <w:t>Panel/item</w:t>
            </w:r>
          </w:p>
        </w:tc>
        <w:tc>
          <w:tcPr>
            <w:tcW w:type="dxa" w:w="4200"/>
            <w:tcBorders>
              <w:bottom w:val="single" w:sz="4" w:space="0" w:color="000000"/>
            </w:tcBorders>
            <w:tcMar>
              <w:top w:w="30" w:type="dxa"/>
              <w:left w:w="60" w:type="dxa"/>
              <w:bottom w:w="30" w:type="dxa"/>
              <w:right w:w="60" w:type="dxa"/>
            </w:tcMar>
          </w:tcPr>
          <w:p>
            <w:pPr>
              <w:pStyle w:val="MDPI42tablebody"/>
              <w:jc w:val="left"/>
            </w:pPr>
            <w:r>
              <w:rPr>
                <w:b/>
                <w:sz w:val="16"/>
              </w:rPr>
              <w:t>Population, evidence, or planned method</w:t>
            </w:r>
          </w:p>
        </w:tc>
        <w:tc>
          <w:tcPr>
            <w:tcW w:type="dxa" w:w="4300"/>
            <w:tcBorders>
              <w:bottom w:val="single" w:sz="4" w:space="0" w:color="000000"/>
            </w:tcBorders>
            <w:tcMar>
              <w:top w:w="30" w:type="dxa"/>
              <w:left w:w="60" w:type="dxa"/>
              <w:bottom w:w="30" w:type="dxa"/>
              <w:right w:w="60" w:type="dxa"/>
            </w:tcMar>
          </w:tcPr>
          <w:p>
            <w:pPr>
              <w:pStyle w:val="MDPI42tablebody"/>
              <w:jc w:val="left"/>
            </w:pPr>
            <w:r>
              <w:rPr>
                <w:b/>
                <w:sz w:val="16"/>
              </w:rPr>
              <w:t>Decision or completed method</w:t>
            </w:r>
          </w:p>
        </w:tc>
        <w:tc>
          <w:tcPr>
            <w:tcW w:type="dxa" w:w="3900"/>
            <w:tcBorders>
              <w:bottom w:val="single" w:sz="4" w:space="0" w:color="000000"/>
            </w:tcBorders>
            <w:tcMar>
              <w:top w:w="30" w:type="dxa"/>
              <w:left w:w="60" w:type="dxa"/>
              <w:bottom w:w="30" w:type="dxa"/>
              <w:right w:w="60" w:type="dxa"/>
            </w:tcMar>
          </w:tcPr>
          <w:p>
            <w:pPr>
              <w:pStyle w:val="MDPI42tablebody"/>
              <w:jc w:val="left"/>
            </w:pPr>
            <w:r>
              <w:rPr>
                <w:b/>
                <w:sz w:val="16"/>
              </w:rPr>
              <w:t>Implication</w:t>
            </w:r>
          </w:p>
        </w:tc>
      </w:tr>
      <w:tr>
        <w:trPr>
          <w:cantSplit/>
        </w:trPr>
        <w:tc>
          <w:tcPr>
            <w:tcW w:type="dxa" w:w="15300"/>
            <w:gridSpan w:val="4"/>
            <w:shd w:val="clear" w:color="auto" w:fill="F2F2F2"/>
            <w:tcMar>
              <w:top w:w="30" w:type="dxa"/>
              <w:left w:w="60" w:type="dxa"/>
              <w:bottom w:w="30" w:type="dxa"/>
              <w:right w:w="60" w:type="dxa"/>
            </w:tcMar>
          </w:tcPr>
          <w:p>
            <w:pPr>
              <w:pStyle w:val="MDPI42tablebody"/>
              <w:keepNext/>
              <w:jc w:val="left"/>
            </w:pPr>
            <w:r>
              <w:rPr>
                <w:b/>
                <w:sz w:val="16"/>
              </w:rPr>
              <w:t>Panel A. Synthesis groups and feasibility of meta-analysis</w:t>
            </w:r>
          </w:p>
        </w:tc>
      </w:tr>
      <w:tr>
        <w:trPr>
          <w:cantSplit/>
        </w:trPr>
        <w:tc>
          <w:tcPr>
            <w:tcW w:type="dxa" w:w="2900"/>
            <w:tcMar>
              <w:top w:w="30" w:type="dxa"/>
              <w:left w:w="60" w:type="dxa"/>
              <w:bottom w:w="30" w:type="dxa"/>
              <w:right w:w="60" w:type="dxa"/>
            </w:tcMar>
          </w:tcPr>
          <w:p>
            <w:pPr>
              <w:pStyle w:val="MDPI42tablebody"/>
              <w:jc w:val="left"/>
            </w:pPr>
            <w:r>
              <w:rPr>
                <w:sz w:val="16"/>
              </w:rPr>
              <w:t>G1 STT: unaided reading-related outcomes [34,35]</w:t>
            </w:r>
          </w:p>
        </w:tc>
        <w:tc>
          <w:tcPr>
            <w:tcW w:type="dxa" w:w="4200"/>
            <w:tcMar>
              <w:top w:w="30" w:type="dxa"/>
              <w:left w:w="60" w:type="dxa"/>
              <w:bottom w:w="30" w:type="dxa"/>
              <w:right w:w="60" w:type="dxa"/>
            </w:tcMar>
          </w:tcPr>
          <w:p>
            <w:pPr>
              <w:pStyle w:val="MDPI42tablebody"/>
              <w:jc w:val="left"/>
            </w:pPr>
            <w:r>
              <w:rPr>
                <w:sz w:val="16"/>
              </w:rPr>
              <w:t>Learning disabilities; STT writing practice vs. general computer instruction.</w:t>
            </w:r>
          </w:p>
        </w:tc>
        <w:tc>
          <w:tcPr>
            <w:tcW w:type="dxa" w:w="4300"/>
            <w:tcMar>
              <w:top w:w="30" w:type="dxa"/>
              <w:left w:w="60" w:type="dxa"/>
              <w:bottom w:w="30" w:type="dxa"/>
              <w:right w:w="60" w:type="dxa"/>
            </w:tcMar>
          </w:tcPr>
          <w:p>
            <w:pPr>
              <w:pStyle w:val="MDPI42tablebody"/>
              <w:jc w:val="left"/>
            </w:pPr>
            <w:r>
              <w:rPr>
                <w:sz w:val="16"/>
              </w:rPr>
              <w:t>One overlapping series; narrative synthesis.</w:t>
            </w:r>
          </w:p>
        </w:tc>
        <w:tc>
          <w:tcPr>
            <w:tcW w:type="dxa" w:w="3900"/>
            <w:tcMar>
              <w:top w:w="30" w:type="dxa"/>
              <w:left w:w="60" w:type="dxa"/>
              <w:bottom w:w="30" w:type="dxa"/>
              <w:right w:w="60" w:type="dxa"/>
            </w:tcMar>
          </w:tcPr>
          <w:p>
            <w:pPr>
              <w:pStyle w:val="MDPI42tablebody"/>
              <w:jc w:val="left"/>
            </w:pPr>
            <w:r>
              <w:rPr>
                <w:sz w:val="16"/>
              </w:rPr>
              <w:t>No comparable estimate or CI.</w:t>
            </w:r>
          </w:p>
        </w:tc>
      </w:tr>
      <w:tr>
        <w:trPr>
          <w:cantSplit/>
        </w:trPr>
        <w:tc>
          <w:tcPr>
            <w:tcW w:type="dxa" w:w="2900"/>
            <w:tcMar>
              <w:top w:w="30" w:type="dxa"/>
              <w:left w:w="60" w:type="dxa"/>
              <w:bottom w:w="30" w:type="dxa"/>
              <w:right w:w="60" w:type="dxa"/>
            </w:tcMar>
          </w:tcPr>
          <w:p>
            <w:pPr>
              <w:pStyle w:val="MDPI42tablebody"/>
              <w:jc w:val="left"/>
            </w:pPr>
            <w:r>
              <w:rPr>
                <w:sz w:val="16"/>
              </w:rPr>
              <w:t>G2 STT: written expression [36–40]</w:t>
            </w:r>
          </w:p>
        </w:tc>
        <w:tc>
          <w:tcPr>
            <w:tcW w:type="dxa" w:w="4200"/>
            <w:tcMar>
              <w:top w:w="30" w:type="dxa"/>
              <w:left w:w="60" w:type="dxa"/>
              <w:bottom w:w="30" w:type="dxa"/>
              <w:right w:w="60" w:type="dxa"/>
            </w:tcMar>
          </w:tcPr>
          <w:p>
            <w:pPr>
              <w:pStyle w:val="MDPI42tablebody"/>
              <w:jc w:val="left"/>
            </w:pPr>
            <w:r>
              <w:rPr>
                <w:sz w:val="16"/>
              </w:rPr>
              <w:t>Learning, intellectual, or reading and writing disabilities; STT vs. handwriting, keyboarding, or baseline.</w:t>
            </w:r>
          </w:p>
        </w:tc>
        <w:tc>
          <w:tcPr>
            <w:tcW w:type="dxa" w:w="4300"/>
            <w:tcMar>
              <w:top w:w="30" w:type="dxa"/>
              <w:left w:w="60" w:type="dxa"/>
              <w:bottom w:w="30" w:type="dxa"/>
              <w:right w:w="60" w:type="dxa"/>
            </w:tcMar>
          </w:tcPr>
          <w:p>
            <w:pPr>
              <w:pStyle w:val="MDPI42tablebody"/>
              <w:jc w:val="left"/>
            </w:pPr>
            <w:r>
              <w:rPr>
                <w:sz w:val="16"/>
              </w:rPr>
              <w:t>Five heterogeneous studies; narrative synthesis with effect-direction coding.</w:t>
            </w:r>
          </w:p>
        </w:tc>
        <w:tc>
          <w:tcPr>
            <w:tcW w:type="dxa" w:w="3900"/>
            <w:tcMar>
              <w:top w:w="30" w:type="dxa"/>
              <w:left w:w="60" w:type="dxa"/>
              <w:bottom w:w="30" w:type="dxa"/>
              <w:right w:w="60" w:type="dxa"/>
            </w:tcMar>
          </w:tcPr>
          <w:p>
            <w:pPr>
              <w:pStyle w:val="MDPI42tablebody"/>
              <w:jc w:val="left"/>
            </w:pPr>
            <w:r>
              <w:rPr>
                <w:sz w:val="16"/>
              </w:rPr>
              <w:t>Group and single-case indices are not commensurable; two studies are single-session comparisons.</w:t>
            </w:r>
          </w:p>
        </w:tc>
      </w:tr>
      <w:tr>
        <w:trPr>
          <w:cantSplit/>
        </w:trPr>
        <w:tc>
          <w:tcPr>
            <w:tcW w:type="dxa" w:w="2900"/>
            <w:tcMar>
              <w:top w:w="30" w:type="dxa"/>
              <w:left w:w="60" w:type="dxa"/>
              <w:bottom w:w="30" w:type="dxa"/>
              <w:right w:w="60" w:type="dxa"/>
            </w:tcMar>
          </w:tcPr>
          <w:p>
            <w:pPr>
              <w:pStyle w:val="MDPI42tablebody"/>
              <w:jc w:val="left"/>
            </w:pPr>
            <w:r>
              <w:rPr>
                <w:sz w:val="16"/>
              </w:rPr>
              <w:t>G3 TTS: reading and listening comprehension [42–44,46–52,54–59]</w:t>
            </w:r>
          </w:p>
        </w:tc>
        <w:tc>
          <w:tcPr>
            <w:tcW w:type="dxa" w:w="4200"/>
            <w:tcMar>
              <w:top w:w="30" w:type="dxa"/>
              <w:left w:w="60" w:type="dxa"/>
              <w:bottom w:w="30" w:type="dxa"/>
              <w:right w:w="60" w:type="dxa"/>
            </w:tcMar>
          </w:tcPr>
          <w:p>
            <w:pPr>
              <w:pStyle w:val="MDPI42tablebody"/>
              <w:jc w:val="left"/>
            </w:pPr>
            <w:r>
              <w:rPr>
                <w:sz w:val="16"/>
              </w:rPr>
              <w:t>Reading, learning, or mild intellectual disability; TTS or combined technology; first comparison.</w:t>
            </w:r>
          </w:p>
        </w:tc>
        <w:tc>
          <w:tcPr>
            <w:tcW w:type="dxa" w:w="4300"/>
            <w:tcMar>
              <w:top w:w="30" w:type="dxa"/>
              <w:left w:w="60" w:type="dxa"/>
              <w:bottom w:w="30" w:type="dxa"/>
              <w:right w:w="60" w:type="dxa"/>
            </w:tcMar>
          </w:tcPr>
          <w:p>
            <w:pPr>
              <w:pStyle w:val="MDPI42tablebody"/>
              <w:jc w:val="left"/>
            </w:pPr>
            <w:r>
              <w:rPr>
                <w:sz w:val="16"/>
              </w:rPr>
              <w:t>Sixteen heterogeneous studies; no meta-analysis.</w:t>
            </w:r>
          </w:p>
        </w:tc>
        <w:tc>
          <w:tcPr>
            <w:tcW w:type="dxa" w:w="3900"/>
            <w:tcMar>
              <w:top w:w="30" w:type="dxa"/>
              <w:left w:w="60" w:type="dxa"/>
              <w:bottom w:w="30" w:type="dxa"/>
              <w:right w:w="60" w:type="dxa"/>
            </w:tcMar>
          </w:tcPr>
          <w:p>
            <w:pPr>
              <w:pStyle w:val="MDPI42tablebody"/>
              <w:jc w:val="left"/>
            </w:pPr>
            <w:r>
              <w:rPr>
                <w:sz w:val="16"/>
              </w:rPr>
              <w:t>Comparators, exposure, measures, and designs differ; only two reports supplied a CI.</w:t>
            </w:r>
          </w:p>
        </w:tc>
      </w:tr>
      <w:tr>
        <w:trPr>
          <w:cantSplit/>
        </w:trPr>
        <w:tc>
          <w:tcPr>
            <w:tcW w:type="dxa" w:w="2900"/>
            <w:tcMar>
              <w:top w:w="30" w:type="dxa"/>
              <w:left w:w="60" w:type="dxa"/>
              <w:bottom w:w="30" w:type="dxa"/>
              <w:right w:w="60" w:type="dxa"/>
            </w:tcMar>
          </w:tcPr>
          <w:p>
            <w:pPr>
              <w:pStyle w:val="MDPI42tablebody"/>
              <w:jc w:val="left"/>
            </w:pPr>
            <w:r>
              <w:rPr>
                <w:sz w:val="16"/>
              </w:rPr>
              <w:t>G4 TTS: general achievement [41]</w:t>
            </w:r>
          </w:p>
        </w:tc>
        <w:tc>
          <w:tcPr>
            <w:tcW w:type="dxa" w:w="4200"/>
            <w:tcMar>
              <w:top w:w="30" w:type="dxa"/>
              <w:left w:w="60" w:type="dxa"/>
              <w:bottom w:w="30" w:type="dxa"/>
              <w:right w:w="60" w:type="dxa"/>
            </w:tcMar>
          </w:tcPr>
          <w:p>
            <w:pPr>
              <w:pStyle w:val="MDPI42tablebody"/>
              <w:jc w:val="left"/>
            </w:pPr>
            <w:r>
              <w:rPr>
                <w:sz w:val="16"/>
              </w:rPr>
              <w:t>Dyslexia; TTS-supported vs. conventional teaching.</w:t>
            </w:r>
          </w:p>
        </w:tc>
        <w:tc>
          <w:tcPr>
            <w:tcW w:type="dxa" w:w="4300"/>
            <w:tcMar>
              <w:top w:w="30" w:type="dxa"/>
              <w:left w:w="60" w:type="dxa"/>
              <w:bottom w:w="30" w:type="dxa"/>
              <w:right w:w="60" w:type="dxa"/>
            </w:tcMar>
          </w:tcPr>
          <w:p>
            <w:pPr>
              <w:pStyle w:val="MDPI42tablebody"/>
              <w:jc w:val="left"/>
            </w:pPr>
            <w:r>
              <w:rPr>
                <w:sz w:val="16"/>
              </w:rPr>
              <w:t>Single study at high risk of bias.</w:t>
            </w:r>
          </w:p>
        </w:tc>
        <w:tc>
          <w:tcPr>
            <w:tcW w:type="dxa" w:w="3900"/>
            <w:tcMar>
              <w:top w:w="30" w:type="dxa"/>
              <w:left w:w="60" w:type="dxa"/>
              <w:bottom w:w="30" w:type="dxa"/>
              <w:right w:w="60" w:type="dxa"/>
            </w:tcMar>
          </w:tcPr>
          <w:p>
            <w:pPr>
              <w:pStyle w:val="MDPI42tablebody"/>
              <w:jc w:val="left"/>
            </w:pPr>
            <w:r>
              <w:rPr>
                <w:sz w:val="16"/>
              </w:rPr>
              <w:t>Unvalidated composite outcome.</w:t>
            </w:r>
          </w:p>
        </w:tc>
      </w:tr>
      <w:tr>
        <w:trPr>
          <w:cantSplit/>
        </w:trPr>
        <w:tc>
          <w:tcPr>
            <w:tcW w:type="dxa" w:w="2900"/>
            <w:tcMar>
              <w:top w:w="30" w:type="dxa"/>
              <w:left w:w="60" w:type="dxa"/>
              <w:bottom w:w="30" w:type="dxa"/>
              <w:right w:w="60" w:type="dxa"/>
            </w:tcMar>
          </w:tcPr>
          <w:p>
            <w:pPr>
              <w:pStyle w:val="MDPI42tablebody"/>
              <w:jc w:val="left"/>
            </w:pPr>
            <w:r>
              <w:rPr>
                <w:sz w:val="16"/>
              </w:rPr>
              <w:t>G5 TTS: mathematics [45]</w:t>
            </w:r>
          </w:p>
        </w:tc>
        <w:tc>
          <w:tcPr>
            <w:tcW w:type="dxa" w:w="4200"/>
            <w:tcMar>
              <w:top w:w="30" w:type="dxa"/>
              <w:left w:w="60" w:type="dxa"/>
              <w:bottom w:w="30" w:type="dxa"/>
              <w:right w:w="60" w:type="dxa"/>
            </w:tcMar>
          </w:tcPr>
          <w:p>
            <w:pPr>
              <w:pStyle w:val="MDPI42tablebody"/>
              <w:jc w:val="left"/>
            </w:pPr>
            <w:r>
              <w:rPr>
                <w:sz w:val="16"/>
              </w:rPr>
              <w:t>Specific learning disabilities; TTS-assisted vs. conventional instruction.</w:t>
            </w:r>
          </w:p>
        </w:tc>
        <w:tc>
          <w:tcPr>
            <w:tcW w:type="dxa" w:w="4300"/>
            <w:tcMar>
              <w:top w:w="30" w:type="dxa"/>
              <w:left w:w="60" w:type="dxa"/>
              <w:bottom w:w="30" w:type="dxa"/>
              <w:right w:w="60" w:type="dxa"/>
            </w:tcMar>
          </w:tcPr>
          <w:p>
            <w:pPr>
              <w:pStyle w:val="MDPI42tablebody"/>
              <w:jc w:val="left"/>
            </w:pPr>
            <w:r>
              <w:rPr>
                <w:sz w:val="16"/>
              </w:rPr>
              <w:t>Single study at serious risk of bias.</w:t>
            </w:r>
          </w:p>
        </w:tc>
        <w:tc>
          <w:tcPr>
            <w:tcW w:type="dxa" w:w="3900"/>
            <w:tcMar>
              <w:top w:w="30" w:type="dxa"/>
              <w:left w:w="60" w:type="dxa"/>
              <w:bottom w:w="30" w:type="dxa"/>
              <w:right w:w="60" w:type="dxa"/>
            </w:tcMar>
          </w:tcPr>
          <w:p>
            <w:pPr>
              <w:pStyle w:val="MDPI42tablebody"/>
              <w:jc w:val="left"/>
            </w:pPr>
            <w:r>
              <w:rPr>
                <w:sz w:val="16"/>
              </w:rPr>
              <w:t>Descriptive standard deviations internally inconsistent.</w:t>
            </w:r>
          </w:p>
        </w:tc>
      </w:tr>
      <w:tr>
        <w:trPr>
          <w:cantSplit/>
        </w:trPr>
        <w:tc>
          <w:tcPr>
            <w:tcW w:type="dxa" w:w="2900"/>
            <w:tcMar>
              <w:top w:w="30" w:type="dxa"/>
              <w:left w:w="60" w:type="dxa"/>
              <w:bottom w:w="30" w:type="dxa"/>
              <w:right w:w="60" w:type="dxa"/>
            </w:tcMar>
          </w:tcPr>
          <w:p>
            <w:pPr>
              <w:pStyle w:val="MDPI42tablebody"/>
              <w:jc w:val="left"/>
            </w:pPr>
            <w:r>
              <w:rPr>
                <w:sz w:val="16"/>
              </w:rPr>
              <w:t>G6 TTS: spelling and pronunciation [53]</w:t>
            </w:r>
          </w:p>
        </w:tc>
        <w:tc>
          <w:tcPr>
            <w:tcW w:type="dxa" w:w="4200"/>
            <w:tcMar>
              <w:top w:w="30" w:type="dxa"/>
              <w:left w:w="60" w:type="dxa"/>
              <w:bottom w:w="30" w:type="dxa"/>
              <w:right w:w="60" w:type="dxa"/>
            </w:tcMar>
          </w:tcPr>
          <w:p>
            <w:pPr>
              <w:pStyle w:val="MDPI42tablebody"/>
              <w:jc w:val="left"/>
            </w:pPr>
            <w:r>
              <w:rPr>
                <w:sz w:val="16"/>
              </w:rPr>
              <w:t>One learner with ADHD; A–B–A e-learning report.</w:t>
            </w:r>
          </w:p>
        </w:tc>
        <w:tc>
          <w:tcPr>
            <w:tcW w:type="dxa" w:w="4300"/>
            <w:tcMar>
              <w:top w:w="30" w:type="dxa"/>
              <w:left w:w="60" w:type="dxa"/>
              <w:bottom w:w="30" w:type="dxa"/>
              <w:right w:w="60" w:type="dxa"/>
            </w:tcMar>
          </w:tcPr>
          <w:p>
            <w:pPr>
              <w:pStyle w:val="MDPI42tablebody"/>
              <w:jc w:val="left"/>
            </w:pPr>
            <w:r>
              <w:rPr>
                <w:sz w:val="16"/>
              </w:rPr>
              <w:t>Single, incompletely reported case.</w:t>
            </w:r>
          </w:p>
        </w:tc>
        <w:tc>
          <w:tcPr>
            <w:tcW w:type="dxa" w:w="3900"/>
            <w:tcMar>
              <w:top w:w="30" w:type="dxa"/>
              <w:left w:w="60" w:type="dxa"/>
              <w:bottom w:w="30" w:type="dxa"/>
              <w:right w:w="60" w:type="dxa"/>
            </w:tcMar>
          </w:tcPr>
          <w:p>
            <w:pPr>
              <w:pStyle w:val="MDPI42tablebody"/>
              <w:jc w:val="left"/>
            </w:pPr>
            <w:r>
              <w:rPr>
                <w:sz w:val="16"/>
              </w:rPr>
              <w:t>Outcome scale undefined; effect not estimable.</w:t>
            </w:r>
          </w:p>
        </w:tc>
      </w:tr>
      <w:tr>
        <w:trPr>
          <w:cantSplit/>
        </w:trPr>
        <w:tc>
          <w:tcPr>
            <w:tcW w:type="dxa" w:w="2900"/>
            <w:tcMar>
              <w:top w:w="30" w:type="dxa"/>
              <w:left w:w="60" w:type="dxa"/>
              <w:bottom w:w="30" w:type="dxa"/>
              <w:right w:w="60" w:type="dxa"/>
            </w:tcMar>
          </w:tcPr>
          <w:p>
            <w:pPr>
              <w:pStyle w:val="MDPI42tablebody"/>
              <w:jc w:val="left"/>
            </w:pPr>
            <w:r>
              <w:rPr>
                <w:sz w:val="16"/>
              </w:rPr>
              <w:t>G7 Adaptive AI Braille tutor [60]</w:t>
            </w:r>
          </w:p>
        </w:tc>
        <w:tc>
          <w:tcPr>
            <w:tcW w:type="dxa" w:w="4200"/>
            <w:tcMar>
              <w:top w:w="30" w:type="dxa"/>
              <w:left w:w="60" w:type="dxa"/>
              <w:bottom w:w="30" w:type="dxa"/>
              <w:right w:w="60" w:type="dxa"/>
            </w:tcMar>
          </w:tcPr>
          <w:p>
            <w:pPr>
              <w:pStyle w:val="MDPI42tablebody"/>
              <w:jc w:val="left"/>
            </w:pPr>
            <w:r>
              <w:rPr>
                <w:sz w:val="16"/>
              </w:rPr>
              <w:t>Braille learners; teacher plus tutor vs. teacher alone; sessions to mastery.</w:t>
            </w:r>
          </w:p>
        </w:tc>
        <w:tc>
          <w:tcPr>
            <w:tcW w:type="dxa" w:w="4300"/>
            <w:tcMar>
              <w:top w:w="30" w:type="dxa"/>
              <w:left w:w="60" w:type="dxa"/>
              <w:bottom w:w="30" w:type="dxa"/>
              <w:right w:w="60" w:type="dxa"/>
            </w:tcMar>
          </w:tcPr>
          <w:p>
            <w:pPr>
              <w:pStyle w:val="MDPI42tablebody"/>
              <w:jc w:val="left"/>
            </w:pPr>
            <w:r>
              <w:rPr>
                <w:sz w:val="16"/>
              </w:rPr>
              <w:t>Single study not meeting WWC standards.</w:t>
            </w:r>
          </w:p>
        </w:tc>
        <w:tc>
          <w:tcPr>
            <w:tcW w:type="dxa" w:w="3900"/>
            <w:tcMar>
              <w:top w:w="30" w:type="dxa"/>
              <w:left w:w="60" w:type="dxa"/>
              <w:bottom w:w="30" w:type="dxa"/>
              <w:right w:w="60" w:type="dxa"/>
            </w:tcMar>
          </w:tcPr>
          <w:p>
            <w:pPr>
              <w:pStyle w:val="MDPI42tablebody"/>
              <w:jc w:val="left"/>
            </w:pPr>
            <w:r>
              <w:rPr>
                <w:sz w:val="16"/>
              </w:rPr>
              <w:t>Proximal outcome; no evidence on literacy transfer.</w:t>
            </w:r>
          </w:p>
        </w:tc>
      </w:tr>
      <w:tr>
        <w:trPr>
          <w:cantSplit/>
        </w:trPr>
        <w:tc>
          <w:tcPr>
            <w:tcW w:type="dxa" w:w="2900"/>
            <w:tcMar>
              <w:top w:w="30" w:type="dxa"/>
              <w:left w:w="60" w:type="dxa"/>
              <w:bottom w:w="30" w:type="dxa"/>
              <w:right w:w="60" w:type="dxa"/>
            </w:tcMar>
          </w:tcPr>
          <w:p>
            <w:pPr>
              <w:pStyle w:val="MDPI42tablebody"/>
              <w:jc w:val="left"/>
            </w:pPr>
            <w:r>
              <w:rPr>
                <w:sz w:val="16"/>
              </w:rPr>
              <w:t>G8 Automatic classroom captioning</w:t>
            </w:r>
          </w:p>
        </w:tc>
        <w:tc>
          <w:tcPr>
            <w:tcW w:type="dxa" w:w="4200"/>
            <w:tcMar>
              <w:top w:w="30" w:type="dxa"/>
              <w:left w:w="60" w:type="dxa"/>
              <w:bottom w:w="30" w:type="dxa"/>
              <w:right w:w="60" w:type="dxa"/>
            </w:tcMar>
          </w:tcPr>
          <w:p>
            <w:pPr>
              <w:pStyle w:val="MDPI42tablebody"/>
              <w:jc w:val="left"/>
            </w:pPr>
            <w:r>
              <w:rPr>
                <w:sz w:val="16"/>
              </w:rPr>
              <w:t>Prespecified learner-level category.</w:t>
            </w:r>
          </w:p>
        </w:tc>
        <w:tc>
          <w:tcPr>
            <w:tcW w:type="dxa" w:w="4300"/>
            <w:tcMar>
              <w:top w:w="30" w:type="dxa"/>
              <w:left w:w="60" w:type="dxa"/>
              <w:bottom w:w="30" w:type="dxa"/>
              <w:right w:w="60" w:type="dxa"/>
            </w:tcMar>
          </w:tcPr>
          <w:p>
            <w:pPr>
              <w:pStyle w:val="MDPI42tablebody"/>
              <w:jc w:val="left"/>
            </w:pPr>
            <w:r>
              <w:rPr>
                <w:sz w:val="16"/>
              </w:rPr>
              <w:t>No eligible report located.</w:t>
            </w:r>
          </w:p>
        </w:tc>
        <w:tc>
          <w:tcPr>
            <w:tcW w:type="dxa" w:w="3900"/>
            <w:tcMar>
              <w:top w:w="30" w:type="dxa"/>
              <w:left w:w="60" w:type="dxa"/>
              <w:bottom w:w="30" w:type="dxa"/>
              <w:right w:w="60" w:type="dxa"/>
            </w:tcMar>
          </w:tcPr>
          <w:p>
            <w:pPr>
              <w:pStyle w:val="MDPI42tablebody"/>
              <w:jc w:val="left"/>
            </w:pPr>
            <w:r>
              <w:rPr>
                <w:sz w:val="16"/>
              </w:rPr>
              <w:t>Search coverage limits preclude a definitive evidence-gap claim.</w:t>
            </w:r>
          </w:p>
        </w:tc>
      </w:tr>
      <w:tr>
        <w:trPr>
          <w:cantSplit/>
        </w:trPr>
        <w:tc>
          <w:tcPr>
            <w:tcW w:type="dxa" w:w="2900"/>
            <w:tcMar>
              <w:top w:w="30" w:type="dxa"/>
              <w:left w:w="60" w:type="dxa"/>
              <w:bottom w:w="30" w:type="dxa"/>
              <w:right w:w="60" w:type="dxa"/>
            </w:tcMar>
          </w:tcPr>
          <w:p>
            <w:pPr>
              <w:pStyle w:val="MDPI42tablebody"/>
              <w:jc w:val="left"/>
            </w:pPr>
            <w:r>
              <w:rPr>
                <w:sz w:val="16"/>
              </w:rPr>
              <w:t>G9 Optical Braille recognition</w:t>
            </w:r>
          </w:p>
        </w:tc>
        <w:tc>
          <w:tcPr>
            <w:tcW w:type="dxa" w:w="4200"/>
            <w:tcMar>
              <w:top w:w="30" w:type="dxa"/>
              <w:left w:w="60" w:type="dxa"/>
              <w:bottom w:w="30" w:type="dxa"/>
              <w:right w:w="60" w:type="dxa"/>
            </w:tcMar>
          </w:tcPr>
          <w:p>
            <w:pPr>
              <w:pStyle w:val="MDPI42tablebody"/>
              <w:jc w:val="left"/>
            </w:pPr>
            <w:r>
              <w:rPr>
                <w:sz w:val="16"/>
              </w:rPr>
              <w:t>Prespecified learner-level category.</w:t>
            </w:r>
          </w:p>
        </w:tc>
        <w:tc>
          <w:tcPr>
            <w:tcW w:type="dxa" w:w="4300"/>
            <w:tcMar>
              <w:top w:w="30" w:type="dxa"/>
              <w:left w:w="60" w:type="dxa"/>
              <w:bottom w:w="30" w:type="dxa"/>
              <w:right w:w="60" w:type="dxa"/>
            </w:tcMar>
          </w:tcPr>
          <w:p>
            <w:pPr>
              <w:pStyle w:val="MDPI42tablebody"/>
              <w:jc w:val="left"/>
            </w:pPr>
            <w:r>
              <w:rPr>
                <w:sz w:val="16"/>
              </w:rPr>
              <w:t>No eligible report located.</w:t>
            </w:r>
          </w:p>
        </w:tc>
        <w:tc>
          <w:tcPr>
            <w:tcW w:type="dxa" w:w="3900"/>
            <w:tcMar>
              <w:top w:w="30" w:type="dxa"/>
              <w:left w:w="60" w:type="dxa"/>
              <w:bottom w:w="30" w:type="dxa"/>
              <w:right w:w="60" w:type="dxa"/>
            </w:tcMar>
          </w:tcPr>
          <w:p>
            <w:pPr>
              <w:pStyle w:val="MDPI42tablebody"/>
              <w:jc w:val="left"/>
            </w:pPr>
            <w:r>
              <w:rPr>
                <w:sz w:val="16"/>
              </w:rPr>
              <w:t>Search coverage limits preclude a definitive evidence-gap claim.</w:t>
            </w:r>
          </w:p>
        </w:tc>
      </w:tr>
      <w:tr>
        <w:trPr>
          <w:cantSplit/>
        </w:trPr>
        <w:tc>
          <w:tcPr>
            <w:tcW w:type="dxa" w:w="15300"/>
            <w:gridSpan w:val="4"/>
            <w:shd w:val="clear" w:color="auto" w:fill="F2F2F2"/>
            <w:tcMar>
              <w:top w:w="30" w:type="dxa"/>
              <w:left w:w="60" w:type="dxa"/>
              <w:bottom w:w="30" w:type="dxa"/>
              <w:right w:w="60" w:type="dxa"/>
            </w:tcMar>
          </w:tcPr>
          <w:p>
            <w:pPr>
              <w:pStyle w:val="MDPI42tablebody"/>
              <w:keepNext/>
              <w:jc w:val="left"/>
            </w:pPr>
            <w:r>
              <w:rPr>
                <w:b/>
                <w:sz w:val="16"/>
              </w:rPr>
              <w:t>Panel B. Protocol deviations and elements defined after data extraction</w:t>
            </w:r>
          </w:p>
        </w:tc>
      </w:tr>
      <w:tr>
        <w:trPr>
          <w:cantSplit/>
        </w:trPr>
        <w:tc>
          <w:tcPr>
            <w:tcW w:type="dxa" w:w="2900"/>
            <w:tcMar>
              <w:top w:w="30" w:type="dxa"/>
              <w:left w:w="60" w:type="dxa"/>
              <w:bottom w:w="30" w:type="dxa"/>
              <w:right w:w="60" w:type="dxa"/>
            </w:tcMar>
          </w:tcPr>
          <w:p>
            <w:pPr>
              <w:pStyle w:val="MDPI42tablebody"/>
              <w:jc w:val="left"/>
            </w:pPr>
            <w:r>
              <w:rPr>
                <w:sz w:val="16"/>
              </w:rPr>
              <w:t>Registration</w:t>
            </w:r>
          </w:p>
        </w:tc>
        <w:tc>
          <w:tcPr>
            <w:tcW w:type="dxa" w:w="4200"/>
            <w:tcMar>
              <w:top w:w="30" w:type="dxa"/>
              <w:left w:w="60" w:type="dxa"/>
              <w:bottom w:w="30" w:type="dxa"/>
              <w:right w:w="60" w:type="dxa"/>
            </w:tcMar>
          </w:tcPr>
          <w:p>
            <w:pPr>
              <w:pStyle w:val="MDPI42tablebody"/>
              <w:jc w:val="left"/>
            </w:pPr>
            <w:r>
              <w:rPr>
                <w:sz w:val="16"/>
              </w:rPr>
              <w:t>Prospective registration in PROSPERO.</w:t>
            </w:r>
          </w:p>
        </w:tc>
        <w:tc>
          <w:tcPr>
            <w:tcW w:type="dxa" w:w="4300"/>
            <w:tcMar>
              <w:top w:w="30" w:type="dxa"/>
              <w:left w:w="60" w:type="dxa"/>
              <w:bottom w:w="30" w:type="dxa"/>
              <w:right w:w="60" w:type="dxa"/>
            </w:tcMar>
          </w:tcPr>
          <w:p>
            <w:pPr>
              <w:pStyle w:val="MDPI42tablebody"/>
              <w:jc w:val="left"/>
            </w:pPr>
            <w:r>
              <w:rPr>
                <w:sz w:val="16"/>
              </w:rPr>
              <w:t>Registered as CRD420261513927.</w:t>
            </w:r>
          </w:p>
        </w:tc>
        <w:tc>
          <w:tcPr>
            <w:tcW w:type="dxa" w:w="3900"/>
            <w:tcMar>
              <w:top w:w="30" w:type="dxa"/>
              <w:left w:w="60" w:type="dxa"/>
              <w:bottom w:w="30" w:type="dxa"/>
              <w:right w:w="60" w:type="dxa"/>
            </w:tcMar>
          </w:tcPr>
          <w:p>
            <w:pPr>
              <w:pStyle w:val="MDPI42tablebody"/>
              <w:jc w:val="left"/>
            </w:pPr>
            <w:r>
              <w:rPr>
                <w:sz w:val="16"/>
              </w:rPr>
              <w:t>Identifier reported consistently in all files.</w:t>
            </w:r>
          </w:p>
        </w:tc>
      </w:tr>
      <w:tr>
        <w:trPr>
          <w:cantSplit/>
        </w:trPr>
        <w:tc>
          <w:tcPr>
            <w:tcW w:type="dxa" w:w="2900"/>
            <w:tcMar>
              <w:top w:w="30" w:type="dxa"/>
              <w:left w:w="60" w:type="dxa"/>
              <w:bottom w:w="30" w:type="dxa"/>
              <w:right w:w="60" w:type="dxa"/>
            </w:tcMar>
          </w:tcPr>
          <w:p>
            <w:pPr>
              <w:pStyle w:val="MDPI42tablebody"/>
              <w:jc w:val="left"/>
            </w:pPr>
            <w:r>
              <w:rPr>
                <w:sz w:val="16"/>
              </w:rPr>
              <w:t>Information sources</w:t>
            </w:r>
          </w:p>
        </w:tc>
        <w:tc>
          <w:tcPr>
            <w:tcW w:type="dxa" w:w="4200"/>
            <w:tcMar>
              <w:top w:w="30" w:type="dxa"/>
              <w:left w:w="60" w:type="dxa"/>
              <w:bottom w:w="30" w:type="dxa"/>
              <w:right w:w="60" w:type="dxa"/>
            </w:tcMar>
          </w:tcPr>
          <w:p>
            <w:pPr>
              <w:pStyle w:val="MDPI42tablebody"/>
              <w:jc w:val="left"/>
            </w:pPr>
            <w:r>
              <w:rPr>
                <w:sz w:val="16"/>
              </w:rPr>
              <w:t>PubMed, Web of Science, Scopus, APA PsycInfo, Google Scholar.</w:t>
            </w:r>
          </w:p>
        </w:tc>
        <w:tc>
          <w:tcPr>
            <w:tcW w:type="dxa" w:w="4300"/>
            <w:tcMar>
              <w:top w:w="30" w:type="dxa"/>
              <w:left w:w="60" w:type="dxa"/>
              <w:bottom w:w="30" w:type="dxa"/>
              <w:right w:w="60" w:type="dxa"/>
            </w:tcMar>
          </w:tcPr>
          <w:p>
            <w:pPr>
              <w:pStyle w:val="MDPI42tablebody"/>
              <w:jc w:val="left"/>
            </w:pPr>
            <w:r>
              <w:rPr>
                <w:sz w:val="16"/>
              </w:rPr>
              <w:t>Run as planned; ERIC, CINAHL, and engineering databases were not searched.</w:t>
            </w:r>
          </w:p>
        </w:tc>
        <w:tc>
          <w:tcPr>
            <w:tcW w:type="dxa" w:w="3900"/>
            <w:tcMar>
              <w:top w:w="30" w:type="dxa"/>
              <w:left w:w="60" w:type="dxa"/>
              <w:bottom w:w="30" w:type="dxa"/>
              <w:right w:w="60" w:type="dxa"/>
            </w:tcMar>
          </w:tcPr>
          <w:p>
            <w:pPr>
              <w:pStyle w:val="MDPI42tablebody"/>
              <w:jc w:val="left"/>
            </w:pPr>
            <w:r>
              <w:rPr>
                <w:sz w:val="16"/>
              </w:rPr>
              <w:t>Reported as a limitation (Section 4.6) and in publication-bias judgements (Table S5).</w:t>
            </w:r>
          </w:p>
        </w:tc>
      </w:tr>
      <w:tr>
        <w:trPr>
          <w:cantSplit/>
        </w:trPr>
        <w:tc>
          <w:tcPr>
            <w:tcW w:type="dxa" w:w="2900"/>
            <w:tcMar>
              <w:top w:w="30" w:type="dxa"/>
              <w:left w:w="60" w:type="dxa"/>
              <w:bottom w:w="30" w:type="dxa"/>
              <w:right w:w="60" w:type="dxa"/>
            </w:tcMar>
          </w:tcPr>
          <w:p>
            <w:pPr>
              <w:pStyle w:val="MDPI42tablebody"/>
              <w:jc w:val="left"/>
            </w:pPr>
            <w:r>
              <w:rPr>
                <w:sz w:val="16"/>
              </w:rPr>
              <w:t>Additional identification</w:t>
            </w:r>
          </w:p>
        </w:tc>
        <w:tc>
          <w:tcPr>
            <w:tcW w:type="dxa" w:w="4200"/>
            <w:tcMar>
              <w:top w:w="30" w:type="dxa"/>
              <w:left w:w="60" w:type="dxa"/>
              <w:bottom w:w="30" w:type="dxa"/>
              <w:right w:w="60" w:type="dxa"/>
            </w:tcMar>
          </w:tcPr>
          <w:p>
            <w:pPr>
              <w:pStyle w:val="MDPI42tablebody"/>
              <w:jc w:val="left"/>
            </w:pPr>
            <w:r>
              <w:rPr>
                <w:sz w:val="16"/>
              </w:rPr>
              <w:t>Supplementary methods (Section 2.3).</w:t>
            </w:r>
          </w:p>
        </w:tc>
        <w:tc>
          <w:tcPr>
            <w:tcW w:type="dxa" w:w="4300"/>
            <w:tcMar>
              <w:top w:w="30" w:type="dxa"/>
              <w:left w:w="60" w:type="dxa"/>
              <w:bottom w:w="30" w:type="dxa"/>
              <w:right w:w="60" w:type="dxa"/>
            </w:tcMar>
          </w:tcPr>
          <w:p>
            <w:pPr>
              <w:pStyle w:val="MDPI42tablebody"/>
              <w:jc w:val="left"/>
            </w:pPr>
            <w:r>
              <w:rPr>
                <w:sz w:val="16"/>
              </w:rPr>
              <w:t>Ten of 27 included reports came from supplementary methods. Two [42,47] were identified by verification searching and seven [37,48,55–59] by later targeted searching; all were assessed against the prespecified criteria before synthesis. A post-search check (26 September 2026) identified five further potentially eligible reports (Panel E), which were not synthesised.</w:t>
            </w:r>
          </w:p>
        </w:tc>
        <w:tc>
          <w:tcPr>
            <w:tcW w:type="dxa" w:w="3900"/>
            <w:tcMar>
              <w:top w:w="30" w:type="dxa"/>
              <w:left w:w="60" w:type="dxa"/>
              <w:bottom w:w="30" w:type="dxa"/>
              <w:right w:w="60" w:type="dxa"/>
            </w:tcMar>
          </w:tcPr>
          <w:p>
            <w:pPr>
              <w:pStyle w:val="MDPI42tablebody"/>
              <w:jc w:val="left"/>
            </w:pPr>
            <w:r>
              <w:rPr>
                <w:sz w:val="16"/>
              </w:rPr>
              <w:t>Indicates that eligible evidence may have been missed; conclusions are framed accordingly.</w:t>
            </w:r>
          </w:p>
        </w:tc>
      </w:tr>
      <w:tr>
        <w:trPr>
          <w:cantSplit/>
        </w:trPr>
        <w:tc>
          <w:tcPr>
            <w:tcW w:type="dxa" w:w="2900"/>
            <w:tcMar>
              <w:top w:w="30" w:type="dxa"/>
              <w:left w:w="60" w:type="dxa"/>
              <w:bottom w:w="30" w:type="dxa"/>
              <w:right w:w="60" w:type="dxa"/>
            </w:tcMar>
          </w:tcPr>
          <w:p>
            <w:pPr>
              <w:pStyle w:val="MDPI42tablebody"/>
              <w:jc w:val="left"/>
            </w:pPr>
            <w:r>
              <w:rPr>
                <w:sz w:val="16"/>
              </w:rPr>
              <w:t>Synthesis groups</w:t>
            </w:r>
          </w:p>
        </w:tc>
        <w:tc>
          <w:tcPr>
            <w:tcW w:type="dxa" w:w="4200"/>
            <w:tcMar>
              <w:top w:w="30" w:type="dxa"/>
              <w:left w:w="60" w:type="dxa"/>
              <w:bottom w:w="30" w:type="dxa"/>
              <w:right w:w="60" w:type="dxa"/>
            </w:tcMar>
          </w:tcPr>
          <w:p>
            <w:pPr>
              <w:pStyle w:val="MDPI42tablebody"/>
              <w:jc w:val="left"/>
            </w:pPr>
            <w:r>
              <w:rPr>
                <w:sz w:val="16"/>
              </w:rPr>
              <w:t>Grouping by technology function and outcome.</w:t>
            </w:r>
          </w:p>
        </w:tc>
        <w:tc>
          <w:tcPr>
            <w:tcW w:type="dxa" w:w="4300"/>
            <w:tcMar>
              <w:top w:w="30" w:type="dxa"/>
              <w:left w:w="60" w:type="dxa"/>
              <w:bottom w:w="30" w:type="dxa"/>
              <w:right w:w="60" w:type="dxa"/>
            </w:tcMar>
          </w:tcPr>
          <w:p>
            <w:pPr>
              <w:pStyle w:val="MDPI42tablebody"/>
              <w:jc w:val="left"/>
            </w:pPr>
            <w:r>
              <w:rPr>
                <w:sz w:val="16"/>
              </w:rPr>
              <w:t>Nine groups finalised after data extraction (Panel A).</w:t>
            </w:r>
          </w:p>
        </w:tc>
        <w:tc>
          <w:tcPr>
            <w:tcW w:type="dxa" w:w="3900"/>
            <w:tcMar>
              <w:top w:w="30" w:type="dxa"/>
              <w:left w:w="60" w:type="dxa"/>
              <w:bottom w:w="30" w:type="dxa"/>
              <w:right w:w="60" w:type="dxa"/>
            </w:tcMar>
          </w:tcPr>
          <w:p>
            <w:pPr>
              <w:pStyle w:val="MDPI42tablebody"/>
              <w:jc w:val="left"/>
            </w:pPr>
            <w:r>
              <w:rPr>
                <w:sz w:val="16"/>
              </w:rPr>
              <w:t>Labelled as finalised after extraction.</w:t>
            </w:r>
          </w:p>
        </w:tc>
      </w:tr>
      <w:tr>
        <w:trPr>
          <w:cantSplit/>
        </w:trPr>
        <w:tc>
          <w:tcPr>
            <w:tcW w:type="dxa" w:w="2900"/>
            <w:tcMar>
              <w:top w:w="30" w:type="dxa"/>
              <w:left w:w="60" w:type="dxa"/>
              <w:bottom w:w="30" w:type="dxa"/>
              <w:right w:w="60" w:type="dxa"/>
            </w:tcMar>
          </w:tcPr>
          <w:p>
            <w:pPr>
              <w:pStyle w:val="MDPI42tablebody"/>
              <w:jc w:val="left"/>
            </w:pPr>
            <w:r>
              <w:rPr>
                <w:sz w:val="16"/>
              </w:rPr>
              <w:t>Outcome classification</w:t>
            </w:r>
          </w:p>
        </w:tc>
        <w:tc>
          <w:tcPr>
            <w:tcW w:type="dxa" w:w="4200"/>
            <w:tcMar>
              <w:top w:w="30" w:type="dxa"/>
              <w:left w:w="60" w:type="dxa"/>
              <w:bottom w:w="30" w:type="dxa"/>
              <w:right w:w="60" w:type="dxa"/>
            </w:tcMar>
          </w:tcPr>
          <w:p>
            <w:pPr>
              <w:pStyle w:val="MDPI42tablebody"/>
              <w:jc w:val="left"/>
            </w:pPr>
            <w:r>
              <w:rPr>
                <w:sz w:val="16"/>
              </w:rPr>
              <w:t>Five prespecified outcome domains.</w:t>
            </w:r>
          </w:p>
        </w:tc>
        <w:tc>
          <w:tcPr>
            <w:tcW w:type="dxa" w:w="4300"/>
            <w:tcMar>
              <w:top w:w="30" w:type="dxa"/>
              <w:left w:w="60" w:type="dxa"/>
              <w:bottom w:w="30" w:type="dxa"/>
              <w:right w:w="60" w:type="dxa"/>
            </w:tcMar>
          </w:tcPr>
          <w:p>
            <w:pPr>
              <w:pStyle w:val="MDPI42tablebody"/>
              <w:jc w:val="left"/>
            </w:pPr>
            <w:r>
              <w:rPr>
                <w:sz w:val="16"/>
              </w:rPr>
              <w:t>Outcomes additionally mapped to ICF-CY codes and classified as access or learning outcomes (Table S6).</w:t>
            </w:r>
          </w:p>
        </w:tc>
        <w:tc>
          <w:tcPr>
            <w:tcW w:type="dxa" w:w="3900"/>
            <w:tcMar>
              <w:top w:w="30" w:type="dxa"/>
              <w:left w:w="60" w:type="dxa"/>
              <w:bottom w:w="30" w:type="dxa"/>
              <w:right w:w="60" w:type="dxa"/>
            </w:tcMar>
          </w:tcPr>
          <w:p>
            <w:pPr>
              <w:pStyle w:val="MDPI42tablebody"/>
              <w:jc w:val="left"/>
            </w:pPr>
            <w:r>
              <w:rPr>
                <w:sz w:val="16"/>
              </w:rPr>
              <w:t>Post hoc; used for presentation and interpretation, not for eligibility.</w:t>
            </w:r>
          </w:p>
        </w:tc>
      </w:tr>
      <w:tr>
        <w:trPr>
          <w:cantSplit/>
        </w:trPr>
        <w:tc>
          <w:tcPr>
            <w:tcW w:type="dxa" w:w="2900"/>
            <w:tcMar>
              <w:top w:w="30" w:type="dxa"/>
              <w:left w:w="60" w:type="dxa"/>
              <w:bottom w:w="30" w:type="dxa"/>
              <w:right w:w="60" w:type="dxa"/>
            </w:tcMar>
          </w:tcPr>
          <w:p>
            <w:pPr>
              <w:pStyle w:val="MDPI42tablebody"/>
              <w:jc w:val="left"/>
            </w:pPr>
            <w:r>
              <w:rPr>
                <w:sz w:val="16"/>
              </w:rPr>
              <w:t>Effect-direction plot</w:t>
            </w:r>
          </w:p>
        </w:tc>
        <w:tc>
          <w:tcPr>
            <w:tcW w:type="dxa" w:w="4200"/>
            <w:tcMar>
              <w:top w:w="30" w:type="dxa"/>
              <w:left w:w="60" w:type="dxa"/>
              <w:bottom w:w="30" w:type="dxa"/>
              <w:right w:w="60" w:type="dxa"/>
            </w:tcMar>
          </w:tcPr>
          <w:p>
            <w:pPr>
              <w:pStyle w:val="MDPI42tablebody"/>
              <w:jc w:val="left"/>
            </w:pPr>
            <w:r>
              <w:rPr>
                <w:sz w:val="16"/>
              </w:rPr>
              <w:t>Structured tabulation and narrative synthesis (SWiM).</w:t>
            </w:r>
          </w:p>
        </w:tc>
        <w:tc>
          <w:tcPr>
            <w:tcW w:type="dxa" w:w="4300"/>
            <w:tcMar>
              <w:top w:w="30" w:type="dxa"/>
              <w:left w:w="60" w:type="dxa"/>
              <w:bottom w:w="30" w:type="dxa"/>
              <w:right w:w="60" w:type="dxa"/>
            </w:tcMar>
          </w:tcPr>
          <w:p>
            <w:pPr>
              <w:pStyle w:val="MDPI42tablebody"/>
              <w:jc w:val="left"/>
            </w:pPr>
            <w:r>
              <w:rPr>
                <w:sz w:val="16"/>
              </w:rPr>
              <w:t>Effect direction coded per report and outcome domain, without statistical significance (Figure 4; Table S6).</w:t>
            </w:r>
          </w:p>
        </w:tc>
        <w:tc>
          <w:tcPr>
            <w:tcW w:type="dxa" w:w="3900"/>
            <w:tcMar>
              <w:top w:w="30" w:type="dxa"/>
              <w:left w:w="60" w:type="dxa"/>
              <w:bottom w:w="30" w:type="dxa"/>
              <w:right w:w="60" w:type="dxa"/>
            </w:tcMar>
          </w:tcPr>
          <w:p>
            <w:pPr>
              <w:pStyle w:val="MDPI42tablebody"/>
              <w:jc w:val="left"/>
            </w:pPr>
            <w:r>
              <w:rPr>
                <w:sz w:val="16"/>
              </w:rPr>
              <w:t>Post hoc visual summary; no sign test applied.</w:t>
            </w:r>
          </w:p>
        </w:tc>
      </w:tr>
      <w:tr>
        <w:trPr>
          <w:cantSplit/>
        </w:trPr>
        <w:tc>
          <w:tcPr>
            <w:tcW w:type="dxa" w:w="2900"/>
            <w:tcMar>
              <w:top w:w="30" w:type="dxa"/>
              <w:left w:w="60" w:type="dxa"/>
              <w:bottom w:w="30" w:type="dxa"/>
              <w:right w:w="60" w:type="dxa"/>
            </w:tcMar>
          </w:tcPr>
          <w:p>
            <w:pPr>
              <w:pStyle w:val="MDPI42tablebody"/>
              <w:jc w:val="left"/>
            </w:pPr>
            <w:r>
              <w:rPr>
                <w:sz w:val="16"/>
              </w:rPr>
              <w:t>Sensitivity synthesis</w:t>
            </w:r>
          </w:p>
        </w:tc>
        <w:tc>
          <w:tcPr>
            <w:tcW w:type="dxa" w:w="4200"/>
            <w:tcMar>
              <w:top w:w="30" w:type="dxa"/>
              <w:left w:w="60" w:type="dxa"/>
              <w:bottom w:w="30" w:type="dxa"/>
              <w:right w:w="60" w:type="dxa"/>
            </w:tcMar>
          </w:tcPr>
          <w:p>
            <w:pPr>
              <w:pStyle w:val="MDPI42tablebody"/>
              <w:jc w:val="left"/>
            </w:pPr>
            <w:r>
              <w:rPr>
                <w:sz w:val="16"/>
              </w:rPr>
              <w:t>Narrative synthesis without meta-analysis.</w:t>
            </w:r>
          </w:p>
        </w:tc>
        <w:tc>
          <w:tcPr>
            <w:tcW w:type="dxa" w:w="4300"/>
            <w:tcMar>
              <w:top w:w="30" w:type="dxa"/>
              <w:left w:w="60" w:type="dxa"/>
              <w:bottom w:w="30" w:type="dxa"/>
              <w:right w:w="60" w:type="dxa"/>
            </w:tcMar>
          </w:tcPr>
          <w:p>
            <w:pPr>
              <w:pStyle w:val="MDPI42tablebody"/>
              <w:jc w:val="left"/>
            </w:pPr>
            <w:r>
              <w:rPr>
                <w:sz w:val="16"/>
              </w:rPr>
              <w:t>Restriction to lower-risk reports (RoB 2 some concerns; ROBINS-I moderate; WWC meets with reservations); 12 reports retained.</w:t>
            </w:r>
          </w:p>
        </w:tc>
        <w:tc>
          <w:tcPr>
            <w:tcW w:type="dxa" w:w="3900"/>
            <w:tcMar>
              <w:top w:w="30" w:type="dxa"/>
              <w:left w:w="60" w:type="dxa"/>
              <w:bottom w:w="30" w:type="dxa"/>
              <w:right w:w="60" w:type="dxa"/>
            </w:tcMar>
          </w:tcPr>
          <w:p>
            <w:pPr>
              <w:pStyle w:val="MDPI42tablebody"/>
              <w:jc w:val="left"/>
            </w:pPr>
            <w:r>
              <w:rPr>
                <w:sz w:val="16"/>
              </w:rPr>
              <w:t>Post hoc; five evidence bodies became empty (Section 3.5).</w:t>
            </w:r>
          </w:p>
        </w:tc>
      </w:tr>
      <w:tr>
        <w:trPr>
          <w:cantSplit/>
        </w:trPr>
        <w:tc>
          <w:tcPr>
            <w:tcW w:type="dxa" w:w="2900"/>
            <w:tcMar>
              <w:top w:w="30" w:type="dxa"/>
              <w:left w:w="60" w:type="dxa"/>
              <w:bottom w:w="30" w:type="dxa"/>
              <w:right w:w="60" w:type="dxa"/>
            </w:tcMar>
          </w:tcPr>
          <w:p>
            <w:pPr>
              <w:pStyle w:val="MDPI42tablebody"/>
              <w:jc w:val="left"/>
            </w:pPr>
            <w:r>
              <w:rPr>
                <w:sz w:val="16"/>
              </w:rPr>
              <w:t>Single-case appraisal</w:t>
            </w:r>
          </w:p>
        </w:tc>
        <w:tc>
          <w:tcPr>
            <w:tcW w:type="dxa" w:w="4200"/>
            <w:tcMar>
              <w:top w:w="30" w:type="dxa"/>
              <w:left w:w="60" w:type="dxa"/>
              <w:bottom w:w="30" w:type="dxa"/>
              <w:right w:w="60" w:type="dxa"/>
            </w:tcMar>
          </w:tcPr>
          <w:p>
            <w:pPr>
              <w:pStyle w:val="MDPI42tablebody"/>
              <w:jc w:val="left"/>
            </w:pPr>
            <w:r>
              <w:rPr>
                <w:sz w:val="16"/>
              </w:rPr>
              <w:t>WWC version 5.0 design standards.</w:t>
            </w:r>
          </w:p>
        </w:tc>
        <w:tc>
          <w:tcPr>
            <w:tcW w:type="dxa" w:w="4300"/>
            <w:tcMar>
              <w:top w:w="30" w:type="dxa"/>
              <w:left w:w="60" w:type="dxa"/>
              <w:bottom w:w="30" w:type="dxa"/>
              <w:right w:w="60" w:type="dxa"/>
            </w:tcMar>
          </w:tcPr>
          <w:p>
            <w:pPr>
              <w:pStyle w:val="MDPI42tablebody"/>
              <w:jc w:val="left"/>
            </w:pPr>
            <w:r>
              <w:rPr>
                <w:sz w:val="16"/>
              </w:rPr>
              <w:t>Selective reporting, implementation fidelity, and blinding appraised separately for each single-case report.</w:t>
            </w:r>
          </w:p>
        </w:tc>
        <w:tc>
          <w:tcPr>
            <w:tcW w:type="dxa" w:w="3900"/>
            <w:tcMar>
              <w:top w:w="30" w:type="dxa"/>
              <w:left w:w="60" w:type="dxa"/>
              <w:bottom w:w="30" w:type="dxa"/>
              <w:right w:w="60" w:type="dxa"/>
            </w:tcMar>
          </w:tcPr>
          <w:p>
            <w:pPr>
              <w:pStyle w:val="MDPI42tablebody"/>
              <w:jc w:val="left"/>
            </w:pPr>
            <w:r>
              <w:rPr>
                <w:sz w:val="16"/>
              </w:rPr>
              <w:t>Reported in Table S3 and carried into GRADE.</w:t>
            </w:r>
          </w:p>
        </w:tc>
      </w:tr>
      <w:tr>
        <w:trPr>
          <w:cantSplit/>
        </w:trPr>
        <w:tc>
          <w:tcPr>
            <w:tcW w:type="dxa" w:w="2900"/>
            <w:tcMar>
              <w:top w:w="30" w:type="dxa"/>
              <w:left w:w="60" w:type="dxa"/>
              <w:bottom w:w="30" w:type="dxa"/>
              <w:right w:w="60" w:type="dxa"/>
            </w:tcMar>
          </w:tcPr>
          <w:p>
            <w:pPr>
              <w:pStyle w:val="MDPI42tablebody"/>
              <w:jc w:val="left"/>
            </w:pPr>
            <w:r>
              <w:rPr>
                <w:sz w:val="16"/>
              </w:rPr>
              <w:t>Certainty</w:t>
            </w:r>
          </w:p>
        </w:tc>
        <w:tc>
          <w:tcPr>
            <w:tcW w:type="dxa" w:w="4200"/>
            <w:tcMar>
              <w:top w:w="30" w:type="dxa"/>
              <w:left w:w="60" w:type="dxa"/>
              <w:bottom w:w="30" w:type="dxa"/>
              <w:right w:w="60" w:type="dxa"/>
            </w:tcMar>
          </w:tcPr>
          <w:p>
            <w:pPr>
              <w:pStyle w:val="MDPI42tablebody"/>
              <w:jc w:val="left"/>
            </w:pPr>
            <w:r>
              <w:rPr>
                <w:sz w:val="16"/>
              </w:rPr>
              <w:t>GRADE domains.</w:t>
            </w:r>
          </w:p>
        </w:tc>
        <w:tc>
          <w:tcPr>
            <w:tcW w:type="dxa" w:w="4300"/>
            <w:tcMar>
              <w:top w:w="30" w:type="dxa"/>
              <w:left w:w="60" w:type="dxa"/>
              <w:bottom w:w="30" w:type="dxa"/>
              <w:right w:w="60" w:type="dxa"/>
            </w:tcMar>
          </w:tcPr>
          <w:p>
            <w:pPr>
              <w:pStyle w:val="MDPI42tablebody"/>
              <w:jc w:val="left"/>
            </w:pPr>
            <w:r>
              <w:rPr>
                <w:sz w:val="16"/>
              </w:rPr>
              <w:t>Randomised evidence started high, non-randomised and single-case evidence low; in mixed bodies randomised evidence set the starting level.</w:t>
            </w:r>
          </w:p>
        </w:tc>
        <w:tc>
          <w:tcPr>
            <w:tcW w:type="dxa" w:w="3900"/>
            <w:tcMar>
              <w:top w:w="30" w:type="dxa"/>
              <w:left w:w="60" w:type="dxa"/>
              <w:bottom w:w="30" w:type="dxa"/>
              <w:right w:w="60" w:type="dxa"/>
            </w:tcMar>
          </w:tcPr>
          <w:p>
            <w:pPr>
              <w:pStyle w:val="MDPI42tablebody"/>
              <w:jc w:val="left"/>
            </w:pPr>
            <w:r>
              <w:rPr>
                <w:sz w:val="16"/>
              </w:rPr>
              <w:t>Every downgrade reported in Table S5; no upgrading.</w:t>
            </w:r>
          </w:p>
        </w:tc>
      </w:tr>
      <w:tr>
        <w:trPr>
          <w:cantSplit/>
        </w:trPr>
        <w:tc>
          <w:tcPr>
            <w:tcW w:type="dxa" w:w="2900"/>
            <w:tcMar>
              <w:top w:w="30" w:type="dxa"/>
              <w:left w:w="60" w:type="dxa"/>
              <w:bottom w:w="30" w:type="dxa"/>
              <w:right w:w="60" w:type="dxa"/>
            </w:tcMar>
          </w:tcPr>
          <w:p>
            <w:pPr>
              <w:pStyle w:val="MDPI42tablebody"/>
              <w:jc w:val="left"/>
            </w:pPr>
            <w:r>
              <w:rPr>
                <w:sz w:val="16"/>
              </w:rPr>
              <w:t>Reviewer arrangements</w:t>
            </w:r>
          </w:p>
        </w:tc>
        <w:tc>
          <w:tcPr>
            <w:tcW w:type="dxa" w:w="4200"/>
            <w:tcMar>
              <w:top w:w="30" w:type="dxa"/>
              <w:left w:w="60" w:type="dxa"/>
              <w:bottom w:w="30" w:type="dxa"/>
              <w:right w:w="60" w:type="dxa"/>
            </w:tcMar>
          </w:tcPr>
          <w:p>
            <w:pPr>
              <w:pStyle w:val="MDPI42tablebody"/>
              <w:jc w:val="left"/>
            </w:pPr>
            <w:r>
              <w:rPr>
                <w:sz w:val="16"/>
              </w:rPr>
              <w:t>Single-reviewer screening, extraction, and appraisal.</w:t>
            </w:r>
          </w:p>
        </w:tc>
        <w:tc>
          <w:tcPr>
            <w:tcW w:type="dxa" w:w="4300"/>
            <w:tcMar>
              <w:top w:w="30" w:type="dxa"/>
              <w:left w:w="60" w:type="dxa"/>
              <w:bottom w:w="30" w:type="dxa"/>
              <w:right w:w="60" w:type="dxa"/>
            </w:tcMar>
          </w:tcPr>
          <w:p>
            <w:pPr>
              <w:pStyle w:val="MDPI42tablebody"/>
              <w:jc w:val="left"/>
            </w:pPr>
            <w:r>
              <w:rPr>
                <w:sz w:val="16"/>
              </w:rPr>
              <w:t>No independent duplicate assessment; verification pass by the same reviewer.</w:t>
            </w:r>
          </w:p>
        </w:tc>
        <w:tc>
          <w:tcPr>
            <w:tcW w:type="dxa" w:w="3900"/>
            <w:tcMar>
              <w:top w:w="30" w:type="dxa"/>
              <w:left w:w="60" w:type="dxa"/>
              <w:bottom w:w="30" w:type="dxa"/>
              <w:right w:w="60" w:type="dxa"/>
            </w:tcMar>
          </w:tcPr>
          <w:p>
            <w:pPr>
              <w:pStyle w:val="MDPI42tablebody"/>
              <w:jc w:val="left"/>
            </w:pPr>
            <w:r>
              <w:rPr>
                <w:sz w:val="16"/>
              </w:rPr>
              <w:t>Reported as a review-level limitation (Section 4.6).</w:t>
            </w:r>
          </w:p>
        </w:tc>
      </w:tr>
      <w:tr>
        <w:trPr>
          <w:cantSplit/>
        </w:trPr>
        <w:tc>
          <w:tcPr>
            <w:tcW w:type="dxa" w:w="15300"/>
            <w:gridSpan w:val="4"/>
            <w:shd w:val="clear" w:color="auto" w:fill="F2F2F2"/>
            <w:tcMar>
              <w:top w:w="30" w:type="dxa"/>
              <w:left w:w="60" w:type="dxa"/>
              <w:bottom w:w="30" w:type="dxa"/>
              <w:right w:w="60" w:type="dxa"/>
            </w:tcMar>
          </w:tcPr>
          <w:p>
            <w:pPr>
              <w:pStyle w:val="MDPI42tablebody"/>
              <w:keepNext/>
              <w:jc w:val="left"/>
            </w:pPr>
            <w:r>
              <w:rPr>
                <w:b/>
                <w:sz w:val="16"/>
              </w:rPr>
              <w:t>Panel C. Report linkage and participant overlap</w:t>
            </w:r>
          </w:p>
        </w:tc>
      </w:tr>
      <w:tr>
        <w:trPr>
          <w:cantSplit/>
        </w:trPr>
        <w:tc>
          <w:tcPr>
            <w:tcW w:type="dxa" w:w="2900"/>
            <w:tcMar>
              <w:top w:w="30" w:type="dxa"/>
              <w:left w:w="60" w:type="dxa"/>
              <w:bottom w:w="30" w:type="dxa"/>
              <w:right w:w="60" w:type="dxa"/>
            </w:tcMar>
          </w:tcPr>
          <w:p>
            <w:pPr>
              <w:pStyle w:val="MDPI42tablebody"/>
              <w:jc w:val="left"/>
            </w:pPr>
            <w:r>
              <w:rPr>
                <w:sz w:val="16"/>
              </w:rPr>
              <w:t>[34]/[35]</w:t>
            </w:r>
          </w:p>
        </w:tc>
        <w:tc>
          <w:tcPr>
            <w:tcW w:type="dxa" w:w="4200"/>
            <w:tcMar>
              <w:top w:w="30" w:type="dxa"/>
              <w:left w:w="60" w:type="dxa"/>
              <w:bottom w:w="30" w:type="dxa"/>
              <w:right w:w="60" w:type="dxa"/>
            </w:tcMar>
          </w:tcPr>
          <w:p>
            <w:pPr>
              <w:pStyle w:val="MDPI42tablebody"/>
              <w:jc w:val="left"/>
            </w:pPr>
            <w:r>
              <w:rPr>
                <w:sz w:val="16"/>
              </w:rPr>
              <w:t>Same authors and cohort; [35] contains the 39 participants of [34] plus 13 new participants.</w:t>
            </w:r>
          </w:p>
        </w:tc>
        <w:tc>
          <w:tcPr>
            <w:tcW w:type="dxa" w:w="4300"/>
            <w:tcMar>
              <w:top w:w="30" w:type="dxa"/>
              <w:left w:w="60" w:type="dxa"/>
              <w:bottom w:w="30" w:type="dxa"/>
              <w:right w:w="60" w:type="dxa"/>
            </w:tcMar>
          </w:tcPr>
          <w:p>
            <w:pPr>
              <w:pStyle w:val="MDPI42tablebody"/>
              <w:jc w:val="left"/>
            </w:pPr>
            <w:r>
              <w:rPr>
                <w:sz w:val="16"/>
              </w:rPr>
              <w:t>Linked as one study.</w:t>
            </w:r>
          </w:p>
        </w:tc>
        <w:tc>
          <w:tcPr>
            <w:tcW w:type="dxa" w:w="3900"/>
            <w:tcMar>
              <w:top w:w="30" w:type="dxa"/>
              <w:left w:w="60" w:type="dxa"/>
              <w:bottom w:w="30" w:type="dxa"/>
              <w:right w:w="60" w:type="dxa"/>
            </w:tcMar>
          </w:tcPr>
          <w:p>
            <w:pPr>
              <w:pStyle w:val="MDPI42tablebody"/>
              <w:jc w:val="left"/>
            </w:pPr>
            <w:r>
              <w:rPr>
                <w:sz w:val="16"/>
              </w:rPr>
              <w:t>Confirmed overlap removed from the participant total.</w:t>
            </w:r>
          </w:p>
        </w:tc>
      </w:tr>
      <w:tr>
        <w:trPr>
          <w:cantSplit/>
        </w:trPr>
        <w:tc>
          <w:tcPr>
            <w:tcW w:type="dxa" w:w="2900"/>
            <w:tcMar>
              <w:top w:w="30" w:type="dxa"/>
              <w:left w:w="60" w:type="dxa"/>
              <w:bottom w:w="30" w:type="dxa"/>
              <w:right w:w="60" w:type="dxa"/>
            </w:tcMar>
          </w:tcPr>
          <w:p>
            <w:pPr>
              <w:pStyle w:val="MDPI42tablebody"/>
              <w:jc w:val="left"/>
            </w:pPr>
            <w:r>
              <w:rPr>
                <w:sz w:val="16"/>
              </w:rPr>
              <w:t>[39]/[40]/[54]/[59]</w:t>
            </w:r>
          </w:p>
        </w:tc>
        <w:tc>
          <w:tcPr>
            <w:tcW w:type="dxa" w:w="4200"/>
            <w:tcMar>
              <w:top w:w="30" w:type="dxa"/>
              <w:left w:w="60" w:type="dxa"/>
              <w:bottom w:w="30" w:type="dxa"/>
              <w:right w:w="60" w:type="dxa"/>
            </w:tcMar>
          </w:tcPr>
          <w:p>
            <w:pPr>
              <w:pStyle w:val="MDPI42tablebody"/>
              <w:jc w:val="left"/>
            </w:pPr>
            <w:r>
              <w:rPr>
                <w:sz w:val="16"/>
              </w:rPr>
              <w:t>Shared Swedish author network and similar population; sites, dates, and ethics details insufficient to confirm or exclude overlap.</w:t>
            </w:r>
          </w:p>
        </w:tc>
        <w:tc>
          <w:tcPr>
            <w:tcW w:type="dxa" w:w="4300"/>
            <w:tcMar>
              <w:top w:w="30" w:type="dxa"/>
              <w:left w:w="60" w:type="dxa"/>
              <w:bottom w:w="30" w:type="dxa"/>
              <w:right w:w="60" w:type="dxa"/>
            </w:tcMar>
          </w:tcPr>
          <w:p>
            <w:pPr>
              <w:pStyle w:val="MDPI42tablebody"/>
              <w:jc w:val="left"/>
            </w:pPr>
            <w:r>
              <w:rPr>
                <w:sz w:val="16"/>
              </w:rPr>
              <w:t>Overlap not excluded; counted as four studies.</w:t>
            </w:r>
          </w:p>
        </w:tc>
        <w:tc>
          <w:tcPr>
            <w:tcW w:type="dxa" w:w="3900"/>
            <w:tcMar>
              <w:top w:w="30" w:type="dxa"/>
              <w:left w:w="60" w:type="dxa"/>
              <w:bottom w:w="30" w:type="dxa"/>
              <w:right w:w="60" w:type="dxa"/>
            </w:tcMar>
          </w:tcPr>
          <w:p>
            <w:pPr>
              <w:pStyle w:val="MDPI42tablebody"/>
              <w:jc w:val="left"/>
            </w:pPr>
            <w:r>
              <w:rPr>
                <w:sz w:val="16"/>
              </w:rPr>
              <w:t>Participant totals reported as upper bounds.</w:t>
            </w:r>
          </w:p>
        </w:tc>
      </w:tr>
      <w:tr>
        <w:trPr>
          <w:cantSplit/>
        </w:trPr>
        <w:tc>
          <w:tcPr>
            <w:tcW w:type="dxa" w:w="2900"/>
            <w:tcMar>
              <w:top w:w="30" w:type="dxa"/>
              <w:left w:w="60" w:type="dxa"/>
              <w:bottom w:w="30" w:type="dxa"/>
              <w:right w:w="60" w:type="dxa"/>
            </w:tcMar>
          </w:tcPr>
          <w:p>
            <w:pPr>
              <w:pStyle w:val="MDPI42tablebody"/>
              <w:jc w:val="left"/>
            </w:pPr>
            <w:r>
              <w:rPr>
                <w:sz w:val="16"/>
              </w:rPr>
              <w:t>[38]/[43]</w:t>
            </w:r>
          </w:p>
        </w:tc>
        <w:tc>
          <w:tcPr>
            <w:tcW w:type="dxa" w:w="4200"/>
            <w:tcMar>
              <w:top w:w="30" w:type="dxa"/>
              <w:left w:w="60" w:type="dxa"/>
              <w:bottom w:w="30" w:type="dxa"/>
              <w:right w:w="60" w:type="dxa"/>
            </w:tcMar>
          </w:tcPr>
          <w:p>
            <w:pPr>
              <w:pStyle w:val="MDPI42tablebody"/>
              <w:jc w:val="left"/>
            </w:pPr>
            <w:r>
              <w:rPr>
                <w:sz w:val="16"/>
              </w:rPr>
              <w:t>Shared authorship; different countries, periods, samples, designs, and interventions.</w:t>
            </w:r>
          </w:p>
        </w:tc>
        <w:tc>
          <w:tcPr>
            <w:tcW w:type="dxa" w:w="4300"/>
            <w:tcMar>
              <w:top w:w="30" w:type="dxa"/>
              <w:left w:w="60" w:type="dxa"/>
              <w:bottom w:w="30" w:type="dxa"/>
              <w:right w:w="60" w:type="dxa"/>
            </w:tcMar>
          </w:tcPr>
          <w:p>
            <w:pPr>
              <w:pStyle w:val="MDPI42tablebody"/>
              <w:jc w:val="left"/>
            </w:pPr>
            <w:r>
              <w:rPr>
                <w:sz w:val="16"/>
              </w:rPr>
              <w:t>Treated as independent.</w:t>
            </w:r>
          </w:p>
        </w:tc>
        <w:tc>
          <w:tcPr>
            <w:tcW w:type="dxa" w:w="3900"/>
            <w:tcMar>
              <w:top w:w="30" w:type="dxa"/>
              <w:left w:w="60" w:type="dxa"/>
              <w:bottom w:w="30" w:type="dxa"/>
              <w:right w:w="60" w:type="dxa"/>
            </w:tcMar>
          </w:tcPr>
          <w:p>
            <w:pPr>
              <w:pStyle w:val="MDPI42tablebody"/>
              <w:jc w:val="left"/>
            </w:pPr>
            <w:r>
              <w:rPr>
                <w:sz w:val="16"/>
              </w:rPr>
              <w:t>No adjustment.</w:t>
            </w:r>
          </w:p>
        </w:tc>
      </w:tr>
      <w:tr>
        <w:trPr>
          <w:cantSplit/>
        </w:trPr>
        <w:tc>
          <w:tcPr>
            <w:tcW w:type="dxa" w:w="2900"/>
            <w:tcMar>
              <w:top w:w="30" w:type="dxa"/>
              <w:left w:w="60" w:type="dxa"/>
              <w:bottom w:w="30" w:type="dxa"/>
              <w:right w:w="60" w:type="dxa"/>
            </w:tcMar>
          </w:tcPr>
          <w:p>
            <w:pPr>
              <w:pStyle w:val="MDPI42tablebody"/>
              <w:jc w:val="left"/>
            </w:pPr>
            <w:r>
              <w:rPr>
                <w:sz w:val="16"/>
              </w:rPr>
              <w:t>[56]/[57]</w:t>
            </w:r>
          </w:p>
        </w:tc>
        <w:tc>
          <w:tcPr>
            <w:tcW w:type="dxa" w:w="4200"/>
            <w:tcMar>
              <w:top w:w="30" w:type="dxa"/>
              <w:left w:w="60" w:type="dxa"/>
              <w:bottom w:w="30" w:type="dxa"/>
              <w:right w:w="60" w:type="dxa"/>
            </w:tcMar>
          </w:tcPr>
          <w:p>
            <w:pPr>
              <w:pStyle w:val="MDPI42tablebody"/>
              <w:jc w:val="left"/>
            </w:pPr>
            <w:r>
              <w:rPr>
                <w:sz w:val="16"/>
              </w:rPr>
              <w:t>Same authors; different designs, sample sizes, and educational levels.</w:t>
            </w:r>
          </w:p>
        </w:tc>
        <w:tc>
          <w:tcPr>
            <w:tcW w:type="dxa" w:w="4300"/>
            <w:tcMar>
              <w:top w:w="30" w:type="dxa"/>
              <w:left w:w="60" w:type="dxa"/>
              <w:bottom w:w="30" w:type="dxa"/>
              <w:right w:w="60" w:type="dxa"/>
            </w:tcMar>
          </w:tcPr>
          <w:p>
            <w:pPr>
              <w:pStyle w:val="MDPI42tablebody"/>
              <w:jc w:val="left"/>
            </w:pPr>
            <w:r>
              <w:rPr>
                <w:sz w:val="16"/>
              </w:rPr>
              <w:t>Treated as independent on published information.</w:t>
            </w:r>
          </w:p>
        </w:tc>
        <w:tc>
          <w:tcPr>
            <w:tcW w:type="dxa" w:w="3900"/>
            <w:tcMar>
              <w:top w:w="30" w:type="dxa"/>
              <w:left w:w="60" w:type="dxa"/>
              <w:bottom w:w="30" w:type="dxa"/>
              <w:right w:w="60" w:type="dxa"/>
            </w:tcMar>
          </w:tcPr>
          <w:p>
            <w:pPr>
              <w:pStyle w:val="MDPI42tablebody"/>
              <w:jc w:val="left"/>
            </w:pPr>
            <w:r>
              <w:rPr>
                <w:sz w:val="16"/>
              </w:rPr>
              <w:t>Overlap cannot be fully excluded; totals are upper bounds.</w:t>
            </w:r>
          </w:p>
        </w:tc>
      </w:tr>
      <w:tr>
        <w:trPr>
          <w:cantSplit/>
        </w:trPr>
        <w:tc>
          <w:tcPr>
            <w:tcW w:type="dxa" w:w="2900"/>
            <w:tcMar>
              <w:top w:w="30" w:type="dxa"/>
              <w:left w:w="60" w:type="dxa"/>
              <w:bottom w:w="30" w:type="dxa"/>
              <w:right w:w="60" w:type="dxa"/>
            </w:tcMar>
          </w:tcPr>
          <w:p>
            <w:pPr>
              <w:pStyle w:val="MDPI42tablebody"/>
              <w:jc w:val="left"/>
            </w:pPr>
            <w:r>
              <w:rPr>
                <w:sz w:val="16"/>
              </w:rPr>
              <w:t>[37]</w:t>
            </w:r>
          </w:p>
        </w:tc>
        <w:tc>
          <w:tcPr>
            <w:tcW w:type="dxa" w:w="4200"/>
            <w:tcMar>
              <w:top w:w="30" w:type="dxa"/>
              <w:left w:w="60" w:type="dxa"/>
              <w:bottom w:w="30" w:type="dxa"/>
              <w:right w:w="60" w:type="dxa"/>
            </w:tcMar>
          </w:tcPr>
          <w:p>
            <w:pPr>
              <w:pStyle w:val="MDPI42tablebody"/>
              <w:jc w:val="left"/>
            </w:pPr>
            <w:r>
              <w:rPr>
                <w:sz w:val="16"/>
              </w:rPr>
              <w:t>Gothenburg-based project; different region, project, and author network from [39]/[40]/[54]/[59].</w:t>
            </w:r>
          </w:p>
        </w:tc>
        <w:tc>
          <w:tcPr>
            <w:tcW w:type="dxa" w:w="4300"/>
            <w:tcMar>
              <w:top w:w="30" w:type="dxa"/>
              <w:left w:w="60" w:type="dxa"/>
              <w:bottom w:w="30" w:type="dxa"/>
              <w:right w:w="60" w:type="dxa"/>
            </w:tcMar>
          </w:tcPr>
          <w:p>
            <w:pPr>
              <w:pStyle w:val="MDPI42tablebody"/>
              <w:jc w:val="left"/>
            </w:pPr>
            <w:r>
              <w:rPr>
                <w:sz w:val="16"/>
              </w:rPr>
              <w:t>Treated as independent.</w:t>
            </w:r>
          </w:p>
        </w:tc>
        <w:tc>
          <w:tcPr>
            <w:tcW w:type="dxa" w:w="3900"/>
            <w:tcMar>
              <w:top w:w="30" w:type="dxa"/>
              <w:left w:w="60" w:type="dxa"/>
              <w:bottom w:w="30" w:type="dxa"/>
              <w:right w:w="60" w:type="dxa"/>
            </w:tcMar>
          </w:tcPr>
          <w:p>
            <w:pPr>
              <w:pStyle w:val="MDPI42tablebody"/>
              <w:jc w:val="left"/>
            </w:pPr>
            <w:r>
              <w:rPr>
                <w:sz w:val="16"/>
              </w:rPr>
              <w:t>No adjustment.</w:t>
            </w:r>
          </w:p>
        </w:tc>
      </w:tr>
      <w:tr>
        <w:trPr>
          <w:cantSplit/>
        </w:trPr>
        <w:tc>
          <w:tcPr>
            <w:tcW w:type="dxa" w:w="2900"/>
            <w:tcMar>
              <w:top w:w="30" w:type="dxa"/>
              <w:left w:w="60" w:type="dxa"/>
              <w:bottom w:w="30" w:type="dxa"/>
              <w:right w:w="60" w:type="dxa"/>
            </w:tcMar>
          </w:tcPr>
          <w:p>
            <w:pPr>
              <w:pStyle w:val="MDPI42tablebody"/>
              <w:jc w:val="left"/>
            </w:pPr>
            <w:r>
              <w:rPr>
                <w:sz w:val="16"/>
              </w:rPr>
              <w:t>[48] and corrigendum</w:t>
            </w:r>
          </w:p>
        </w:tc>
        <w:tc>
          <w:tcPr>
            <w:tcW w:type="dxa" w:w="4200"/>
            <w:tcMar>
              <w:top w:w="30" w:type="dxa"/>
              <w:left w:w="60" w:type="dxa"/>
              <w:bottom w:w="30" w:type="dxa"/>
              <w:right w:w="60" w:type="dxa"/>
            </w:tcMar>
          </w:tcPr>
          <w:p>
            <w:pPr>
              <w:pStyle w:val="MDPI42tablebody"/>
              <w:jc w:val="left"/>
            </w:pPr>
            <w:r>
              <w:rPr>
                <w:sz w:val="16"/>
              </w:rPr>
              <w:t>Correction to the same article.</w:t>
            </w:r>
          </w:p>
        </w:tc>
        <w:tc>
          <w:tcPr>
            <w:tcW w:type="dxa" w:w="4300"/>
            <w:tcMar>
              <w:top w:w="30" w:type="dxa"/>
              <w:left w:w="60" w:type="dxa"/>
              <w:bottom w:w="30" w:type="dxa"/>
              <w:right w:w="60" w:type="dxa"/>
            </w:tcMar>
          </w:tcPr>
          <w:p>
            <w:pPr>
              <w:pStyle w:val="MDPI42tablebody"/>
              <w:jc w:val="left"/>
            </w:pPr>
            <w:r>
              <w:rPr>
                <w:sz w:val="16"/>
              </w:rPr>
              <w:t>One report.</w:t>
            </w:r>
          </w:p>
        </w:tc>
        <w:tc>
          <w:tcPr>
            <w:tcW w:type="dxa" w:w="3900"/>
            <w:tcMar>
              <w:top w:w="30" w:type="dxa"/>
              <w:left w:w="60" w:type="dxa"/>
              <w:bottom w:w="30" w:type="dxa"/>
              <w:right w:w="60" w:type="dxa"/>
            </w:tcMar>
          </w:tcPr>
          <w:p>
            <w:pPr>
              <w:pStyle w:val="MDPI42tablebody"/>
              <w:jc w:val="left"/>
            </w:pPr>
            <w:r>
              <w:rPr>
                <w:sz w:val="16"/>
              </w:rPr>
              <w:t>Corrigendum recorded as 2021;36(4):336.</w:t>
            </w:r>
          </w:p>
        </w:tc>
      </w:tr>
      <w:tr>
        <w:trPr>
          <w:cantSplit/>
        </w:trPr>
        <w:tc>
          <w:tcPr>
            <w:tcW w:type="dxa" w:w="15300"/>
            <w:gridSpan w:val="4"/>
            <w:shd w:val="clear" w:color="auto" w:fill="F2F2F2"/>
            <w:tcMar>
              <w:top w:w="30" w:type="dxa"/>
              <w:left w:w="60" w:type="dxa"/>
              <w:bottom w:w="30" w:type="dxa"/>
              <w:right w:w="60" w:type="dxa"/>
            </w:tcMar>
          </w:tcPr>
          <w:p>
            <w:pPr>
              <w:pStyle w:val="MDPI42tablebody"/>
              <w:keepNext/>
              <w:jc w:val="left"/>
            </w:pPr>
            <w:r>
              <w:rPr>
                <w:b/>
                <w:sz w:val="16"/>
              </w:rPr>
              <w:t>Panel D. Selected reports close to the eligibility boundary</w:t>
            </w:r>
          </w:p>
        </w:tc>
      </w:tr>
      <w:tr>
        <w:trPr>
          <w:cantSplit/>
        </w:trPr>
        <w:tc>
          <w:tcPr>
            <w:tcW w:type="dxa" w:w="2900"/>
            <w:tcMar>
              <w:top w:w="30" w:type="dxa"/>
              <w:left w:w="60" w:type="dxa"/>
              <w:bottom w:w="30" w:type="dxa"/>
              <w:right w:w="60" w:type="dxa"/>
            </w:tcMar>
          </w:tcPr>
          <w:p>
            <w:pPr>
              <w:pStyle w:val="MDPI42tablebody"/>
              <w:jc w:val="left"/>
            </w:pPr>
            <w:r>
              <w:rPr>
                <w:sz w:val="16"/>
              </w:rPr>
              <w:t>Silvestri et al. (2022)</w:t>
            </w:r>
          </w:p>
        </w:tc>
        <w:tc>
          <w:tcPr>
            <w:tcW w:type="dxa" w:w="4200"/>
            <w:tcMar>
              <w:top w:w="30" w:type="dxa"/>
              <w:left w:w="60" w:type="dxa"/>
              <w:bottom w:w="30" w:type="dxa"/>
              <w:right w:w="60" w:type="dxa"/>
            </w:tcMar>
          </w:tcPr>
          <w:p>
            <w:pPr>
              <w:pStyle w:val="MDPI42tablebody"/>
              <w:jc w:val="left"/>
            </w:pPr>
            <w:r>
              <w:rPr>
                <w:sz w:val="16"/>
              </w:rPr>
              <w:t>Within-participant study of grade-8 students with reading difficulties.</w:t>
            </w:r>
          </w:p>
        </w:tc>
        <w:tc>
          <w:tcPr>
            <w:tcW w:type="dxa" w:w="4300"/>
            <w:tcMar>
              <w:top w:w="30" w:type="dxa"/>
              <w:left w:w="60" w:type="dxa"/>
              <w:bottom w:w="30" w:type="dxa"/>
              <w:right w:w="60" w:type="dxa"/>
            </w:tcMar>
          </w:tcPr>
          <w:p>
            <w:pPr>
              <w:pStyle w:val="MDPI42tablebody"/>
              <w:jc w:val="left"/>
            </w:pPr>
            <w:r>
              <w:rPr>
                <w:sz w:val="16"/>
              </w:rPr>
              <w:t>Included as [48] after a boundary judgement on the standardised classification of reading difficulties.</w:t>
            </w:r>
          </w:p>
        </w:tc>
        <w:tc>
          <w:tcPr>
            <w:tcW w:type="dxa" w:w="3900"/>
            <w:tcMar>
              <w:top w:w="30" w:type="dxa"/>
              <w:left w:w="60" w:type="dxa"/>
              <w:bottom w:w="30" w:type="dxa"/>
              <w:right w:w="60" w:type="dxa"/>
            </w:tcMar>
          </w:tcPr>
          <w:p>
            <w:pPr>
              <w:pStyle w:val="MDPI42tablebody"/>
              <w:jc w:val="left"/>
            </w:pPr>
            <w:r>
              <w:rPr>
                <w:sz w:val="16"/>
              </w:rPr>
              <w:t>Characteristics in Table S2.</w:t>
            </w:r>
          </w:p>
        </w:tc>
      </w:tr>
      <w:tr>
        <w:trPr>
          <w:cantSplit/>
        </w:trPr>
        <w:tc>
          <w:tcPr>
            <w:tcW w:type="dxa" w:w="2900"/>
            <w:tcMar>
              <w:top w:w="30" w:type="dxa"/>
              <w:left w:w="60" w:type="dxa"/>
              <w:bottom w:w="30" w:type="dxa"/>
              <w:right w:w="60" w:type="dxa"/>
            </w:tcMar>
          </w:tcPr>
          <w:p>
            <w:pPr>
              <w:pStyle w:val="MDPI42tablebody"/>
              <w:jc w:val="left"/>
            </w:pPr>
            <w:r>
              <w:rPr>
                <w:sz w:val="16"/>
              </w:rPr>
              <w:t>Kraft (2023)</w:t>
            </w:r>
          </w:p>
        </w:tc>
        <w:tc>
          <w:tcPr>
            <w:tcW w:type="dxa" w:w="4200"/>
            <w:tcMar>
              <w:top w:w="30" w:type="dxa"/>
              <w:left w:w="60" w:type="dxa"/>
              <w:bottom w:w="30" w:type="dxa"/>
              <w:right w:w="60" w:type="dxa"/>
            </w:tcMar>
          </w:tcPr>
          <w:p>
            <w:pPr>
              <w:pStyle w:val="MDPI42tablebody"/>
              <w:jc w:val="left"/>
            </w:pPr>
            <w:r>
              <w:rPr>
                <w:sz w:val="16"/>
              </w:rPr>
              <w:t>Counterbalanced STT vs. keyboard comparison in children aged 10–13 years with reading and writing difficulties identified by standardised cut-offs (stanine ≤ 3 spelling or ≤ 22nd percentile decoding).</w:t>
            </w:r>
          </w:p>
        </w:tc>
        <w:tc>
          <w:tcPr>
            <w:tcW w:type="dxa" w:w="4300"/>
            <w:tcMar>
              <w:top w:w="30" w:type="dxa"/>
              <w:left w:w="60" w:type="dxa"/>
              <w:bottom w:w="30" w:type="dxa"/>
              <w:right w:w="60" w:type="dxa"/>
            </w:tcMar>
          </w:tcPr>
          <w:p>
            <w:pPr>
              <w:pStyle w:val="MDPI42tablebody"/>
              <w:jc w:val="left"/>
            </w:pPr>
            <w:r>
              <w:rPr>
                <w:sz w:val="16"/>
              </w:rPr>
              <w:t>Included as [37] after full-text assessment: eligible population, intervention, comparator, design, and outcomes.</w:t>
            </w:r>
          </w:p>
        </w:tc>
        <w:tc>
          <w:tcPr>
            <w:tcW w:type="dxa" w:w="3900"/>
            <w:tcMar>
              <w:top w:w="30" w:type="dxa"/>
              <w:left w:w="60" w:type="dxa"/>
              <w:bottom w:w="30" w:type="dxa"/>
              <w:right w:w="60" w:type="dxa"/>
            </w:tcMar>
          </w:tcPr>
          <w:p>
            <w:pPr>
              <w:pStyle w:val="MDPI42tablebody"/>
              <w:jc w:val="left"/>
            </w:pPr>
            <w:r>
              <w:rPr>
                <w:sz w:val="16"/>
              </w:rPr>
              <w:t>Characteristics in Table S2.</w:t>
            </w:r>
          </w:p>
        </w:tc>
      </w:tr>
      <w:tr>
        <w:trPr>
          <w:cantSplit/>
        </w:trPr>
        <w:tc>
          <w:tcPr>
            <w:tcW w:type="dxa" w:w="2900"/>
            <w:tcMar>
              <w:top w:w="30" w:type="dxa"/>
              <w:left w:w="60" w:type="dxa"/>
              <w:bottom w:w="30" w:type="dxa"/>
              <w:right w:w="60" w:type="dxa"/>
            </w:tcMar>
          </w:tcPr>
          <w:p>
            <w:pPr>
              <w:pStyle w:val="MDPI42tablebody"/>
              <w:jc w:val="left"/>
            </w:pPr>
            <w:r>
              <w:rPr>
                <w:sz w:val="16"/>
              </w:rPr>
              <w:t>Schiavo et al. (2021)</w:t>
            </w:r>
          </w:p>
        </w:tc>
        <w:tc>
          <w:tcPr>
            <w:tcW w:type="dxa" w:w="4200"/>
            <w:tcMar>
              <w:top w:w="30" w:type="dxa"/>
              <w:left w:w="60" w:type="dxa"/>
              <w:bottom w:w="30" w:type="dxa"/>
              <w:right w:w="60" w:type="dxa"/>
            </w:tcMar>
          </w:tcPr>
          <w:p>
            <w:pPr>
              <w:pStyle w:val="MDPI42tablebody"/>
              <w:jc w:val="left"/>
            </w:pPr>
            <w:r>
              <w:rPr>
                <w:sz w:val="16"/>
              </w:rPr>
              <w:t>Controlled gaze-contingent read-aloud experiment in children aged 8–10 years with dyslexia.</w:t>
            </w:r>
          </w:p>
        </w:tc>
        <w:tc>
          <w:tcPr>
            <w:tcW w:type="dxa" w:w="4300"/>
            <w:tcMar>
              <w:top w:w="30" w:type="dxa"/>
              <w:left w:w="60" w:type="dxa"/>
              <w:bottom w:w="30" w:type="dxa"/>
              <w:right w:w="60" w:type="dxa"/>
            </w:tcMar>
          </w:tcPr>
          <w:p>
            <w:pPr>
              <w:pStyle w:val="MDPI42tablebody"/>
              <w:jc w:val="left"/>
            </w:pPr>
            <w:r>
              <w:rPr>
                <w:sz w:val="16"/>
              </w:rPr>
              <w:t>Excluded: ineligible intervention (system and comparator both used pre-recorded human voice, not automatic speech synthesis).</w:t>
            </w:r>
          </w:p>
        </w:tc>
        <w:tc>
          <w:tcPr>
            <w:tcW w:type="dxa" w:w="3900"/>
            <w:tcMar>
              <w:top w:w="30" w:type="dxa"/>
              <w:left w:w="60" w:type="dxa"/>
              <w:bottom w:w="30" w:type="dxa"/>
              <w:right w:w="60" w:type="dxa"/>
            </w:tcMar>
          </w:tcPr>
          <w:p>
            <w:pPr>
              <w:pStyle w:val="MDPI42tablebody"/>
              <w:jc w:val="left"/>
            </w:pPr>
            <w:r>
              <w:rPr>
                <w:sz w:val="16"/>
              </w:rPr>
              <w:t>Consistent with the prespecified exclusion of non-automatic speech.</w:t>
            </w:r>
          </w:p>
        </w:tc>
      </w:tr>
      <w:tr>
        <w:trPr>
          <w:cantSplit/>
        </w:trPr>
        <w:tc>
          <w:tcPr>
            <w:tcW w:type="dxa" w:w="2900"/>
            <w:tcMar>
              <w:top w:w="30" w:type="dxa"/>
              <w:left w:w="60" w:type="dxa"/>
              <w:bottom w:w="30" w:type="dxa"/>
              <w:right w:w="60" w:type="dxa"/>
            </w:tcMar>
          </w:tcPr>
          <w:p>
            <w:pPr>
              <w:pStyle w:val="MDPI42tablebody"/>
              <w:jc w:val="left"/>
            </w:pPr>
            <w:r>
              <w:rPr>
                <w:sz w:val="16"/>
              </w:rPr>
              <w:t>Stodden et al. (2012)</w:t>
            </w:r>
          </w:p>
        </w:tc>
        <w:tc>
          <w:tcPr>
            <w:tcW w:type="dxa" w:w="4200"/>
            <w:tcMar>
              <w:top w:w="30" w:type="dxa"/>
              <w:left w:w="60" w:type="dxa"/>
              <w:bottom w:w="30" w:type="dxa"/>
              <w:right w:w="60" w:type="dxa"/>
            </w:tcMar>
          </w:tcPr>
          <w:p>
            <w:pPr>
              <w:pStyle w:val="MDPI42tablebody"/>
              <w:jc w:val="left"/>
            </w:pPr>
            <w:r>
              <w:rPr>
                <w:sz w:val="16"/>
              </w:rPr>
              <w:t>Conference proceedings paper.</w:t>
            </w:r>
          </w:p>
        </w:tc>
        <w:tc>
          <w:tcPr>
            <w:tcW w:type="dxa" w:w="4300"/>
            <w:tcMar>
              <w:top w:w="30" w:type="dxa"/>
              <w:left w:w="60" w:type="dxa"/>
              <w:bottom w:w="30" w:type="dxa"/>
              <w:right w:w="60" w:type="dxa"/>
            </w:tcMar>
          </w:tcPr>
          <w:p>
            <w:pPr>
              <w:pStyle w:val="MDPI42tablebody"/>
              <w:jc w:val="left"/>
            </w:pPr>
            <w:r>
              <w:rPr>
                <w:sz w:val="16"/>
              </w:rPr>
              <w:t>Excluded: publication type.</w:t>
            </w:r>
          </w:p>
        </w:tc>
        <w:tc>
          <w:tcPr>
            <w:tcW w:type="dxa" w:w="3900"/>
            <w:tcMar>
              <w:top w:w="30" w:type="dxa"/>
              <w:left w:w="60" w:type="dxa"/>
              <w:bottom w:w="30" w:type="dxa"/>
              <w:right w:w="60" w:type="dxa"/>
            </w:tcMar>
          </w:tcPr>
          <w:p>
            <w:pPr>
              <w:pStyle w:val="MDPI42tablebody"/>
              <w:jc w:val="left"/>
            </w:pPr>
            <w:r>
              <w:rPr>
                <w:sz w:val="16"/>
              </w:rPr>
              <w:t>Restriction may contribute to publication bias.</w:t>
            </w:r>
          </w:p>
        </w:tc>
      </w:tr>
      <w:tr>
        <w:trPr>
          <w:cantSplit/>
        </w:trPr>
        <w:tc>
          <w:tcPr>
            <w:tcW w:type="dxa" w:w="2900"/>
            <w:tcMar>
              <w:top w:w="30" w:type="dxa"/>
              <w:left w:w="60" w:type="dxa"/>
              <w:bottom w:w="30" w:type="dxa"/>
              <w:right w:w="60" w:type="dxa"/>
            </w:tcMar>
          </w:tcPr>
          <w:p>
            <w:pPr>
              <w:pStyle w:val="MDPI42tablebody"/>
              <w:jc w:val="left"/>
            </w:pPr>
            <w:r>
              <w:rPr>
                <w:sz w:val="16"/>
              </w:rPr>
              <w:t>Keelor (2017); Young (2017)</w:t>
            </w:r>
          </w:p>
        </w:tc>
        <w:tc>
          <w:tcPr>
            <w:tcW w:type="dxa" w:w="4200"/>
            <w:tcMar>
              <w:top w:w="30" w:type="dxa"/>
              <w:left w:w="60" w:type="dxa"/>
              <w:bottom w:w="30" w:type="dxa"/>
              <w:right w:w="60" w:type="dxa"/>
            </w:tcMar>
          </w:tcPr>
          <w:p>
            <w:pPr>
              <w:pStyle w:val="MDPI42tablebody"/>
              <w:jc w:val="left"/>
            </w:pPr>
            <w:r>
              <w:rPr>
                <w:sz w:val="16"/>
              </w:rPr>
              <w:t>Doctoral dissertations linked to included journal reports.</w:t>
            </w:r>
          </w:p>
        </w:tc>
        <w:tc>
          <w:tcPr>
            <w:tcW w:type="dxa" w:w="4300"/>
            <w:tcMar>
              <w:top w:w="30" w:type="dxa"/>
              <w:left w:w="60" w:type="dxa"/>
              <w:bottom w:w="30" w:type="dxa"/>
              <w:right w:w="60" w:type="dxa"/>
            </w:tcMar>
          </w:tcPr>
          <w:p>
            <w:pPr>
              <w:pStyle w:val="MDPI42tablebody"/>
              <w:jc w:val="left"/>
            </w:pPr>
            <w:r>
              <w:rPr>
                <w:sz w:val="16"/>
              </w:rPr>
              <w:t>Excluded: theses; journal reports [44] and [49] retained.</w:t>
            </w:r>
          </w:p>
        </w:tc>
        <w:tc>
          <w:tcPr>
            <w:tcW w:type="dxa" w:w="3900"/>
            <w:tcMar>
              <w:top w:w="30" w:type="dxa"/>
              <w:left w:w="60" w:type="dxa"/>
              <w:bottom w:w="30" w:type="dxa"/>
              <w:right w:w="60" w:type="dxa"/>
            </w:tcMar>
          </w:tcPr>
          <w:p>
            <w:pPr>
              <w:pStyle w:val="MDPI42tablebody"/>
              <w:jc w:val="left"/>
            </w:pPr>
            <w:r>
              <w:rPr>
                <w:sz w:val="16"/>
              </w:rPr>
              <w:t>No double counting.</w:t>
            </w:r>
          </w:p>
        </w:tc>
      </w:tr>
      <w:tr>
        <w:trPr>
          <w:cantSplit/>
        </w:trPr>
        <w:tc>
          <w:tcPr>
            <w:tcW w:type="dxa" w:w="2900"/>
            <w:tcMar>
              <w:top w:w="30" w:type="dxa"/>
              <w:left w:w="60" w:type="dxa"/>
              <w:bottom w:w="30" w:type="dxa"/>
              <w:right w:w="60" w:type="dxa"/>
            </w:tcMar>
          </w:tcPr>
          <w:p>
            <w:pPr>
              <w:pStyle w:val="MDPI42tablebody"/>
              <w:jc w:val="left"/>
            </w:pPr>
            <w:r>
              <w:rPr>
                <w:sz w:val="16"/>
              </w:rPr>
              <w:t>Reviews [8,9,16,18]</w:t>
            </w:r>
          </w:p>
        </w:tc>
        <w:tc>
          <w:tcPr>
            <w:tcW w:type="dxa" w:w="4200"/>
            <w:tcMar>
              <w:top w:w="30" w:type="dxa"/>
              <w:left w:w="60" w:type="dxa"/>
              <w:bottom w:w="30" w:type="dxa"/>
              <w:right w:w="60" w:type="dxa"/>
            </w:tcMar>
          </w:tcPr>
          <w:p>
            <w:pPr>
              <w:pStyle w:val="MDPI42tablebody"/>
              <w:jc w:val="left"/>
            </w:pPr>
            <w:r>
              <w:rPr>
                <w:sz w:val="16"/>
              </w:rPr>
              <w:t>Evidence syntheses or conceptual reviews.</w:t>
            </w:r>
          </w:p>
        </w:tc>
        <w:tc>
          <w:tcPr>
            <w:tcW w:type="dxa" w:w="4300"/>
            <w:tcMar>
              <w:top w:w="30" w:type="dxa"/>
              <w:left w:w="60" w:type="dxa"/>
              <w:bottom w:w="30" w:type="dxa"/>
              <w:right w:w="60" w:type="dxa"/>
            </w:tcMar>
          </w:tcPr>
          <w:p>
            <w:pPr>
              <w:pStyle w:val="MDPI42tablebody"/>
              <w:jc w:val="left"/>
            </w:pPr>
            <w:r>
              <w:rPr>
                <w:sz w:val="16"/>
              </w:rPr>
              <w:t>Excluded: not primary studies.</w:t>
            </w:r>
          </w:p>
        </w:tc>
        <w:tc>
          <w:tcPr>
            <w:tcW w:type="dxa" w:w="3900"/>
            <w:tcMar>
              <w:top w:w="30" w:type="dxa"/>
              <w:left w:w="60" w:type="dxa"/>
              <w:bottom w:w="30" w:type="dxa"/>
              <w:right w:w="60" w:type="dxa"/>
            </w:tcMar>
          </w:tcPr>
          <w:p>
            <w:pPr>
              <w:pStyle w:val="MDPI42tablebody"/>
              <w:jc w:val="left"/>
            </w:pPr>
            <w:r>
              <w:rPr>
                <w:sz w:val="16"/>
              </w:rPr>
              <w:t>Used for background and reference checking.</w:t>
            </w:r>
          </w:p>
        </w:tc>
      </w:tr>
      <w:tr>
        <w:trPr>
          <w:cantSplit/>
        </w:trPr>
        <w:tc>
          <w:tcPr>
            <w:tcW w:type="dxa" w:w="2900"/>
            <w:tcMar>
              <w:top w:w="30" w:type="dxa"/>
              <w:left w:w="60" w:type="dxa"/>
              <w:bottom w:w="30" w:type="dxa"/>
              <w:right w:w="60" w:type="dxa"/>
            </w:tcMar>
          </w:tcPr>
          <w:p>
            <w:pPr>
              <w:pStyle w:val="MDPI42tablebody"/>
              <w:jc w:val="left"/>
            </w:pPr>
            <w:r>
              <w:rPr>
                <w:sz w:val="16"/>
              </w:rPr>
              <w:t>Technical reports [10–14]</w:t>
            </w:r>
          </w:p>
        </w:tc>
        <w:tc>
          <w:tcPr>
            <w:tcW w:type="dxa" w:w="4200"/>
            <w:tcMar>
              <w:top w:w="30" w:type="dxa"/>
              <w:left w:w="60" w:type="dxa"/>
              <w:bottom w:w="30" w:type="dxa"/>
              <w:right w:w="60" w:type="dxa"/>
            </w:tcMar>
          </w:tcPr>
          <w:p>
            <w:pPr>
              <w:pStyle w:val="MDPI42tablebody"/>
              <w:jc w:val="left"/>
            </w:pPr>
            <w:r>
              <w:rPr>
                <w:sz w:val="16"/>
              </w:rPr>
              <w:t>Captioning or Braille system accuracy or usability without an eligible learner-level comparison.</w:t>
            </w:r>
          </w:p>
        </w:tc>
        <w:tc>
          <w:tcPr>
            <w:tcW w:type="dxa" w:w="4300"/>
            <w:tcMar>
              <w:top w:w="30" w:type="dxa"/>
              <w:left w:w="60" w:type="dxa"/>
              <w:bottom w:w="30" w:type="dxa"/>
              <w:right w:w="60" w:type="dxa"/>
            </w:tcMar>
          </w:tcPr>
          <w:p>
            <w:pPr>
              <w:pStyle w:val="MDPI42tablebody"/>
              <w:jc w:val="left"/>
            </w:pPr>
            <w:r>
              <w:rPr>
                <w:sz w:val="16"/>
              </w:rPr>
              <w:t>Excluded: technical-only outcome or no eligible comparator.</w:t>
            </w:r>
          </w:p>
        </w:tc>
        <w:tc>
          <w:tcPr>
            <w:tcW w:type="dxa" w:w="3900"/>
            <w:tcMar>
              <w:top w:w="30" w:type="dxa"/>
              <w:left w:w="60" w:type="dxa"/>
              <w:bottom w:w="30" w:type="dxa"/>
              <w:right w:w="60" w:type="dxa"/>
            </w:tcMar>
          </w:tcPr>
          <w:p>
            <w:pPr>
              <w:pStyle w:val="MDPI42tablebody"/>
              <w:jc w:val="left"/>
            </w:pPr>
            <w:r>
              <w:rPr>
                <w:sz w:val="16"/>
              </w:rPr>
              <w:t>Does not establish ineffectiveness.</w:t>
            </w:r>
          </w:p>
        </w:tc>
      </w:tr>
      <w:tr>
        <w:trPr>
          <w:cantSplit/>
        </w:trPr>
        <w:tc>
          <w:tcPr>
            <w:tcW w:type="dxa" w:w="15300"/>
            <w:gridSpan w:val="4"/>
            <w:shd w:val="clear" w:color="auto" w:fill="F2F2F2"/>
            <w:tcMar>
              <w:top w:w="30" w:type="dxa"/>
              <w:left w:w="60" w:type="dxa"/>
              <w:bottom w:w="30" w:type="dxa"/>
              <w:right w:w="60" w:type="dxa"/>
            </w:tcMar>
          </w:tcPr>
          <w:p>
            <w:pPr>
              <w:pStyle w:val="MDPI42tablebody"/>
              <w:keepNext/>
              <w:jc w:val="left"/>
            </w:pPr>
            <w:r>
              <w:rPr>
                <w:b/>
                <w:sz w:val="16"/>
              </w:rPr>
              <w:t>Panel E. Studies awaiting classification (identified by the post-search check, 26 September 2026)</w:t>
            </w:r>
          </w:p>
        </w:tc>
      </w:tr>
      <w:tr>
        <w:trPr>
          <w:cantSplit/>
        </w:trPr>
        <w:tc>
          <w:tcPr>
            <w:tcW w:type="dxa" w:w="2900"/>
            <w:tcMar>
              <w:top w:w="30" w:type="dxa"/>
              <w:left w:w="60" w:type="dxa"/>
              <w:bottom w:w="30" w:type="dxa"/>
              <w:right w:w="60" w:type="dxa"/>
            </w:tcMar>
          </w:tcPr>
          <w:p>
            <w:pPr>
              <w:pStyle w:val="MDPI42tablebody"/>
              <w:jc w:val="left"/>
            </w:pPr>
            <w:r>
              <w:rPr>
                <w:sz w:val="16"/>
              </w:rPr>
              <w:t>Quinlan (2004) [22]</w:t>
            </w:r>
          </w:p>
        </w:tc>
        <w:tc>
          <w:tcPr>
            <w:tcW w:type="dxa" w:w="4200"/>
            <w:tcMar>
              <w:top w:w="30" w:type="dxa"/>
              <w:left w:w="60" w:type="dxa"/>
              <w:bottom w:w="30" w:type="dxa"/>
              <w:right w:w="60" w:type="dxa"/>
            </w:tcMar>
          </w:tcPr>
          <w:p>
            <w:pPr>
              <w:pStyle w:val="MDPI42tablebody"/>
              <w:jc w:val="left"/>
            </w:pPr>
            <w:r>
              <w:rPr>
                <w:sz w:val="16"/>
              </w:rPr>
              <w:t>Within-participant experiment: narratives composed by handwriting and by STT, with and without advance planning; less fluent and fluent writers aged 11–14 years.</w:t>
            </w:r>
          </w:p>
        </w:tc>
        <w:tc>
          <w:tcPr>
            <w:tcW w:type="dxa" w:w="4300"/>
            <w:tcMar>
              <w:top w:w="30" w:type="dxa"/>
              <w:left w:w="60" w:type="dxa"/>
              <w:bottom w:w="30" w:type="dxa"/>
              <w:right w:w="60" w:type="dxa"/>
            </w:tcMar>
          </w:tcPr>
          <w:p>
            <w:pPr>
              <w:pStyle w:val="MDPI42tablebody"/>
              <w:jc w:val="left"/>
            </w:pPr>
            <w:r>
              <w:rPr>
                <w:sz w:val="16"/>
              </w:rPr>
              <w:t>Awaiting classification; abstract-level information only.</w:t>
            </w:r>
          </w:p>
        </w:tc>
        <w:tc>
          <w:tcPr>
            <w:tcW w:type="dxa" w:w="3900"/>
            <w:tcMar>
              <w:top w:w="30" w:type="dxa"/>
              <w:left w:w="60" w:type="dxa"/>
              <w:bottom w:w="30" w:type="dxa"/>
              <w:right w:w="60" w:type="dxa"/>
            </w:tcMar>
          </w:tcPr>
          <w:p>
            <w:pPr>
              <w:pStyle w:val="MDPI42tablebody"/>
              <w:jc w:val="left"/>
            </w:pPr>
            <w:r>
              <w:rPr>
                <w:sz w:val="16"/>
              </w:rPr>
              <w:t>STT access: longer texts (+) and fewer surface errors (+) for less fluent writers; quality not improved (0). Same direction as included STT evidence.</w:t>
            </w:r>
          </w:p>
        </w:tc>
      </w:tr>
      <w:tr>
        <w:trPr>
          <w:cantSplit/>
        </w:trPr>
        <w:tc>
          <w:tcPr>
            <w:tcW w:type="dxa" w:w="2900"/>
            <w:tcMar>
              <w:top w:w="30" w:type="dxa"/>
              <w:left w:w="60" w:type="dxa"/>
              <w:bottom w:w="30" w:type="dxa"/>
              <w:right w:w="60" w:type="dxa"/>
            </w:tcMar>
          </w:tcPr>
          <w:p>
            <w:pPr>
              <w:pStyle w:val="MDPI42tablebody"/>
              <w:jc w:val="left"/>
            </w:pPr>
            <w:r>
              <w:rPr>
                <w:sz w:val="16"/>
              </w:rPr>
              <w:t>Higgins &amp; Raskind (2005) [23]</w:t>
            </w:r>
          </w:p>
        </w:tc>
        <w:tc>
          <w:tcPr>
            <w:tcW w:type="dxa" w:w="4200"/>
            <w:tcMar>
              <w:top w:w="30" w:type="dxa"/>
              <w:left w:w="60" w:type="dxa"/>
              <w:bottom w:w="30" w:type="dxa"/>
              <w:right w:w="60" w:type="dxa"/>
            </w:tcMar>
          </w:tcPr>
          <w:p>
            <w:pPr>
              <w:pStyle w:val="MDPI42tablebody"/>
              <w:jc w:val="left"/>
            </w:pPr>
            <w:r>
              <w:rPr>
                <w:sz w:val="16"/>
              </w:rPr>
              <w:t>Within-participant comparison: silent reading with vs. without a reading pen (optical character recognition with speech synthesis); 30 students with reading disabilities aged 10–18 years.</w:t>
            </w:r>
          </w:p>
        </w:tc>
        <w:tc>
          <w:tcPr>
            <w:tcW w:type="dxa" w:w="4300"/>
            <w:tcMar>
              <w:top w:w="30" w:type="dxa"/>
              <w:left w:w="60" w:type="dxa"/>
              <w:bottom w:w="30" w:type="dxa"/>
              <w:right w:w="60" w:type="dxa"/>
            </w:tcMar>
          </w:tcPr>
          <w:p>
            <w:pPr>
              <w:pStyle w:val="MDPI42tablebody"/>
              <w:jc w:val="left"/>
            </w:pPr>
            <w:r>
              <w:rPr>
                <w:sz w:val="16"/>
              </w:rPr>
              <w:t>Awaiting classification; abstract-level information only.</w:t>
            </w:r>
          </w:p>
        </w:tc>
        <w:tc>
          <w:tcPr>
            <w:tcW w:type="dxa" w:w="3900"/>
            <w:tcMar>
              <w:top w:w="30" w:type="dxa"/>
              <w:left w:w="60" w:type="dxa"/>
              <w:bottom w:w="30" w:type="dxa"/>
              <w:right w:w="60" w:type="dxa"/>
            </w:tcMar>
          </w:tcPr>
          <w:p>
            <w:pPr>
              <w:pStyle w:val="MDPI42tablebody"/>
              <w:jc w:val="left"/>
            </w:pPr>
            <w:r>
              <w:rPr>
                <w:sz w:val="16"/>
              </w:rPr>
              <w:t>TTS access: comprehension higher with the pen (+). Would add one favourable comprehension comparison; same research group as [34,35], so possible participant overlap would need checking.</w:t>
            </w:r>
          </w:p>
        </w:tc>
      </w:tr>
      <w:tr>
        <w:trPr>
          <w:cantSplit/>
        </w:trPr>
        <w:tc>
          <w:tcPr>
            <w:tcW w:type="dxa" w:w="2900"/>
            <w:tcMar>
              <w:top w:w="30" w:type="dxa"/>
              <w:left w:w="60" w:type="dxa"/>
              <w:bottom w:w="30" w:type="dxa"/>
              <w:right w:w="60" w:type="dxa"/>
            </w:tcMar>
          </w:tcPr>
          <w:p>
            <w:pPr>
              <w:pStyle w:val="MDPI42tablebody"/>
              <w:jc w:val="left"/>
            </w:pPr>
            <w:r>
              <w:rPr>
                <w:sz w:val="16"/>
              </w:rPr>
              <w:t>Izzo et al. (2009) [24]</w:t>
            </w:r>
          </w:p>
        </w:tc>
        <w:tc>
          <w:tcPr>
            <w:tcW w:type="dxa" w:w="4200"/>
            <w:tcMar>
              <w:top w:w="30" w:type="dxa"/>
              <w:left w:w="60" w:type="dxa"/>
              <w:bottom w:w="30" w:type="dxa"/>
              <w:right w:w="60" w:type="dxa"/>
            </w:tcMar>
          </w:tcPr>
          <w:p>
            <w:pPr>
              <w:pStyle w:val="MDPI42tablebody"/>
              <w:jc w:val="left"/>
            </w:pPr>
            <w:r>
              <w:rPr>
                <w:sz w:val="16"/>
              </w:rPr>
              <w:t>Reversal design across 10 curriculum units: TTS screen reader introduced and withdrawn; high-school students with disabilities in an online transition curriculum.</w:t>
            </w:r>
          </w:p>
        </w:tc>
        <w:tc>
          <w:tcPr>
            <w:tcW w:type="dxa" w:w="4300"/>
            <w:tcMar>
              <w:top w:w="30" w:type="dxa"/>
              <w:left w:w="60" w:type="dxa"/>
              <w:bottom w:w="30" w:type="dxa"/>
              <w:right w:w="60" w:type="dxa"/>
            </w:tcMar>
          </w:tcPr>
          <w:p>
            <w:pPr>
              <w:pStyle w:val="MDPI42tablebody"/>
              <w:jc w:val="left"/>
            </w:pPr>
            <w:r>
              <w:rPr>
                <w:sz w:val="16"/>
              </w:rPr>
              <w:t>Awaiting classification; abstract-level information only.</w:t>
            </w:r>
          </w:p>
        </w:tc>
        <w:tc>
          <w:tcPr>
            <w:tcW w:type="dxa" w:w="3900"/>
            <w:tcMar>
              <w:top w:w="30" w:type="dxa"/>
              <w:left w:w="60" w:type="dxa"/>
              <w:bottom w:w="30" w:type="dxa"/>
              <w:right w:w="60" w:type="dxa"/>
            </w:tcMar>
          </w:tcPr>
          <w:p>
            <w:pPr>
              <w:pStyle w:val="MDPI42tablebody"/>
              <w:jc w:val="left"/>
            </w:pPr>
            <w:r>
              <w:rPr>
                <w:sz w:val="16"/>
              </w:rPr>
              <w:t>TTS access: unit-quiz and reading-comprehension scores higher with TTS (+). Would add one favourable comprehension comparison.</w:t>
            </w:r>
          </w:p>
        </w:tc>
      </w:tr>
      <w:tr>
        <w:trPr>
          <w:cantSplit/>
        </w:trPr>
        <w:tc>
          <w:tcPr>
            <w:tcW w:type="dxa" w:w="2900"/>
            <w:tcMar>
              <w:top w:w="30" w:type="dxa"/>
              <w:left w:w="60" w:type="dxa"/>
              <w:bottom w:w="30" w:type="dxa"/>
              <w:right w:w="60" w:type="dxa"/>
            </w:tcMar>
          </w:tcPr>
          <w:p>
            <w:pPr>
              <w:pStyle w:val="MDPI42tablebody"/>
              <w:jc w:val="left"/>
            </w:pPr>
            <w:r>
              <w:rPr>
                <w:sz w:val="16"/>
              </w:rPr>
              <w:t>Kambouri et al. (2023) [25]</w:t>
            </w:r>
          </w:p>
        </w:tc>
        <w:tc>
          <w:tcPr>
            <w:tcW w:type="dxa" w:w="4200"/>
            <w:tcMar>
              <w:top w:w="30" w:type="dxa"/>
              <w:left w:w="60" w:type="dxa"/>
              <w:bottom w:w="30" w:type="dxa"/>
              <w:right w:w="60" w:type="dxa"/>
            </w:tcMar>
          </w:tcPr>
          <w:p>
            <w:pPr>
              <w:pStyle w:val="MDPI42tablebody"/>
              <w:jc w:val="left"/>
            </w:pPr>
            <w:r>
              <w:rPr>
                <w:sz w:val="16"/>
              </w:rPr>
              <w:t>STT (Dragon) used on set tasks for 16–18 weeks; handwritten text assessed before and after, and STT text compared with handwritten text at post-test; 30 children with special educational needs and disabilities in three settings (UK).</w:t>
            </w:r>
          </w:p>
        </w:tc>
        <w:tc>
          <w:tcPr>
            <w:tcW w:type="dxa" w:w="4300"/>
            <w:tcMar>
              <w:top w:w="30" w:type="dxa"/>
              <w:left w:w="60" w:type="dxa"/>
              <w:bottom w:w="30" w:type="dxa"/>
              <w:right w:w="60" w:type="dxa"/>
            </w:tcMar>
          </w:tcPr>
          <w:p>
            <w:pPr>
              <w:pStyle w:val="MDPI42tablebody"/>
              <w:jc w:val="left"/>
            </w:pPr>
            <w:r>
              <w:rPr>
                <w:sz w:val="16"/>
              </w:rPr>
              <w:t>Awaiting classification; eligibility depends on whether the post-test STT vs. handwriting comparison meets the within-participant design criterion.</w:t>
            </w:r>
          </w:p>
        </w:tc>
        <w:tc>
          <w:tcPr>
            <w:tcW w:type="dxa" w:w="3900"/>
            <w:tcMar>
              <w:top w:w="30" w:type="dxa"/>
              <w:left w:w="60" w:type="dxa"/>
              <w:bottom w:w="30" w:type="dxa"/>
              <w:right w:w="60" w:type="dxa"/>
            </w:tcMar>
          </w:tcPr>
          <w:p>
            <w:pPr>
              <w:pStyle w:val="MDPI42tablebody"/>
              <w:jc w:val="left"/>
            </w:pPr>
            <w:r>
              <w:rPr>
                <w:sz w:val="16"/>
              </w:rPr>
              <w:t>STT access: STT text better than handwritten text at post-test (+). Learning: handwritten text improved before–after (+), but without a control group. Consistent with favourable learning effects arising only from higher-risk designs.</w:t>
            </w:r>
          </w:p>
        </w:tc>
      </w:tr>
      <w:tr>
        <w:trPr>
          <w:cantSplit/>
        </w:trPr>
        <w:tc>
          <w:tcPr>
            <w:tcW w:type="dxa" w:w="2900"/>
            <w:tcMar>
              <w:top w:w="30" w:type="dxa"/>
              <w:left w:w="60" w:type="dxa"/>
              <w:bottom w:w="30" w:type="dxa"/>
              <w:right w:w="60" w:type="dxa"/>
            </w:tcMar>
          </w:tcPr>
          <w:p>
            <w:pPr>
              <w:pStyle w:val="MDPI42tablebody"/>
              <w:jc w:val="left"/>
            </w:pPr>
            <w:r>
              <w:rPr>
                <w:sz w:val="16"/>
              </w:rPr>
              <w:t>Flütsch Keravec et al. (2026) [26]</w:t>
            </w:r>
          </w:p>
        </w:tc>
        <w:tc>
          <w:tcPr>
            <w:tcW w:type="dxa" w:w="4200"/>
            <w:tcMar>
              <w:top w:w="30" w:type="dxa"/>
              <w:left w:w="60" w:type="dxa"/>
              <w:bottom w:w="30" w:type="dxa"/>
              <w:right w:w="60" w:type="dxa"/>
            </w:tcMar>
          </w:tcPr>
          <w:p>
            <w:pPr>
              <w:pStyle w:val="MDPI42tablebody"/>
              <w:jc w:val="left"/>
            </w:pPr>
            <w:r>
              <w:rPr>
                <w:sz w:val="16"/>
              </w:rPr>
              <w:t>Controlled 18-week intervention: one STT group vs. two handwriting groups; 107 Grade-5 students with dyslexia (Switzerland).</w:t>
            </w:r>
          </w:p>
        </w:tc>
        <w:tc>
          <w:tcPr>
            <w:tcW w:type="dxa" w:w="4300"/>
            <w:tcMar>
              <w:top w:w="30" w:type="dxa"/>
              <w:left w:w="60" w:type="dxa"/>
              <w:bottom w:w="30" w:type="dxa"/>
              <w:right w:w="60" w:type="dxa"/>
            </w:tcMar>
          </w:tcPr>
          <w:p>
            <w:pPr>
              <w:pStyle w:val="MDPI42tablebody"/>
              <w:jc w:val="left"/>
            </w:pPr>
            <w:r>
              <w:rPr>
                <w:sz w:val="16"/>
              </w:rPr>
              <w:t>Awaiting classification; published after the search closed.</w:t>
            </w:r>
          </w:p>
        </w:tc>
        <w:tc>
          <w:tcPr>
            <w:tcW w:type="dxa" w:w="3900"/>
            <w:tcMar>
              <w:top w:w="30" w:type="dxa"/>
              <w:left w:w="60" w:type="dxa"/>
              <w:bottom w:w="30" w:type="dxa"/>
              <w:right w:w="60" w:type="dxa"/>
            </w:tcMar>
          </w:tcPr>
          <w:p>
            <w:pPr>
              <w:pStyle w:val="MDPI42tablebody"/>
              <w:jc w:val="left"/>
            </w:pPr>
            <w:r>
              <w:rPr>
                <w:sz w:val="16"/>
              </w:rPr>
              <w:t>STT access: longer and more accurate texts with STT (+). STT learning: no transfer to handwritten text production or writing motivation (0). Would make STT learning evidence inconsistent.</w:t>
            </w:r>
          </w:p>
        </w:tc>
      </w:tr>
    </w:tbl>
    <w:p>
      <w:pPr>
        <w:pStyle w:val="MDPI43tablefooter"/>
        <w:ind w:left="0"/>
      </w:pPr>
      <w:r>
        <w:t>CI, confidence interval; GRADE, Grading of Recommendations Assessment, Development and Evaluation; ICF-CY, International Classification of Functioning, Disability and Health for Children and Youth; STT, speech-to-text; SWiM, Synthesis Without Meta-analysis; TTS, text-to-speech; WWC, What Works Clearinghouse. Panel D lists selected boundary decisions; it is not a list of all 101 full-text exclusions. Panel E is based on published abstracts; the directions shown are provisional, were not used in the synthesis, and are discussed in Section 4.6 of the main manuscript.</w:t>
      </w:r>
    </w:p>
    <w:p>
      <w:pPr>
        <w:pStyle w:val="MDPI41tablecaption"/>
        <w:keepNext/>
        <w:ind w:left="0"/>
      </w:pPr>
      <w:r>
        <w:rPr>
          <w:b/>
        </w:rPr>
        <w:t>Table S5.</w:t>
      </w:r>
      <w:r>
        <w:t xml:space="preserve"> GRADE evidence profile by technology–outcome evidence body.</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2300"/>
        <w:gridCol w:w="1400"/>
        <w:gridCol w:w="2600"/>
        <w:gridCol w:w="1800"/>
        <w:gridCol w:w="1400"/>
        <w:gridCol w:w="1500"/>
        <w:gridCol w:w="1500"/>
        <w:gridCol w:w="1500"/>
        <w:gridCol w:w="1300"/>
      </w:tblGrid>
      <w:tr>
        <w:trPr>
          <w:tblHeader/>
        </w:trPr>
        <w:tc>
          <w:tcPr>
            <w:tcW w:type="dxa" w:w="2300"/>
            <w:tcBorders>
              <w:bottom w:val="single" w:sz="4" w:space="0" w:color="000000"/>
            </w:tcBorders>
            <w:tcMar>
              <w:top w:w="30" w:type="dxa"/>
              <w:left w:w="60" w:type="dxa"/>
              <w:bottom w:w="30" w:type="dxa"/>
              <w:right w:w="60" w:type="dxa"/>
            </w:tcMar>
          </w:tcPr>
          <w:p>
            <w:pPr>
              <w:pStyle w:val="MDPI42tablebody"/>
              <w:jc w:val="left"/>
            </w:pPr>
            <w:r>
              <w:rPr>
                <w:b/>
                <w:sz w:val="15"/>
              </w:rPr>
              <w:t>Evidence body (synthesis PICO and time point)</w:t>
            </w:r>
          </w:p>
        </w:tc>
        <w:tc>
          <w:tcPr>
            <w:tcW w:type="dxa" w:w="1400"/>
            <w:tcBorders>
              <w:bottom w:val="single" w:sz="4" w:space="0" w:color="000000"/>
            </w:tcBorders>
            <w:tcMar>
              <w:top w:w="30" w:type="dxa"/>
              <w:left w:w="60" w:type="dxa"/>
              <w:bottom w:w="30" w:type="dxa"/>
              <w:right w:w="60" w:type="dxa"/>
            </w:tcMar>
          </w:tcPr>
          <w:p>
            <w:pPr>
              <w:pStyle w:val="MDPI42tablebody"/>
              <w:jc w:val="left"/>
            </w:pPr>
            <w:r>
              <w:rPr>
                <w:b/>
                <w:sz w:val="15"/>
              </w:rPr>
              <w:t>Series/reports; enrolled or baseline n∗</w:t>
            </w:r>
          </w:p>
        </w:tc>
        <w:tc>
          <w:tcPr>
            <w:tcW w:type="dxa" w:w="2600"/>
            <w:tcBorders>
              <w:bottom w:val="single" w:sz="4" w:space="0" w:color="000000"/>
            </w:tcBorders>
            <w:tcMar>
              <w:top w:w="30" w:type="dxa"/>
              <w:left w:w="60" w:type="dxa"/>
              <w:bottom w:w="30" w:type="dxa"/>
              <w:right w:w="60" w:type="dxa"/>
            </w:tcMar>
          </w:tcPr>
          <w:p>
            <w:pPr>
              <w:pStyle w:val="MDPI42tablebody"/>
              <w:jc w:val="left"/>
            </w:pPr>
            <w:r>
              <w:rPr>
                <w:b/>
                <w:sz w:val="15"/>
              </w:rPr>
              <w:t>Best available effect information</w:t>
            </w:r>
          </w:p>
        </w:tc>
        <w:tc>
          <w:tcPr>
            <w:tcW w:type="dxa" w:w="1800"/>
            <w:tcBorders>
              <w:bottom w:val="single" w:sz="4" w:space="0" w:color="000000"/>
            </w:tcBorders>
            <w:tcMar>
              <w:top w:w="30" w:type="dxa"/>
              <w:left w:w="60" w:type="dxa"/>
              <w:bottom w:w="30" w:type="dxa"/>
              <w:right w:w="60" w:type="dxa"/>
            </w:tcMar>
          </w:tcPr>
          <w:p>
            <w:pPr>
              <w:pStyle w:val="MDPI42tablebody"/>
              <w:jc w:val="left"/>
            </w:pPr>
            <w:r>
              <w:rPr>
                <w:b/>
                <w:sz w:val="15"/>
              </w:rPr>
              <w:t>Risk of bias</w:t>
            </w:r>
          </w:p>
        </w:tc>
        <w:tc>
          <w:tcPr>
            <w:tcW w:type="dxa" w:w="1400"/>
            <w:tcBorders>
              <w:bottom w:val="single" w:sz="4" w:space="0" w:color="000000"/>
            </w:tcBorders>
            <w:tcMar>
              <w:top w:w="30" w:type="dxa"/>
              <w:left w:w="60" w:type="dxa"/>
              <w:bottom w:w="30" w:type="dxa"/>
              <w:right w:w="60" w:type="dxa"/>
            </w:tcMar>
          </w:tcPr>
          <w:p>
            <w:pPr>
              <w:pStyle w:val="MDPI42tablebody"/>
              <w:jc w:val="left"/>
            </w:pPr>
            <w:r>
              <w:rPr>
                <w:b/>
                <w:sz w:val="15"/>
              </w:rPr>
              <w:t>Inconsistency</w:t>
            </w:r>
          </w:p>
        </w:tc>
        <w:tc>
          <w:tcPr>
            <w:tcW w:type="dxa" w:w="1500"/>
            <w:tcBorders>
              <w:bottom w:val="single" w:sz="4" w:space="0" w:color="000000"/>
            </w:tcBorders>
            <w:tcMar>
              <w:top w:w="30" w:type="dxa"/>
              <w:left w:w="60" w:type="dxa"/>
              <w:bottom w:w="30" w:type="dxa"/>
              <w:right w:w="60" w:type="dxa"/>
            </w:tcMar>
          </w:tcPr>
          <w:p>
            <w:pPr>
              <w:pStyle w:val="MDPI42tablebody"/>
              <w:jc w:val="left"/>
            </w:pPr>
            <w:r>
              <w:rPr>
                <w:b/>
                <w:sz w:val="15"/>
              </w:rPr>
              <w:t>Indirectness</w:t>
            </w:r>
          </w:p>
        </w:tc>
        <w:tc>
          <w:tcPr>
            <w:tcW w:type="dxa" w:w="1500"/>
            <w:tcBorders>
              <w:bottom w:val="single" w:sz="4" w:space="0" w:color="000000"/>
            </w:tcBorders>
            <w:tcMar>
              <w:top w:w="30" w:type="dxa"/>
              <w:left w:w="60" w:type="dxa"/>
              <w:bottom w:w="30" w:type="dxa"/>
              <w:right w:w="60" w:type="dxa"/>
            </w:tcMar>
          </w:tcPr>
          <w:p>
            <w:pPr>
              <w:pStyle w:val="MDPI42tablebody"/>
              <w:jc w:val="left"/>
            </w:pPr>
            <w:r>
              <w:rPr>
                <w:b/>
                <w:sz w:val="15"/>
              </w:rPr>
              <w:t>Imprecision</w:t>
            </w:r>
          </w:p>
        </w:tc>
        <w:tc>
          <w:tcPr>
            <w:tcW w:type="dxa" w:w="1500"/>
            <w:tcBorders>
              <w:bottom w:val="single" w:sz="4" w:space="0" w:color="000000"/>
            </w:tcBorders>
            <w:tcMar>
              <w:top w:w="30" w:type="dxa"/>
              <w:left w:w="60" w:type="dxa"/>
              <w:bottom w:w="30" w:type="dxa"/>
              <w:right w:w="60" w:type="dxa"/>
            </w:tcMar>
          </w:tcPr>
          <w:p>
            <w:pPr>
              <w:pStyle w:val="MDPI42tablebody"/>
              <w:jc w:val="left"/>
            </w:pPr>
            <w:r>
              <w:rPr>
                <w:b/>
                <w:sz w:val="15"/>
              </w:rPr>
              <w:t>Publication and non-reporting bias</w:t>
            </w:r>
          </w:p>
        </w:tc>
        <w:tc>
          <w:tcPr>
            <w:tcW w:type="dxa" w:w="1300"/>
            <w:tcBorders>
              <w:bottom w:val="single" w:sz="4" w:space="0" w:color="000000"/>
            </w:tcBorders>
            <w:tcMar>
              <w:top w:w="30" w:type="dxa"/>
              <w:left w:w="60" w:type="dxa"/>
              <w:bottom w:w="30" w:type="dxa"/>
              <w:right w:w="60" w:type="dxa"/>
            </w:tcMar>
          </w:tcPr>
          <w:p>
            <w:pPr>
              <w:pStyle w:val="MDPI42tablebody"/>
              <w:jc w:val="left"/>
            </w:pPr>
            <w:r>
              <w:rPr>
                <w:b/>
                <w:sz w:val="15"/>
              </w:rPr>
              <w:t>Starting level → certainty</w:t>
            </w:r>
          </w:p>
        </w:tc>
      </w:tr>
      <w:tr>
        <w:trPr>
          <w:cantSplit/>
        </w:trPr>
        <w:tc>
          <w:tcPr>
            <w:tcW w:type="dxa" w:w="2300"/>
            <w:tcMar>
              <w:top w:w="30" w:type="dxa"/>
              <w:left w:w="60" w:type="dxa"/>
              <w:bottom w:w="30" w:type="dxa"/>
              <w:right w:w="60" w:type="dxa"/>
            </w:tcMar>
          </w:tcPr>
          <w:p>
            <w:pPr>
              <w:pStyle w:val="MDPI42tablebody"/>
              <w:jc w:val="left"/>
            </w:pPr>
            <w:r>
              <w:rPr>
                <w:sz w:val="15"/>
              </w:rPr>
              <w:t>STT-supported writing practice versus general computer instruction: word recognition, spelling, and reading comprehension at post-intervention [34,35]</w:t>
            </w:r>
          </w:p>
        </w:tc>
        <w:tc>
          <w:tcPr>
            <w:tcW w:type="dxa" w:w="1400"/>
            <w:tcMar>
              <w:top w:w="30" w:type="dxa"/>
              <w:left w:w="60" w:type="dxa"/>
              <w:bottom w:w="30" w:type="dxa"/>
              <w:right w:w="60" w:type="dxa"/>
            </w:tcMar>
          </w:tcPr>
          <w:p>
            <w:pPr>
              <w:pStyle w:val="MDPI42tablebody"/>
              <w:jc w:val="left"/>
            </w:pPr>
            <w:r>
              <w:rPr>
                <w:sz w:val="15"/>
              </w:rPr>
              <w:t>1 series / 2 reports; 52 learners</w:t>
            </w:r>
          </w:p>
        </w:tc>
        <w:tc>
          <w:tcPr>
            <w:tcW w:type="dxa" w:w="2600"/>
            <w:tcMar>
              <w:top w:w="30" w:type="dxa"/>
              <w:left w:w="60" w:type="dxa"/>
              <w:bottom w:w="30" w:type="dxa"/>
              <w:right w:w="60" w:type="dxa"/>
            </w:tcMar>
          </w:tcPr>
          <w:p>
            <w:pPr>
              <w:pStyle w:val="MDPI42tablebody"/>
              <w:jc w:val="left"/>
            </w:pPr>
            <w:r>
              <w:rPr>
                <w:sz w:val="15"/>
              </w:rPr>
              <w:t>No effect estimate or confidence interval reported. Direction favoured STT on all four measures (p &lt; 0.0001 to p &lt; 0.04).</w:t>
            </w:r>
          </w:p>
        </w:tc>
        <w:tc>
          <w:tcPr>
            <w:tcW w:type="dxa" w:w="1800"/>
            <w:tcMar>
              <w:top w:w="30" w:type="dxa"/>
              <w:left w:w="60" w:type="dxa"/>
              <w:bottom w:w="30" w:type="dxa"/>
              <w:right w:w="60" w:type="dxa"/>
            </w:tcMar>
          </w:tcPr>
          <w:p>
            <w:pPr>
              <w:pStyle w:val="MDPI42tablebody"/>
              <w:jc w:val="left"/>
            </w:pPr>
            <w:r>
              <w:rPr>
                <w:sz w:val="15"/>
              </w:rPr>
              <w:t>Very serious (−2): non-random allocation; overlapping, non-concurrent comparison groups; prespecified analysis not documented</w:t>
            </w:r>
          </w:p>
        </w:tc>
        <w:tc>
          <w:tcPr>
            <w:tcW w:type="dxa" w:w="1400"/>
            <w:tcMar>
              <w:top w:w="30" w:type="dxa"/>
              <w:left w:w="60" w:type="dxa"/>
              <w:bottom w:w="30" w:type="dxa"/>
              <w:right w:w="60" w:type="dxa"/>
            </w:tcMar>
          </w:tcPr>
          <w:p>
            <w:pPr>
              <w:pStyle w:val="MDPI42tablebody"/>
              <w:jc w:val="left"/>
            </w:pPr>
            <w:r>
              <w:rPr>
                <w:sz w:val="15"/>
              </w:rPr>
              <w:t>Not assessable (single study series)</w:t>
            </w:r>
          </w:p>
        </w:tc>
        <w:tc>
          <w:tcPr>
            <w:tcW w:type="dxa" w:w="1500"/>
            <w:tcMar>
              <w:top w:w="30" w:type="dxa"/>
              <w:left w:w="60" w:type="dxa"/>
              <w:bottom w:w="30" w:type="dxa"/>
              <w:right w:w="60" w:type="dxa"/>
            </w:tcMar>
          </w:tcPr>
          <w:p>
            <w:pPr>
              <w:pStyle w:val="MDPI42tablebody"/>
              <w:jc w:val="left"/>
            </w:pPr>
            <w:r>
              <w:rPr>
                <w:sz w:val="15"/>
              </w:rPr>
              <w:t>Serious (−1): legacy discrete-speech systems; STT combined with remediation</w:t>
            </w:r>
          </w:p>
        </w:tc>
        <w:tc>
          <w:tcPr>
            <w:tcW w:type="dxa" w:w="1500"/>
            <w:tcMar>
              <w:top w:w="30" w:type="dxa"/>
              <w:left w:w="60" w:type="dxa"/>
              <w:bottom w:w="30" w:type="dxa"/>
              <w:right w:w="60" w:type="dxa"/>
            </w:tcMar>
          </w:tcPr>
          <w:p>
            <w:pPr>
              <w:pStyle w:val="MDPI42tablebody"/>
              <w:jc w:val="left"/>
            </w:pPr>
            <w:r>
              <w:rPr>
                <w:sz w:val="15"/>
              </w:rPr>
              <w:t>Serious (−1): one series; no effect estimate or interval</w:t>
            </w:r>
          </w:p>
        </w:tc>
        <w:tc>
          <w:tcPr>
            <w:tcW w:type="dxa" w:w="1500"/>
            <w:tcMar>
              <w:top w:w="30" w:type="dxa"/>
              <w:left w:w="60" w:type="dxa"/>
              <w:bottom w:w="30" w:type="dxa"/>
              <w:right w:w="60" w:type="dxa"/>
            </w:tcMar>
          </w:tcPr>
          <w:p>
            <w:pPr>
              <w:pStyle w:val="MDPI42tablebody"/>
              <w:jc w:val="left"/>
            </w:pPr>
            <w:r>
              <w:rPr>
                <w:sz w:val="15"/>
              </w:rPr>
              <w:t>Undetected but suspected: single published series; English-language, peer-reviewed-only search</w:t>
            </w:r>
          </w:p>
        </w:tc>
        <w:tc>
          <w:tcPr>
            <w:tcW w:type="dxa" w:w="1300"/>
            <w:tcMar>
              <w:top w:w="30" w:type="dxa"/>
              <w:left w:w="60" w:type="dxa"/>
              <w:bottom w:w="30" w:type="dxa"/>
              <w:right w:w="60" w:type="dxa"/>
            </w:tcMar>
          </w:tcPr>
          <w:p>
            <w:pPr>
              <w:pStyle w:val="MDPI42tablebody"/>
              <w:jc w:val="left"/>
            </w:pPr>
            <w:r>
              <w:rPr>
                <w:sz w:val="15"/>
              </w:rPr>
              <w:t>Low (non-randomised) → Very low</w:t>
            </w:r>
          </w:p>
        </w:tc>
      </w:tr>
      <w:tr>
        <w:trPr>
          <w:cantSplit/>
        </w:trPr>
        <w:tc>
          <w:tcPr>
            <w:tcW w:type="dxa" w:w="2300"/>
            <w:tcMar>
              <w:top w:w="30" w:type="dxa"/>
              <w:left w:w="60" w:type="dxa"/>
              <w:bottom w:w="30" w:type="dxa"/>
              <w:right w:w="60" w:type="dxa"/>
            </w:tcMar>
          </w:tcPr>
          <w:p>
            <w:pPr>
              <w:pStyle w:val="MDPI42tablebody"/>
              <w:jc w:val="left"/>
            </w:pPr>
            <w:r>
              <w:rPr>
                <w:sz w:val="15"/>
              </w:rPr>
              <w:t>STT versus handwriting, keyboarding, or baseline writing: written productivity, accuracy, and text quality at post-intervention or immediate comparison [36–40]</w:t>
            </w:r>
          </w:p>
        </w:tc>
        <w:tc>
          <w:tcPr>
            <w:tcW w:type="dxa" w:w="1400"/>
            <w:tcMar>
              <w:top w:w="30" w:type="dxa"/>
              <w:left w:w="60" w:type="dxa"/>
              <w:bottom w:w="30" w:type="dxa"/>
              <w:right w:w="60" w:type="dxa"/>
            </w:tcMar>
          </w:tcPr>
          <w:p>
            <w:pPr>
              <w:pStyle w:val="MDPI42tablebody"/>
              <w:jc w:val="left"/>
            </w:pPr>
            <w:r>
              <w:rPr>
                <w:sz w:val="15"/>
              </w:rPr>
              <w:t>5 series / 5 reports; 56 learners</w:t>
            </w:r>
          </w:p>
        </w:tc>
        <w:tc>
          <w:tcPr>
            <w:tcW w:type="dxa" w:w="2600"/>
            <w:tcMar>
              <w:top w:w="30" w:type="dxa"/>
              <w:left w:w="60" w:type="dxa"/>
              <w:bottom w:w="30" w:type="dxa"/>
              <w:right w:w="60" w:type="dxa"/>
            </w:tcMar>
          </w:tcPr>
          <w:p>
            <w:pPr>
              <w:pStyle w:val="MDPI42tablebody"/>
              <w:jc w:val="left"/>
            </w:pPr>
            <w:r>
              <w:rPr>
                <w:sz w:val="15"/>
              </w:rPr>
              <w:t>NAP 0.93–1.00 for words, sentences, and content units [40]; PEM 30–100% for text length and 10–100% for text quality [39]; fewer residual errors with STT (F(1,52) = 14.92, p &lt; 0.001, partial η² = 0.22) with no text-quality difference (p = 0.95) [37]; no group estimate with a confidence interval.</w:t>
            </w:r>
          </w:p>
        </w:tc>
        <w:tc>
          <w:tcPr>
            <w:tcW w:type="dxa" w:w="1800"/>
            <w:tcMar>
              <w:top w:w="30" w:type="dxa"/>
              <w:left w:w="60" w:type="dxa"/>
              <w:bottom w:w="30" w:type="dxa"/>
              <w:right w:w="60" w:type="dxa"/>
            </w:tcMar>
          </w:tcPr>
          <w:p>
            <w:pPr>
              <w:pStyle w:val="MDPI42tablebody"/>
              <w:jc w:val="left"/>
            </w:pPr>
            <w:r>
              <w:rPr>
                <w:sz w:val="15"/>
              </w:rPr>
              <w:t>Very serious (−2): two counterbalanced within-participant studies at moderate risk and three single-case studies that did not meet WWC standards</w:t>
            </w:r>
          </w:p>
        </w:tc>
        <w:tc>
          <w:tcPr>
            <w:tcW w:type="dxa" w:w="1400"/>
            <w:tcMar>
              <w:top w:w="30" w:type="dxa"/>
              <w:left w:w="60" w:type="dxa"/>
              <w:bottom w:w="30" w:type="dxa"/>
              <w:right w:w="60" w:type="dxa"/>
            </w:tcMar>
          </w:tcPr>
          <w:p>
            <w:pPr>
              <w:pStyle w:val="MDPI42tablebody"/>
              <w:jc w:val="left"/>
            </w:pPr>
            <w:r>
              <w:rPr>
                <w:sz w:val="15"/>
              </w:rPr>
              <w:t>Serious (−1): learner- and outcome-dependent effects; productivity and accuracy gains without consistent quality gains</w:t>
            </w:r>
          </w:p>
        </w:tc>
        <w:tc>
          <w:tcPr>
            <w:tcW w:type="dxa" w:w="1500"/>
            <w:tcMar>
              <w:top w:w="30" w:type="dxa"/>
              <w:left w:w="60" w:type="dxa"/>
              <w:bottom w:w="30" w:type="dxa"/>
              <w:right w:w="60" w:type="dxa"/>
            </w:tcMar>
          </w:tcPr>
          <w:p>
            <w:pPr>
              <w:pStyle w:val="MDPI42tablebody"/>
              <w:jc w:val="left"/>
            </w:pPr>
            <w:r>
              <w:rPr>
                <w:sz w:val="15"/>
              </w:rPr>
              <w:t>Serious (−1): STT frequently combined with explicit instruction and TTS-supported revision; two single-session accommodation comparisons</w:t>
            </w:r>
          </w:p>
        </w:tc>
        <w:tc>
          <w:tcPr>
            <w:tcW w:type="dxa" w:w="1500"/>
            <w:tcMar>
              <w:top w:w="30" w:type="dxa"/>
              <w:left w:w="60" w:type="dxa"/>
              <w:bottom w:w="30" w:type="dxa"/>
              <w:right w:w="60" w:type="dxa"/>
            </w:tcMar>
          </w:tcPr>
          <w:p>
            <w:pPr>
              <w:pStyle w:val="MDPI42tablebody"/>
              <w:jc w:val="left"/>
            </w:pPr>
            <w:r>
              <w:rPr>
                <w:sz w:val="15"/>
              </w:rPr>
              <w:t>Serious (−1): small samples; unstable individual estimates</w:t>
            </w:r>
          </w:p>
        </w:tc>
        <w:tc>
          <w:tcPr>
            <w:tcW w:type="dxa" w:w="1500"/>
            <w:tcMar>
              <w:top w:w="30" w:type="dxa"/>
              <w:left w:w="60" w:type="dxa"/>
              <w:bottom w:w="30" w:type="dxa"/>
              <w:right w:w="60" w:type="dxa"/>
            </w:tcMar>
          </w:tcPr>
          <w:p>
            <w:pPr>
              <w:pStyle w:val="MDPI42tablebody"/>
              <w:jc w:val="left"/>
            </w:pPr>
            <w:r>
              <w:rPr>
                <w:sz w:val="15"/>
              </w:rPr>
              <w:t>Undetected but suspected: five small published series; no protocol registration located for source studies</w:t>
            </w:r>
          </w:p>
        </w:tc>
        <w:tc>
          <w:tcPr>
            <w:tcW w:type="dxa" w:w="1300"/>
            <w:tcMar>
              <w:top w:w="30" w:type="dxa"/>
              <w:left w:w="60" w:type="dxa"/>
              <w:bottom w:w="30" w:type="dxa"/>
              <w:right w:w="60" w:type="dxa"/>
            </w:tcMar>
          </w:tcPr>
          <w:p>
            <w:pPr>
              <w:pStyle w:val="MDPI42tablebody"/>
              <w:jc w:val="left"/>
            </w:pPr>
            <w:r>
              <w:rPr>
                <w:sz w:val="15"/>
              </w:rPr>
              <w:t>Low (single-case and non-randomised) → Very low</w:t>
            </w:r>
          </w:p>
        </w:tc>
      </w:tr>
      <w:tr>
        <w:trPr>
          <w:cantSplit/>
        </w:trPr>
        <w:tc>
          <w:tcPr>
            <w:tcW w:type="dxa" w:w="2300"/>
            <w:tcMar>
              <w:top w:w="30" w:type="dxa"/>
              <w:left w:w="60" w:type="dxa"/>
              <w:bottom w:w="30" w:type="dxa"/>
              <w:right w:w="60" w:type="dxa"/>
            </w:tcMar>
          </w:tcPr>
          <w:p>
            <w:pPr>
              <w:pStyle w:val="MDPI42tablebody"/>
              <w:jc w:val="left"/>
            </w:pPr>
            <w:r>
              <w:rPr>
                <w:sz w:val="15"/>
              </w:rPr>
              <w:t>TTS or mixed TTS/STT versus unsupported reading, treatment as usual, or an alternative accommodation: reading and listening comprehension at the first post-intervention or condition comparison [42–44,46–52,54–59]</w:t>
            </w:r>
          </w:p>
        </w:tc>
        <w:tc>
          <w:tcPr>
            <w:tcW w:type="dxa" w:w="1400"/>
            <w:tcMar>
              <w:top w:w="30" w:type="dxa"/>
              <w:left w:w="60" w:type="dxa"/>
              <w:bottom w:w="30" w:type="dxa"/>
              <w:right w:w="60" w:type="dxa"/>
            </w:tcMar>
          </w:tcPr>
          <w:p>
            <w:pPr>
              <w:pStyle w:val="MDPI42tablebody"/>
              <w:jc w:val="left"/>
            </w:pPr>
            <w:r>
              <w:rPr>
                <w:sz w:val="15"/>
              </w:rPr>
              <w:t>16 series / 16 reports; 418 learners</w:t>
            </w:r>
          </w:p>
        </w:tc>
        <w:tc>
          <w:tcPr>
            <w:tcW w:type="dxa" w:w="2600"/>
            <w:tcMar>
              <w:top w:w="30" w:type="dxa"/>
              <w:left w:w="60" w:type="dxa"/>
              <w:bottom w:w="30" w:type="dxa"/>
              <w:right w:w="60" w:type="dxa"/>
            </w:tcMar>
          </w:tcPr>
          <w:p>
            <w:pPr>
              <w:pStyle w:val="MDPI42tablebody"/>
              <w:jc w:val="left"/>
            </w:pPr>
            <w:r>
              <w:rPr>
                <w:sz w:val="15"/>
              </w:rPr>
              <w:t>Largest controlled mixed TTS/STT study (n = 149; serious risk): no statistically detectable between-group difference at post-intervention or 1 year. Randomised crossover (n = 49): comprehension benefit reported in grades 3–5 only; reading rate improved in both grade groups. Within-participant study (n = 94): only the dyslexic profile had a statistically significant within-profile gain; the source-reported contrast was a 1.58-point grade-equivalent score difference. Multiple-baseline study (n = 3): no statistically detectable difference in fluency, comprehension, or completion time. Only two reports supplied a confidence interval.</w:t>
            </w:r>
          </w:p>
        </w:tc>
        <w:tc>
          <w:tcPr>
            <w:tcW w:type="dxa" w:w="1800"/>
            <w:tcMar>
              <w:top w:w="30" w:type="dxa"/>
              <w:left w:w="60" w:type="dxa"/>
              <w:bottom w:w="30" w:type="dxa"/>
              <w:right w:w="60" w:type="dxa"/>
            </w:tcMar>
          </w:tcPr>
          <w:p>
            <w:pPr>
              <w:pStyle w:val="MDPI42tablebody"/>
              <w:jc w:val="left"/>
            </w:pPr>
            <w:r>
              <w:rPr>
                <w:sz w:val="15"/>
              </w:rPr>
              <w:t>Serious (−1): one crossover trial with some concerns; three non-randomised studies at moderate and two at serious risk; ten single-case reports, six meeting WWC standards with reservations, two not meeting standards, and two not assessable from abstracts; additional bias-domain concerns were frequent</w:t>
            </w:r>
          </w:p>
        </w:tc>
        <w:tc>
          <w:tcPr>
            <w:tcW w:type="dxa" w:w="1400"/>
            <w:tcMar>
              <w:top w:w="30" w:type="dxa"/>
              <w:left w:w="60" w:type="dxa"/>
              <w:bottom w:w="30" w:type="dxa"/>
              <w:right w:w="60" w:type="dxa"/>
            </w:tcMar>
          </w:tcPr>
          <w:p>
            <w:pPr>
              <w:pStyle w:val="MDPI42tablebody"/>
              <w:jc w:val="left"/>
            </w:pPr>
            <w:r>
              <w:rPr>
                <w:sz w:val="15"/>
              </w:rPr>
              <w:t>Very serious (−2): direction and magnitude differed by learner profile, grade group, cognitive subtype, comparator, and outcome</w:t>
            </w:r>
          </w:p>
        </w:tc>
        <w:tc>
          <w:tcPr>
            <w:tcW w:type="dxa" w:w="1500"/>
            <w:tcMar>
              <w:top w:w="30" w:type="dxa"/>
              <w:left w:w="60" w:type="dxa"/>
              <w:bottom w:w="30" w:type="dxa"/>
              <w:right w:w="60" w:type="dxa"/>
            </w:tcMar>
          </w:tcPr>
          <w:p>
            <w:pPr>
              <w:pStyle w:val="MDPI42tablebody"/>
              <w:jc w:val="left"/>
            </w:pPr>
            <w:r>
              <w:rPr>
                <w:sz w:val="15"/>
              </w:rPr>
              <w:t>Serious (−1): heterogeneous tasks and comparators; short exposure in most studies; technology frequently combined with instruction</w:t>
            </w:r>
          </w:p>
        </w:tc>
        <w:tc>
          <w:tcPr>
            <w:tcW w:type="dxa" w:w="1500"/>
            <w:tcMar>
              <w:top w:w="30" w:type="dxa"/>
              <w:left w:w="60" w:type="dxa"/>
              <w:bottom w:w="30" w:type="dxa"/>
              <w:right w:w="60" w:type="dxa"/>
            </w:tcMar>
          </w:tcPr>
          <w:p>
            <w:pPr>
              <w:pStyle w:val="MDPI42tablebody"/>
              <w:jc w:val="left"/>
            </w:pPr>
            <w:r>
              <w:rPr>
                <w:sz w:val="15"/>
              </w:rPr>
              <w:t>Serious (−1): apart from one study of 149 learners, estimates were based on fewer than 100 learners and most on fewer than 10</w:t>
            </w:r>
          </w:p>
        </w:tc>
        <w:tc>
          <w:tcPr>
            <w:tcW w:type="dxa" w:w="1500"/>
            <w:tcMar>
              <w:top w:w="30" w:type="dxa"/>
              <w:left w:w="60" w:type="dxa"/>
              <w:bottom w:w="30" w:type="dxa"/>
              <w:right w:w="60" w:type="dxa"/>
            </w:tcMar>
          </w:tcPr>
          <w:p>
            <w:pPr>
              <w:pStyle w:val="MDPI42tablebody"/>
              <w:jc w:val="left"/>
            </w:pPr>
            <w:r>
              <w:rPr>
                <w:sz w:val="15"/>
              </w:rPr>
              <w:t>Undetected but suspected: predominantly small studies; eligible reports were located after the search closed; no grey literature, non-English, or register sources searched</w:t>
            </w:r>
          </w:p>
        </w:tc>
        <w:tc>
          <w:tcPr>
            <w:tcW w:type="dxa" w:w="1300"/>
            <w:tcMar>
              <w:top w:w="30" w:type="dxa"/>
              <w:left w:w="60" w:type="dxa"/>
              <w:bottom w:w="30" w:type="dxa"/>
              <w:right w:w="60" w:type="dxa"/>
            </w:tcMar>
          </w:tcPr>
          <w:p>
            <w:pPr>
              <w:pStyle w:val="MDPI42tablebody"/>
              <w:jc w:val="left"/>
            </w:pPr>
            <w:r>
              <w:rPr>
                <w:sz w:val="15"/>
              </w:rPr>
              <w:t>High (randomised evidence available) → Very low</w:t>
            </w:r>
          </w:p>
        </w:tc>
      </w:tr>
      <w:tr>
        <w:trPr>
          <w:cantSplit/>
        </w:trPr>
        <w:tc>
          <w:tcPr>
            <w:tcW w:type="dxa" w:w="2300"/>
            <w:tcMar>
              <w:top w:w="30" w:type="dxa"/>
              <w:left w:w="60" w:type="dxa"/>
              <w:bottom w:w="30" w:type="dxa"/>
              <w:right w:w="60" w:type="dxa"/>
            </w:tcMar>
          </w:tcPr>
          <w:p>
            <w:pPr>
              <w:pStyle w:val="MDPI42tablebody"/>
              <w:jc w:val="left"/>
            </w:pPr>
            <w:r>
              <w:rPr>
                <w:sz w:val="15"/>
              </w:rPr>
              <w:t>TTS-supported teaching versus conventional teaching: general academic achievement at post-intervention [41]</w:t>
            </w:r>
          </w:p>
        </w:tc>
        <w:tc>
          <w:tcPr>
            <w:tcW w:type="dxa" w:w="1400"/>
            <w:tcMar>
              <w:top w:w="30" w:type="dxa"/>
              <w:left w:w="60" w:type="dxa"/>
              <w:bottom w:w="30" w:type="dxa"/>
              <w:right w:w="60" w:type="dxa"/>
            </w:tcMar>
          </w:tcPr>
          <w:p>
            <w:pPr>
              <w:pStyle w:val="MDPI42tablebody"/>
              <w:jc w:val="left"/>
            </w:pPr>
            <w:r>
              <w:rPr>
                <w:sz w:val="15"/>
              </w:rPr>
              <w:t>1 series / 1 report; 20 learners</w:t>
            </w:r>
          </w:p>
        </w:tc>
        <w:tc>
          <w:tcPr>
            <w:tcW w:type="dxa" w:w="2600"/>
            <w:tcMar>
              <w:top w:w="30" w:type="dxa"/>
              <w:left w:w="60" w:type="dxa"/>
              <w:bottom w:w="30" w:type="dxa"/>
              <w:right w:w="60" w:type="dxa"/>
            </w:tcMar>
          </w:tcPr>
          <w:p>
            <w:pPr>
              <w:pStyle w:val="MDPI42tablebody"/>
              <w:jc w:val="left"/>
            </w:pPr>
            <w:r>
              <w:rPr>
                <w:sz w:val="15"/>
              </w:rPr>
              <w:t>Post-test mean 28 (SD 3.61) with TTS versus 24 (SD 4.52) with conventional teaching on a researcher-developed 50-item test; t = 2.186, p &lt; 0.05; mean difference 4.0 points, confidence interval not reported.</w:t>
            </w:r>
          </w:p>
        </w:tc>
        <w:tc>
          <w:tcPr>
            <w:tcW w:type="dxa" w:w="1800"/>
            <w:tcMar>
              <w:top w:w="30" w:type="dxa"/>
              <w:left w:w="60" w:type="dxa"/>
              <w:bottom w:w="30" w:type="dxa"/>
              <w:right w:w="60" w:type="dxa"/>
            </w:tcMar>
          </w:tcPr>
          <w:p>
            <w:pPr>
              <w:pStyle w:val="MDPI42tablebody"/>
              <w:jc w:val="left"/>
            </w:pPr>
            <w:r>
              <w:rPr>
                <w:sz w:val="15"/>
              </w:rPr>
              <w:t>Very serious (−2): high risk of bias on RoB 2; randomisation and concealment not described; unvalidated, unblinded outcome</w:t>
            </w:r>
          </w:p>
        </w:tc>
        <w:tc>
          <w:tcPr>
            <w:tcW w:type="dxa" w:w="1400"/>
            <w:tcMar>
              <w:top w:w="30" w:type="dxa"/>
              <w:left w:w="60" w:type="dxa"/>
              <w:bottom w:w="30" w:type="dxa"/>
              <w:right w:w="60" w:type="dxa"/>
            </w:tcMar>
          </w:tcPr>
          <w:p>
            <w:pPr>
              <w:pStyle w:val="MDPI42tablebody"/>
              <w:jc w:val="left"/>
            </w:pPr>
            <w:r>
              <w:rPr>
                <w:sz w:val="15"/>
              </w:rPr>
              <w:t>Not assessable (single study)</w:t>
            </w:r>
          </w:p>
        </w:tc>
        <w:tc>
          <w:tcPr>
            <w:tcW w:type="dxa" w:w="1500"/>
            <w:tcMar>
              <w:top w:w="30" w:type="dxa"/>
              <w:left w:w="60" w:type="dxa"/>
              <w:bottom w:w="30" w:type="dxa"/>
              <w:right w:w="60" w:type="dxa"/>
            </w:tcMar>
          </w:tcPr>
          <w:p>
            <w:pPr>
              <w:pStyle w:val="MDPI42tablebody"/>
              <w:jc w:val="left"/>
            </w:pPr>
            <w:r>
              <w:rPr>
                <w:sz w:val="15"/>
              </w:rPr>
              <w:t>Serious (−1): unvalidated composite Hindi/English outcome; intervention incompletely specified</w:t>
            </w:r>
          </w:p>
        </w:tc>
        <w:tc>
          <w:tcPr>
            <w:tcW w:type="dxa" w:w="1500"/>
            <w:tcMar>
              <w:top w:w="30" w:type="dxa"/>
              <w:left w:w="60" w:type="dxa"/>
              <w:bottom w:w="30" w:type="dxa"/>
              <w:right w:w="60" w:type="dxa"/>
            </w:tcMar>
          </w:tcPr>
          <w:p>
            <w:pPr>
              <w:pStyle w:val="MDPI42tablebody"/>
              <w:jc w:val="left"/>
            </w:pPr>
            <w:r>
              <w:rPr>
                <w:sz w:val="15"/>
              </w:rPr>
              <w:t>Very serious (−2): n = 20; no confidence interval</w:t>
            </w:r>
          </w:p>
        </w:tc>
        <w:tc>
          <w:tcPr>
            <w:tcW w:type="dxa" w:w="1500"/>
            <w:tcMar>
              <w:top w:w="30" w:type="dxa"/>
              <w:left w:w="60" w:type="dxa"/>
              <w:bottom w:w="30" w:type="dxa"/>
              <w:right w:w="60" w:type="dxa"/>
            </w:tcMar>
          </w:tcPr>
          <w:p>
            <w:pPr>
              <w:pStyle w:val="MDPI42tablebody"/>
              <w:jc w:val="left"/>
            </w:pPr>
            <w:r>
              <w:rPr>
                <w:sz w:val="15"/>
              </w:rPr>
              <w:t>Undetected but suspected: single small published study in a journal without a registration requirement</w:t>
            </w:r>
          </w:p>
        </w:tc>
        <w:tc>
          <w:tcPr>
            <w:tcW w:type="dxa" w:w="1300"/>
            <w:tcMar>
              <w:top w:w="30" w:type="dxa"/>
              <w:left w:w="60" w:type="dxa"/>
              <w:bottom w:w="30" w:type="dxa"/>
              <w:right w:w="60" w:type="dxa"/>
            </w:tcMar>
          </w:tcPr>
          <w:p>
            <w:pPr>
              <w:pStyle w:val="MDPI42tablebody"/>
              <w:jc w:val="left"/>
            </w:pPr>
            <w:r>
              <w:rPr>
                <w:sz w:val="15"/>
              </w:rPr>
              <w:t>High (randomised) → Very low</w:t>
            </w:r>
          </w:p>
        </w:tc>
      </w:tr>
      <w:tr>
        <w:trPr>
          <w:cantSplit/>
        </w:trPr>
        <w:tc>
          <w:tcPr>
            <w:tcW w:type="dxa" w:w="2300"/>
            <w:tcMar>
              <w:top w:w="30" w:type="dxa"/>
              <w:left w:w="60" w:type="dxa"/>
              <w:bottom w:w="30" w:type="dxa"/>
              <w:right w:w="60" w:type="dxa"/>
            </w:tcMar>
          </w:tcPr>
          <w:p>
            <w:pPr>
              <w:pStyle w:val="MDPI42tablebody"/>
              <w:jc w:val="left"/>
            </w:pPr>
            <w:r>
              <w:rPr>
                <w:sz w:val="15"/>
              </w:rPr>
              <w:t>TTS-assisted mathematics instruction versus conventional instruction: mathematics achievement at post-intervention [45]</w:t>
            </w:r>
          </w:p>
        </w:tc>
        <w:tc>
          <w:tcPr>
            <w:tcW w:type="dxa" w:w="1400"/>
            <w:tcMar>
              <w:top w:w="30" w:type="dxa"/>
              <w:left w:w="60" w:type="dxa"/>
              <w:bottom w:w="30" w:type="dxa"/>
              <w:right w:w="60" w:type="dxa"/>
            </w:tcMar>
          </w:tcPr>
          <w:p>
            <w:pPr>
              <w:pStyle w:val="MDPI42tablebody"/>
              <w:jc w:val="left"/>
            </w:pPr>
            <w:r>
              <w:rPr>
                <w:sz w:val="15"/>
              </w:rPr>
              <w:t>1 series / 1 report; 20 learners</w:t>
            </w:r>
          </w:p>
        </w:tc>
        <w:tc>
          <w:tcPr>
            <w:tcW w:type="dxa" w:w="2600"/>
            <w:tcMar>
              <w:top w:w="30" w:type="dxa"/>
              <w:left w:w="60" w:type="dxa"/>
              <w:bottom w:w="30" w:type="dxa"/>
              <w:right w:w="60" w:type="dxa"/>
            </w:tcMar>
          </w:tcPr>
          <w:p>
            <w:pPr>
              <w:pStyle w:val="MDPI42tablebody"/>
              <w:jc w:val="left"/>
            </w:pPr>
            <w:r>
              <w:rPr>
                <w:sz w:val="15"/>
              </w:rPr>
              <w:t>Adjusted post-test group effect F(1,17) = 42.226, p &lt; 0.001, partial η² = 0.713. Descriptive standard deviations reported for the TTS group were internally inconsistent and are not reproduced.</w:t>
            </w:r>
          </w:p>
        </w:tc>
        <w:tc>
          <w:tcPr>
            <w:tcW w:type="dxa" w:w="1800"/>
            <w:tcMar>
              <w:top w:w="30" w:type="dxa"/>
              <w:left w:w="60" w:type="dxa"/>
              <w:bottom w:w="30" w:type="dxa"/>
              <w:right w:w="60" w:type="dxa"/>
            </w:tcMar>
          </w:tcPr>
          <w:p>
            <w:pPr>
              <w:pStyle w:val="MDPI42tablebody"/>
              <w:jc w:val="left"/>
            </w:pPr>
            <w:r>
              <w:rPr>
                <w:sz w:val="15"/>
              </w:rPr>
              <w:t>Very serious (−2): serious risk of bias on ROBINS-I; purposive non-equivalent groups; researcher-reported outcome</w:t>
            </w:r>
          </w:p>
        </w:tc>
        <w:tc>
          <w:tcPr>
            <w:tcW w:type="dxa" w:w="1400"/>
            <w:tcMar>
              <w:top w:w="30" w:type="dxa"/>
              <w:left w:w="60" w:type="dxa"/>
              <w:bottom w:w="30" w:type="dxa"/>
              <w:right w:w="60" w:type="dxa"/>
            </w:tcMar>
          </w:tcPr>
          <w:p>
            <w:pPr>
              <w:pStyle w:val="MDPI42tablebody"/>
              <w:jc w:val="left"/>
            </w:pPr>
            <w:r>
              <w:rPr>
                <w:sz w:val="15"/>
              </w:rPr>
              <w:t>Not assessable (single study)</w:t>
            </w:r>
          </w:p>
        </w:tc>
        <w:tc>
          <w:tcPr>
            <w:tcW w:type="dxa" w:w="1500"/>
            <w:tcMar>
              <w:top w:w="30" w:type="dxa"/>
              <w:left w:w="60" w:type="dxa"/>
              <w:bottom w:w="30" w:type="dxa"/>
              <w:right w:w="60" w:type="dxa"/>
            </w:tcMar>
          </w:tcPr>
          <w:p>
            <w:pPr>
              <w:pStyle w:val="MDPI42tablebody"/>
              <w:jc w:val="left"/>
            </w:pPr>
            <w:r>
              <w:rPr>
                <w:sz w:val="15"/>
              </w:rPr>
              <w:t>Serious (−1): single local programme; researcher-reported measure</w:t>
            </w:r>
          </w:p>
        </w:tc>
        <w:tc>
          <w:tcPr>
            <w:tcW w:type="dxa" w:w="1500"/>
            <w:tcMar>
              <w:top w:w="30" w:type="dxa"/>
              <w:left w:w="60" w:type="dxa"/>
              <w:bottom w:w="30" w:type="dxa"/>
              <w:right w:w="60" w:type="dxa"/>
            </w:tcMar>
          </w:tcPr>
          <w:p>
            <w:pPr>
              <w:pStyle w:val="MDPI42tablebody"/>
              <w:jc w:val="left"/>
            </w:pPr>
            <w:r>
              <w:rPr>
                <w:sz w:val="15"/>
              </w:rPr>
              <w:t>Very serious (−2): n = 20; internally inconsistent descriptive statistics</w:t>
            </w:r>
          </w:p>
        </w:tc>
        <w:tc>
          <w:tcPr>
            <w:tcW w:type="dxa" w:w="1500"/>
            <w:tcMar>
              <w:top w:w="30" w:type="dxa"/>
              <w:left w:w="60" w:type="dxa"/>
              <w:bottom w:w="30" w:type="dxa"/>
              <w:right w:w="60" w:type="dxa"/>
            </w:tcMar>
          </w:tcPr>
          <w:p>
            <w:pPr>
              <w:pStyle w:val="MDPI42tablebody"/>
              <w:jc w:val="left"/>
            </w:pPr>
            <w:r>
              <w:rPr>
                <w:sz w:val="15"/>
              </w:rPr>
              <w:t>Undetected but suspected: single small published study</w:t>
            </w:r>
          </w:p>
        </w:tc>
        <w:tc>
          <w:tcPr>
            <w:tcW w:type="dxa" w:w="1300"/>
            <w:tcMar>
              <w:top w:w="30" w:type="dxa"/>
              <w:left w:w="60" w:type="dxa"/>
              <w:bottom w:w="30" w:type="dxa"/>
              <w:right w:w="60" w:type="dxa"/>
            </w:tcMar>
          </w:tcPr>
          <w:p>
            <w:pPr>
              <w:pStyle w:val="MDPI42tablebody"/>
              <w:jc w:val="left"/>
            </w:pPr>
            <w:r>
              <w:rPr>
                <w:sz w:val="15"/>
              </w:rPr>
              <w:t>Low (non-randomised) → Very low</w:t>
            </w:r>
          </w:p>
        </w:tc>
      </w:tr>
      <w:tr>
        <w:trPr>
          <w:cantSplit/>
        </w:trPr>
        <w:tc>
          <w:tcPr>
            <w:tcW w:type="dxa" w:w="2300"/>
            <w:tcMar>
              <w:top w:w="30" w:type="dxa"/>
              <w:left w:w="60" w:type="dxa"/>
              <w:bottom w:w="30" w:type="dxa"/>
              <w:right w:w="60" w:type="dxa"/>
            </w:tcMar>
          </w:tcPr>
          <w:p>
            <w:pPr>
              <w:pStyle w:val="MDPI42tablebody"/>
              <w:jc w:val="left"/>
            </w:pPr>
            <w:r>
              <w:rPr>
                <w:sz w:val="15"/>
              </w:rPr>
              <w:t>TTS-supported e-learning versus unsupported baseline phases: spelling and pronunciation-related performance during the intervention phase [53]</w:t>
            </w:r>
          </w:p>
        </w:tc>
        <w:tc>
          <w:tcPr>
            <w:tcW w:type="dxa" w:w="1400"/>
            <w:tcMar>
              <w:top w:w="30" w:type="dxa"/>
              <w:left w:w="60" w:type="dxa"/>
              <w:bottom w:w="30" w:type="dxa"/>
              <w:right w:w="60" w:type="dxa"/>
            </w:tcMar>
          </w:tcPr>
          <w:p>
            <w:pPr>
              <w:pStyle w:val="MDPI42tablebody"/>
              <w:jc w:val="left"/>
            </w:pPr>
            <w:r>
              <w:rPr>
                <w:sz w:val="15"/>
              </w:rPr>
              <w:t>1 series / 1 report; 1 learner</w:t>
            </w:r>
          </w:p>
        </w:tc>
        <w:tc>
          <w:tcPr>
            <w:tcW w:type="dxa" w:w="2600"/>
            <w:tcMar>
              <w:top w:w="30" w:type="dxa"/>
              <w:left w:w="60" w:type="dxa"/>
              <w:bottom w:w="30" w:type="dxa"/>
              <w:right w:w="60" w:type="dxa"/>
            </w:tcMar>
          </w:tcPr>
          <w:p>
            <w:pPr>
              <w:pStyle w:val="MDPI42tablebody"/>
              <w:jc w:val="left"/>
            </w:pPr>
            <w:r>
              <w:rPr>
                <w:sz w:val="15"/>
              </w:rPr>
              <w:t>Not estimable. The report described higher performance during the intervention phase but did not define the outcome scale or report phase-level data sufficiently for an effect estimate.</w:t>
            </w:r>
          </w:p>
        </w:tc>
        <w:tc>
          <w:tcPr>
            <w:tcW w:type="dxa" w:w="1800"/>
            <w:tcMar>
              <w:top w:w="30" w:type="dxa"/>
              <w:left w:w="60" w:type="dxa"/>
              <w:bottom w:w="30" w:type="dxa"/>
              <w:right w:w="60" w:type="dxa"/>
            </w:tcMar>
          </w:tcPr>
          <w:p>
            <w:pPr>
              <w:pStyle w:val="MDPI42tablebody"/>
              <w:jc w:val="left"/>
            </w:pPr>
            <w:r>
              <w:rPr>
                <w:sz w:val="15"/>
              </w:rPr>
              <w:t>Very serious (−2): single-case design not meeting WWC standards; outcome measurement and reporting unclear</w:t>
            </w:r>
          </w:p>
        </w:tc>
        <w:tc>
          <w:tcPr>
            <w:tcW w:type="dxa" w:w="1400"/>
            <w:tcMar>
              <w:top w:w="30" w:type="dxa"/>
              <w:left w:w="60" w:type="dxa"/>
              <w:bottom w:w="30" w:type="dxa"/>
              <w:right w:w="60" w:type="dxa"/>
            </w:tcMar>
          </w:tcPr>
          <w:p>
            <w:pPr>
              <w:pStyle w:val="MDPI42tablebody"/>
              <w:jc w:val="left"/>
            </w:pPr>
            <w:r>
              <w:rPr>
                <w:sz w:val="15"/>
              </w:rPr>
              <w:t>Not assessable (single study)</w:t>
            </w:r>
          </w:p>
        </w:tc>
        <w:tc>
          <w:tcPr>
            <w:tcW w:type="dxa" w:w="1500"/>
            <w:tcMar>
              <w:top w:w="30" w:type="dxa"/>
              <w:left w:w="60" w:type="dxa"/>
              <w:bottom w:w="30" w:type="dxa"/>
              <w:right w:w="60" w:type="dxa"/>
            </w:tcMar>
          </w:tcPr>
          <w:p>
            <w:pPr>
              <w:pStyle w:val="MDPI42tablebody"/>
              <w:jc w:val="left"/>
            </w:pPr>
            <w:r>
              <w:rPr>
                <w:sz w:val="15"/>
              </w:rPr>
              <w:t>Serious (−1): single e-learning context; incompletely defined measure</w:t>
            </w:r>
          </w:p>
        </w:tc>
        <w:tc>
          <w:tcPr>
            <w:tcW w:type="dxa" w:w="1500"/>
            <w:tcMar>
              <w:top w:w="30" w:type="dxa"/>
              <w:left w:w="60" w:type="dxa"/>
              <w:bottom w:w="30" w:type="dxa"/>
              <w:right w:w="60" w:type="dxa"/>
            </w:tcMar>
          </w:tcPr>
          <w:p>
            <w:pPr>
              <w:pStyle w:val="MDPI42tablebody"/>
              <w:jc w:val="left"/>
            </w:pPr>
            <w:r>
              <w:rPr>
                <w:sz w:val="15"/>
              </w:rPr>
              <w:t>Very serious (−2): one participant</w:t>
            </w:r>
          </w:p>
        </w:tc>
        <w:tc>
          <w:tcPr>
            <w:tcW w:type="dxa" w:w="1500"/>
            <w:tcMar>
              <w:top w:w="30" w:type="dxa"/>
              <w:left w:w="60" w:type="dxa"/>
              <w:bottom w:w="30" w:type="dxa"/>
              <w:right w:w="60" w:type="dxa"/>
            </w:tcMar>
          </w:tcPr>
          <w:p>
            <w:pPr>
              <w:pStyle w:val="MDPI42tablebody"/>
              <w:jc w:val="left"/>
            </w:pPr>
            <w:r>
              <w:rPr>
                <w:sz w:val="15"/>
              </w:rPr>
              <w:t>Undetected but suspected: single published case report</w:t>
            </w:r>
          </w:p>
        </w:tc>
        <w:tc>
          <w:tcPr>
            <w:tcW w:type="dxa" w:w="1300"/>
            <w:tcMar>
              <w:top w:w="30" w:type="dxa"/>
              <w:left w:w="60" w:type="dxa"/>
              <w:bottom w:w="30" w:type="dxa"/>
              <w:right w:w="60" w:type="dxa"/>
            </w:tcMar>
          </w:tcPr>
          <w:p>
            <w:pPr>
              <w:pStyle w:val="MDPI42tablebody"/>
              <w:jc w:val="left"/>
            </w:pPr>
            <w:r>
              <w:rPr>
                <w:sz w:val="15"/>
              </w:rPr>
              <w:t>Low (single-case) → Very low</w:t>
            </w:r>
          </w:p>
        </w:tc>
      </w:tr>
      <w:tr>
        <w:trPr>
          <w:cantSplit/>
        </w:trPr>
        <w:tc>
          <w:tcPr>
            <w:tcW w:type="dxa" w:w="2300"/>
            <w:tcMar>
              <w:top w:w="30" w:type="dxa"/>
              <w:left w:w="60" w:type="dxa"/>
              <w:bottom w:w="30" w:type="dxa"/>
              <w:right w:w="60" w:type="dxa"/>
            </w:tcMar>
          </w:tcPr>
          <w:p>
            <w:pPr>
              <w:pStyle w:val="MDPI42tablebody"/>
              <w:jc w:val="left"/>
            </w:pPr>
            <w:r>
              <w:rPr>
                <w:sz w:val="15"/>
              </w:rPr>
              <w:t>Teacher instruction plus adaptive AI Braille Tutor versus teacher instruction alone: sessions to 100% mastery of Braille contractions [60]</w:t>
            </w:r>
          </w:p>
        </w:tc>
        <w:tc>
          <w:tcPr>
            <w:tcW w:type="dxa" w:w="1400"/>
            <w:tcMar>
              <w:top w:w="30" w:type="dxa"/>
              <w:left w:w="60" w:type="dxa"/>
              <w:bottom w:w="30" w:type="dxa"/>
              <w:right w:w="60" w:type="dxa"/>
            </w:tcMar>
          </w:tcPr>
          <w:p>
            <w:pPr>
              <w:pStyle w:val="MDPI42tablebody"/>
              <w:jc w:val="left"/>
            </w:pPr>
            <w:r>
              <w:rPr>
                <w:sz w:val="15"/>
              </w:rPr>
              <w:t>1 series / 1 report; 10 learners</w:t>
            </w:r>
          </w:p>
        </w:tc>
        <w:tc>
          <w:tcPr>
            <w:tcW w:type="dxa" w:w="2600"/>
            <w:tcMar>
              <w:top w:w="30" w:type="dxa"/>
              <w:left w:w="60" w:type="dxa"/>
              <w:bottom w:w="30" w:type="dxa"/>
              <w:right w:w="60" w:type="dxa"/>
            </w:tcMar>
          </w:tcPr>
          <w:p>
            <w:pPr>
              <w:pStyle w:val="MDPI42tablebody"/>
              <w:jc w:val="left"/>
            </w:pPr>
            <w:r>
              <w:rPr>
                <w:sz w:val="15"/>
              </w:rPr>
              <w:t>Mean 7.00 sessions (range 1–12) with Tutor support versus 9.58 sessions (range 3–16) with teacher-only instruction; mean difference −2.58 sessions, confidence interval not reported. The authors described this as a trend, and the study was not powered for a confirmatory comparison.</w:t>
            </w:r>
          </w:p>
        </w:tc>
        <w:tc>
          <w:tcPr>
            <w:tcW w:type="dxa" w:w="1800"/>
            <w:tcMar>
              <w:top w:w="30" w:type="dxa"/>
              <w:left w:w="60" w:type="dxa"/>
              <w:bottom w:w="30" w:type="dxa"/>
              <w:right w:w="60" w:type="dxa"/>
            </w:tcMar>
          </w:tcPr>
          <w:p>
            <w:pPr>
              <w:pStyle w:val="MDPI42tablebody"/>
              <w:jc w:val="left"/>
            </w:pPr>
            <w:r>
              <w:rPr>
                <w:sz w:val="15"/>
              </w:rPr>
              <w:t>Very serious (−2): single-case design not meeting WWC standards; fewer than three eligible demonstrations of effect</w:t>
            </w:r>
          </w:p>
        </w:tc>
        <w:tc>
          <w:tcPr>
            <w:tcW w:type="dxa" w:w="1400"/>
            <w:tcMar>
              <w:top w:w="30" w:type="dxa"/>
              <w:left w:w="60" w:type="dxa"/>
              <w:bottom w:w="30" w:type="dxa"/>
              <w:right w:w="60" w:type="dxa"/>
            </w:tcMar>
          </w:tcPr>
          <w:p>
            <w:pPr>
              <w:pStyle w:val="MDPI42tablebody"/>
              <w:jc w:val="left"/>
            </w:pPr>
            <w:r>
              <w:rPr>
                <w:sz w:val="15"/>
              </w:rPr>
              <w:t>Not assessable (single study series)</w:t>
            </w:r>
          </w:p>
        </w:tc>
        <w:tc>
          <w:tcPr>
            <w:tcW w:type="dxa" w:w="1500"/>
            <w:tcMar>
              <w:top w:w="30" w:type="dxa"/>
              <w:left w:w="60" w:type="dxa"/>
              <w:bottom w:w="30" w:type="dxa"/>
              <w:right w:w="60" w:type="dxa"/>
            </w:tcMar>
          </w:tcPr>
          <w:p>
            <w:pPr>
              <w:pStyle w:val="MDPI42tablebody"/>
              <w:jc w:val="left"/>
            </w:pPr>
            <w:r>
              <w:rPr>
                <w:sz w:val="15"/>
              </w:rPr>
              <w:t>Serious (−1): prototype system; isolated contractions; teacher co-intervention</w:t>
            </w:r>
          </w:p>
        </w:tc>
        <w:tc>
          <w:tcPr>
            <w:tcW w:type="dxa" w:w="1500"/>
            <w:tcMar>
              <w:top w:w="30" w:type="dxa"/>
              <w:left w:w="60" w:type="dxa"/>
              <w:bottom w:w="30" w:type="dxa"/>
              <w:right w:w="60" w:type="dxa"/>
            </w:tcMar>
          </w:tcPr>
          <w:p>
            <w:pPr>
              <w:pStyle w:val="MDPI42tablebody"/>
              <w:jc w:val="left"/>
            </w:pPr>
            <w:r>
              <w:rPr>
                <w:sz w:val="15"/>
              </w:rPr>
              <w:t>Very serious (−2): n = 10; no confidence interval</w:t>
            </w:r>
          </w:p>
        </w:tc>
        <w:tc>
          <w:tcPr>
            <w:tcW w:type="dxa" w:w="1500"/>
            <w:tcMar>
              <w:top w:w="30" w:type="dxa"/>
              <w:left w:w="60" w:type="dxa"/>
              <w:bottom w:w="30" w:type="dxa"/>
              <w:right w:w="60" w:type="dxa"/>
            </w:tcMar>
          </w:tcPr>
          <w:p>
            <w:pPr>
              <w:pStyle w:val="MDPI42tablebody"/>
              <w:jc w:val="left"/>
            </w:pPr>
            <w:r>
              <w:rPr>
                <w:sz w:val="15"/>
              </w:rPr>
              <w:t>Undetected but suspected: single small published study; no replication located</w:t>
            </w:r>
          </w:p>
        </w:tc>
        <w:tc>
          <w:tcPr>
            <w:tcW w:type="dxa" w:w="1300"/>
            <w:tcMar>
              <w:top w:w="30" w:type="dxa"/>
              <w:left w:w="60" w:type="dxa"/>
              <w:bottom w:w="30" w:type="dxa"/>
              <w:right w:w="60" w:type="dxa"/>
            </w:tcMar>
          </w:tcPr>
          <w:p>
            <w:pPr>
              <w:pStyle w:val="MDPI42tablebody"/>
              <w:jc w:val="left"/>
            </w:pPr>
            <w:r>
              <w:rPr>
                <w:sz w:val="15"/>
              </w:rPr>
              <w:t>Low (single-case) → Very low</w:t>
            </w:r>
          </w:p>
        </w:tc>
      </w:tr>
    </w:tbl>
    <w:p>
      <w:pPr>
        <w:pStyle w:val="MDPI43tablefooter"/>
        <w:ind w:left="0"/>
      </w:pPr>
      <w:r>
        <w:t>Each row corresponds to a synthesis group in Table S4 (Panel A). ∗Enrolled or baseline n includes learners with disabilities only; totals are upper bounds where cohorts may overlap. Randomised evidence set the starting level for mixed-design bodies. Single-case risk-of-bias judgements combine WWC design standards with the additional domains in Table S3. Inconsistency was not assessable for a single study. Publication and non-reporting bias was judged qualitatively in light of the search restrictions. Functions without eligible evidence were not rated.</w:t>
      </w:r>
    </w:p>
    <w:p>
      <w:pPr>
        <w:pStyle w:val="MDPI41tablecaption"/>
        <w:keepNext/>
        <w:ind w:left="0"/>
      </w:pPr>
      <w:r>
        <w:rPr>
          <w:b/>
        </w:rPr>
        <w:t>Table S6.</w:t>
      </w:r>
      <w:r>
        <w:t xml:space="preserve"> Outcome classification (ICF-CY domain; access or learning outcome) and effect-direction coding.</w:t>
      </w:r>
    </w:p>
    <w:tbl>
      <w:tblPr>
        <w:tblW w:type="dxa" w:w="15300"/>
        <w:jc w:val="center"/>
        <w:tblBorders>
          <w:top w:val="single" w:sz="8" w:space="0" w:color="000000"/>
          <w:bottom w:val="single" w:sz="8" w:space="0" w:color="000000"/>
        </w:tblBorders>
        <w:tblLayout w:type="fixed"/>
        <w:tblLook w:firstColumn="1" w:firstRow="1" w:lastColumn="0" w:lastRow="0" w:noHBand="0" w:noVBand="1" w:val="04A0"/>
      </w:tblPr>
      <w:tblGrid>
        <w:gridCol w:w="900"/>
        <w:gridCol w:w="2000"/>
        <w:gridCol w:w="2900"/>
        <w:gridCol w:w="1300"/>
        <w:gridCol w:w="2300"/>
        <w:gridCol w:w="5900"/>
      </w:tblGrid>
      <w:tr>
        <w:trPr>
          <w:tblHeader/>
        </w:trPr>
        <w:tc>
          <w:tcPr>
            <w:tcW w:type="dxa" w:w="900"/>
            <w:tcBorders>
              <w:bottom w:val="single" w:sz="4" w:space="0" w:color="000000"/>
            </w:tcBorders>
            <w:tcMar>
              <w:top w:w="30" w:type="dxa"/>
              <w:left w:w="60" w:type="dxa"/>
              <w:bottom w:w="30" w:type="dxa"/>
              <w:right w:w="60" w:type="dxa"/>
            </w:tcMar>
          </w:tcPr>
          <w:p>
            <w:pPr>
              <w:pStyle w:val="MDPI42tablebody"/>
              <w:jc w:val="left"/>
            </w:pPr>
            <w:r>
              <w:rPr>
                <w:b/>
                <w:sz w:val="16"/>
              </w:rPr>
              <w:t>Ref.</w:t>
            </w:r>
          </w:p>
        </w:tc>
        <w:tc>
          <w:tcPr>
            <w:tcW w:type="dxa" w:w="2000"/>
            <w:tcBorders>
              <w:bottom w:val="single" w:sz="4" w:space="0" w:color="000000"/>
            </w:tcBorders>
            <w:tcMar>
              <w:top w:w="30" w:type="dxa"/>
              <w:left w:w="60" w:type="dxa"/>
              <w:bottom w:w="30" w:type="dxa"/>
              <w:right w:w="60" w:type="dxa"/>
            </w:tcMar>
          </w:tcPr>
          <w:p>
            <w:pPr>
              <w:pStyle w:val="MDPI42tablebody"/>
              <w:jc w:val="left"/>
            </w:pPr>
            <w:r>
              <w:rPr>
                <w:b/>
                <w:sz w:val="16"/>
              </w:rPr>
              <w:t>Outcome domain</w:t>
            </w:r>
          </w:p>
        </w:tc>
        <w:tc>
          <w:tcPr>
            <w:tcW w:type="dxa" w:w="2900"/>
            <w:tcBorders>
              <w:bottom w:val="single" w:sz="4" w:space="0" w:color="000000"/>
            </w:tcBorders>
            <w:tcMar>
              <w:top w:w="30" w:type="dxa"/>
              <w:left w:w="60" w:type="dxa"/>
              <w:bottom w:w="30" w:type="dxa"/>
              <w:right w:w="60" w:type="dxa"/>
            </w:tcMar>
          </w:tcPr>
          <w:p>
            <w:pPr>
              <w:pStyle w:val="MDPI42tablebody"/>
              <w:jc w:val="left"/>
            </w:pPr>
            <w:r>
              <w:rPr>
                <w:b/>
                <w:sz w:val="16"/>
              </w:rPr>
              <w:t>ICF-CY code(s)</w:t>
            </w:r>
          </w:p>
        </w:tc>
        <w:tc>
          <w:tcPr>
            <w:tcW w:type="dxa" w:w="1300"/>
            <w:tcBorders>
              <w:bottom w:val="single" w:sz="4" w:space="0" w:color="000000"/>
            </w:tcBorders>
            <w:tcMar>
              <w:top w:w="30" w:type="dxa"/>
              <w:left w:w="60" w:type="dxa"/>
              <w:bottom w:w="30" w:type="dxa"/>
              <w:right w:w="60" w:type="dxa"/>
            </w:tcMar>
          </w:tcPr>
          <w:p>
            <w:pPr>
              <w:pStyle w:val="MDPI42tablebody"/>
              <w:jc w:val="left"/>
            </w:pPr>
            <w:r>
              <w:rPr>
                <w:b/>
                <w:sz w:val="16"/>
              </w:rPr>
              <w:t>Access or learning</w:t>
            </w:r>
          </w:p>
        </w:tc>
        <w:tc>
          <w:tcPr>
            <w:tcW w:type="dxa" w:w="2300"/>
            <w:tcBorders>
              <w:bottom w:val="single" w:sz="4" w:space="0" w:color="000000"/>
            </w:tcBorders>
            <w:tcMar>
              <w:top w:w="30" w:type="dxa"/>
              <w:left w:w="60" w:type="dxa"/>
              <w:bottom w:w="30" w:type="dxa"/>
              <w:right w:w="60" w:type="dxa"/>
            </w:tcMar>
          </w:tcPr>
          <w:p>
            <w:pPr>
              <w:pStyle w:val="MDPI42tablebody"/>
              <w:jc w:val="left"/>
            </w:pPr>
            <w:r>
              <w:rPr>
                <w:b/>
                <w:sz w:val="16"/>
              </w:rPr>
              <w:t>Direction</w:t>
            </w:r>
          </w:p>
        </w:tc>
        <w:tc>
          <w:tcPr>
            <w:tcW w:type="dxa" w:w="5900"/>
            <w:tcBorders>
              <w:bottom w:val="single" w:sz="4" w:space="0" w:color="000000"/>
            </w:tcBorders>
            <w:tcMar>
              <w:top w:w="30" w:type="dxa"/>
              <w:left w:w="60" w:type="dxa"/>
              <w:bottom w:w="30" w:type="dxa"/>
              <w:right w:w="60" w:type="dxa"/>
            </w:tcMar>
          </w:tcPr>
          <w:p>
            <w:pPr>
              <w:pStyle w:val="MDPI42tablebody"/>
              <w:jc w:val="left"/>
            </w:pPr>
            <w:r>
              <w:rPr>
                <w:b/>
                <w:sz w:val="16"/>
              </w:rPr>
              <w:t>Basis for coding (source finding)</w:t>
            </w:r>
          </w:p>
        </w:tc>
      </w:tr>
      <w:tr>
        <w:trPr>
          <w:cantSplit/>
        </w:trPr>
        <w:tc>
          <w:tcPr>
            <w:tcW w:type="dxa" w:w="900"/>
            <w:tcMar>
              <w:top w:w="30" w:type="dxa"/>
              <w:left w:w="60" w:type="dxa"/>
              <w:bottom w:w="30" w:type="dxa"/>
              <w:right w:w="60" w:type="dxa"/>
            </w:tcMar>
          </w:tcPr>
          <w:p>
            <w:pPr>
              <w:pStyle w:val="MDPI42tablebody"/>
              <w:jc w:val="left"/>
            </w:pPr>
            <w:r>
              <w:rPr>
                <w:sz w:val="16"/>
              </w:rPr>
              <w:t>[34,35]</w:t>
            </w:r>
          </w:p>
        </w:tc>
        <w:tc>
          <w:tcPr>
            <w:tcW w:type="dxa" w:w="2000"/>
            <w:tcMar>
              <w:top w:w="30" w:type="dxa"/>
              <w:left w:w="60" w:type="dxa"/>
              <w:bottom w:w="30" w:type="dxa"/>
              <w:right w:w="60" w:type="dxa"/>
            </w:tcMar>
          </w:tcPr>
          <w:p>
            <w:pPr>
              <w:pStyle w:val="MDPI42tablebody"/>
              <w:jc w:val="left"/>
            </w:pPr>
            <w:r>
              <w:rPr>
                <w:sz w:val="16"/>
              </w:rPr>
              <w:t>Unaided literacy skills</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Greater pre-post gains than control in word recognition, spelling, reading comprehension and phonological processing [34]; both STT groups improved word recognition and reading comprehension relative to control [35] (one overlapping series)</w:t>
            </w:r>
          </w:p>
        </w:tc>
      </w:tr>
      <w:tr>
        <w:trPr>
          <w:cantSplit/>
        </w:trPr>
        <w:tc>
          <w:tcPr>
            <w:tcW w:type="dxa" w:w="900"/>
            <w:tcMar>
              <w:top w:w="30" w:type="dxa"/>
              <w:left w:w="60" w:type="dxa"/>
              <w:bottom w:w="30" w:type="dxa"/>
              <w:right w:w="60" w:type="dxa"/>
            </w:tcMar>
          </w:tcPr>
          <w:p>
            <w:pPr>
              <w:pStyle w:val="MDPI42tablebody"/>
              <w:jc w:val="left"/>
            </w:pPr>
            <w:r>
              <w:rPr>
                <w:sz w:val="16"/>
              </w:rPr>
              <w:t>[36]</w:t>
            </w:r>
          </w:p>
        </w:tc>
        <w:tc>
          <w:tcPr>
            <w:tcW w:type="dxa" w:w="2000"/>
            <w:tcMar>
              <w:top w:w="30" w:type="dxa"/>
              <w:left w:w="60" w:type="dxa"/>
              <w:bottom w:w="30" w:type="dxa"/>
              <w:right w:w="60" w:type="dxa"/>
            </w:tcMar>
          </w:tcPr>
          <w:p>
            <w:pPr>
              <w:pStyle w:val="MDPI42tablebody"/>
              <w:jc w:val="left"/>
            </w:pPr>
            <w:r>
              <w:rPr>
                <w:sz w:val="16"/>
              </w:rPr>
              <w:t>Text quality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Among students with learning disabilities, STT essays rated higher than handwritten essays (human scribing rated highest)</w:t>
            </w:r>
          </w:p>
        </w:tc>
      </w:tr>
      <w:tr>
        <w:trPr>
          <w:cantSplit/>
        </w:trPr>
        <w:tc>
          <w:tcPr>
            <w:tcW w:type="dxa" w:w="900"/>
            <w:tcMar>
              <w:top w:w="30" w:type="dxa"/>
              <w:left w:w="60" w:type="dxa"/>
              <w:bottom w:w="30" w:type="dxa"/>
              <w:right w:w="60" w:type="dxa"/>
            </w:tcMar>
          </w:tcPr>
          <w:p>
            <w:pPr>
              <w:pStyle w:val="MDPI42tablebody"/>
              <w:jc w:val="left"/>
            </w:pPr>
            <w:r>
              <w:rPr>
                <w:sz w:val="16"/>
              </w:rPr>
              <w:t>[37]</w:t>
            </w:r>
          </w:p>
        </w:tc>
        <w:tc>
          <w:tcPr>
            <w:tcW w:type="dxa" w:w="2000"/>
            <w:tcMar>
              <w:top w:w="30" w:type="dxa"/>
              <w:left w:w="60" w:type="dxa"/>
              <w:bottom w:w="30" w:type="dxa"/>
              <w:right w:w="60" w:type="dxa"/>
            </w:tcMar>
          </w:tcPr>
          <w:p>
            <w:pPr>
              <w:pStyle w:val="MDPI42tablebody"/>
              <w:jc w:val="left"/>
            </w:pPr>
            <w:r>
              <w:rPr>
                <w:sz w:val="16"/>
              </w:rPr>
              <w:t>Text quality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Judged text quality did not differ between conditions (p = 0.95)</w:t>
            </w:r>
          </w:p>
        </w:tc>
      </w:tr>
      <w:tr>
        <w:trPr>
          <w:cantSplit/>
        </w:trPr>
        <w:tc>
          <w:tcPr>
            <w:tcW w:type="dxa" w:w="900"/>
            <w:tcMar>
              <w:top w:w="30" w:type="dxa"/>
              <w:left w:w="60" w:type="dxa"/>
              <w:bottom w:w="30" w:type="dxa"/>
              <w:right w:w="60" w:type="dxa"/>
            </w:tcMar>
          </w:tcPr>
          <w:p>
            <w:pPr>
              <w:pStyle w:val="MDPI42tablebody"/>
              <w:jc w:val="left"/>
            </w:pPr>
            <w:r>
              <w:rPr>
                <w:sz w:val="16"/>
              </w:rPr>
              <w:t>[37]</w:t>
            </w:r>
          </w:p>
        </w:tc>
        <w:tc>
          <w:tcPr>
            <w:tcW w:type="dxa" w:w="2000"/>
            <w:tcMar>
              <w:top w:w="30" w:type="dxa"/>
              <w:left w:w="60" w:type="dxa"/>
              <w:bottom w:w="30" w:type="dxa"/>
              <w:right w:w="60" w:type="dxa"/>
            </w:tcMar>
          </w:tcPr>
          <w:p>
            <w:pPr>
              <w:pStyle w:val="MDPI42tablebody"/>
              <w:jc w:val="left"/>
            </w:pPr>
            <w:r>
              <w:rPr>
                <w:sz w:val="16"/>
              </w:rPr>
              <w:t>Transcription accuracy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Fewer residual errors with STT than keyboard (F(1,52) = 14.92, p &lt; 0.001); largest reduction in learners with reading and writing difficulties</w:t>
            </w:r>
          </w:p>
        </w:tc>
      </w:tr>
      <w:tr>
        <w:trPr>
          <w:cantSplit/>
        </w:trPr>
        <w:tc>
          <w:tcPr>
            <w:tcW w:type="dxa" w:w="900"/>
            <w:tcMar>
              <w:top w:w="30" w:type="dxa"/>
              <w:left w:w="60" w:type="dxa"/>
              <w:bottom w:w="30" w:type="dxa"/>
              <w:right w:w="60" w:type="dxa"/>
            </w:tcMar>
          </w:tcPr>
          <w:p>
            <w:pPr>
              <w:pStyle w:val="MDPI42tablebody"/>
              <w:jc w:val="left"/>
            </w:pPr>
            <w:r>
              <w:rPr>
                <w:sz w:val="16"/>
              </w:rPr>
              <w:t>[38]</w:t>
            </w:r>
          </w:p>
        </w:tc>
        <w:tc>
          <w:tcPr>
            <w:tcW w:type="dxa" w:w="2000"/>
            <w:tcMar>
              <w:top w:w="30" w:type="dxa"/>
              <w:left w:w="60" w:type="dxa"/>
              <w:bottom w:w="30" w:type="dxa"/>
              <w:right w:w="60" w:type="dxa"/>
            </w:tcMar>
          </w:tcPr>
          <w:p>
            <w:pPr>
              <w:pStyle w:val="MDPI42tablebody"/>
              <w:jc w:val="left"/>
            </w:pPr>
            <w:r>
              <w:rPr>
                <w:sz w:val="16"/>
              </w:rPr>
              <w:t>Text length</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Seven of eight learners increased text productivity</w:t>
            </w:r>
          </w:p>
        </w:tc>
      </w:tr>
      <w:tr>
        <w:trPr>
          <w:cantSplit/>
        </w:trPr>
        <w:tc>
          <w:tcPr>
            <w:tcW w:type="dxa" w:w="900"/>
            <w:tcMar>
              <w:top w:w="30" w:type="dxa"/>
              <w:left w:w="60" w:type="dxa"/>
              <w:bottom w:w="30" w:type="dxa"/>
              <w:right w:w="60" w:type="dxa"/>
            </w:tcMar>
          </w:tcPr>
          <w:p>
            <w:pPr>
              <w:pStyle w:val="MDPI42tablebody"/>
              <w:jc w:val="left"/>
            </w:pPr>
            <w:r>
              <w:rPr>
                <w:sz w:val="16"/>
              </w:rPr>
              <w:t>[38]</w:t>
            </w:r>
          </w:p>
        </w:tc>
        <w:tc>
          <w:tcPr>
            <w:tcW w:type="dxa" w:w="2000"/>
            <w:tcMar>
              <w:top w:w="30" w:type="dxa"/>
              <w:left w:w="60" w:type="dxa"/>
              <w:bottom w:w="30" w:type="dxa"/>
              <w:right w:w="60" w:type="dxa"/>
            </w:tcMar>
          </w:tcPr>
          <w:p>
            <w:pPr>
              <w:pStyle w:val="MDPI42tablebody"/>
              <w:jc w:val="left"/>
            </w:pPr>
            <w:r>
              <w:rPr>
                <w:sz w:val="16"/>
              </w:rPr>
              <w:t>Text quality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Text quality at least similar to keyboarding for most learners; responses varied by learner and outcome</w:t>
            </w:r>
          </w:p>
        </w:tc>
      </w:tr>
      <w:tr>
        <w:trPr>
          <w:cantSplit/>
        </w:trPr>
        <w:tc>
          <w:tcPr>
            <w:tcW w:type="dxa" w:w="900"/>
            <w:tcMar>
              <w:top w:w="30" w:type="dxa"/>
              <w:left w:w="60" w:type="dxa"/>
              <w:bottom w:w="30" w:type="dxa"/>
              <w:right w:w="60" w:type="dxa"/>
            </w:tcMar>
          </w:tcPr>
          <w:p>
            <w:pPr>
              <w:pStyle w:val="MDPI42tablebody"/>
              <w:jc w:val="left"/>
            </w:pPr>
            <w:r>
              <w:rPr>
                <w:sz w:val="16"/>
              </w:rPr>
              <w:t>[38]</w:t>
            </w:r>
          </w:p>
        </w:tc>
        <w:tc>
          <w:tcPr>
            <w:tcW w:type="dxa" w:w="2000"/>
            <w:tcMar>
              <w:top w:w="30" w:type="dxa"/>
              <w:left w:w="60" w:type="dxa"/>
              <w:bottom w:w="30" w:type="dxa"/>
              <w:right w:w="60" w:type="dxa"/>
            </w:tcMar>
          </w:tcPr>
          <w:p>
            <w:pPr>
              <w:pStyle w:val="MDPI42tablebody"/>
              <w:jc w:val="left"/>
            </w:pPr>
            <w:r>
              <w:rPr>
                <w:sz w:val="16"/>
              </w:rPr>
              <w:t>Transcription accuracy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Word-level accuracy generally maintained or improved; varied across learners</w:t>
            </w:r>
          </w:p>
        </w:tc>
      </w:tr>
      <w:tr>
        <w:trPr>
          <w:cantSplit/>
        </w:trPr>
        <w:tc>
          <w:tcPr>
            <w:tcW w:type="dxa" w:w="900"/>
            <w:tcMar>
              <w:top w:w="30" w:type="dxa"/>
              <w:left w:w="60" w:type="dxa"/>
              <w:bottom w:w="30" w:type="dxa"/>
              <w:right w:w="60" w:type="dxa"/>
            </w:tcMar>
          </w:tcPr>
          <w:p>
            <w:pPr>
              <w:pStyle w:val="MDPI42tablebody"/>
              <w:jc w:val="left"/>
            </w:pPr>
            <w:r>
              <w:rPr>
                <w:sz w:val="16"/>
              </w:rPr>
              <w:t>[39]</w:t>
            </w:r>
          </w:p>
        </w:tc>
        <w:tc>
          <w:tcPr>
            <w:tcW w:type="dxa" w:w="2000"/>
            <w:tcMar>
              <w:top w:w="30" w:type="dxa"/>
              <w:left w:w="60" w:type="dxa"/>
              <w:bottom w:w="30" w:type="dxa"/>
              <w:right w:w="60" w:type="dxa"/>
            </w:tcMar>
          </w:tcPr>
          <w:p>
            <w:pPr>
              <w:pStyle w:val="MDPI42tablebody"/>
              <w:jc w:val="left"/>
            </w:pPr>
            <w:r>
              <w:rPr>
                <w:sz w:val="16"/>
              </w:rPr>
              <w:t>Text length</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Text-length PEM 30-100% across learners: substantial for some, limited or absent for others</w:t>
            </w:r>
          </w:p>
        </w:tc>
      </w:tr>
      <w:tr>
        <w:trPr>
          <w:cantSplit/>
        </w:trPr>
        <w:tc>
          <w:tcPr>
            <w:tcW w:type="dxa" w:w="900"/>
            <w:tcMar>
              <w:top w:w="30" w:type="dxa"/>
              <w:left w:w="60" w:type="dxa"/>
              <w:bottom w:w="30" w:type="dxa"/>
              <w:right w:w="60" w:type="dxa"/>
            </w:tcMar>
          </w:tcPr>
          <w:p>
            <w:pPr>
              <w:pStyle w:val="MDPI42tablebody"/>
              <w:jc w:val="left"/>
            </w:pPr>
            <w:r>
              <w:rPr>
                <w:sz w:val="16"/>
              </w:rPr>
              <w:t>[39]</w:t>
            </w:r>
          </w:p>
        </w:tc>
        <w:tc>
          <w:tcPr>
            <w:tcW w:type="dxa" w:w="2000"/>
            <w:tcMar>
              <w:top w:w="30" w:type="dxa"/>
              <w:left w:w="60" w:type="dxa"/>
              <w:bottom w:w="30" w:type="dxa"/>
              <w:right w:w="60" w:type="dxa"/>
            </w:tcMar>
          </w:tcPr>
          <w:p>
            <w:pPr>
              <w:pStyle w:val="MDPI42tablebody"/>
              <w:jc w:val="left"/>
            </w:pPr>
            <w:r>
              <w:rPr>
                <w:sz w:val="16"/>
              </w:rPr>
              <w:t>Text quality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Text-quality PEM 10-100% across learners</w:t>
            </w:r>
          </w:p>
        </w:tc>
      </w:tr>
      <w:tr>
        <w:trPr>
          <w:cantSplit/>
        </w:trPr>
        <w:tc>
          <w:tcPr>
            <w:tcW w:type="dxa" w:w="900"/>
            <w:tcMar>
              <w:top w:w="30" w:type="dxa"/>
              <w:left w:w="60" w:type="dxa"/>
              <w:bottom w:w="30" w:type="dxa"/>
              <w:right w:w="60" w:type="dxa"/>
            </w:tcMar>
          </w:tcPr>
          <w:p>
            <w:pPr>
              <w:pStyle w:val="MDPI42tablebody"/>
              <w:jc w:val="left"/>
            </w:pPr>
            <w:r>
              <w:rPr>
                <w:sz w:val="16"/>
              </w:rPr>
              <w:t>[40]</w:t>
            </w:r>
          </w:p>
        </w:tc>
        <w:tc>
          <w:tcPr>
            <w:tcW w:type="dxa" w:w="2000"/>
            <w:tcMar>
              <w:top w:w="30" w:type="dxa"/>
              <w:left w:w="60" w:type="dxa"/>
              <w:bottom w:w="30" w:type="dxa"/>
              <w:right w:w="60" w:type="dxa"/>
            </w:tcMar>
          </w:tcPr>
          <w:p>
            <w:pPr>
              <w:pStyle w:val="MDPI42tablebody"/>
              <w:jc w:val="left"/>
            </w:pPr>
            <w:r>
              <w:rPr>
                <w:sz w:val="16"/>
              </w:rPr>
              <w:t>Text length</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All four learners increased words and sentences (NAP 0.93-1.00)</w:t>
            </w:r>
          </w:p>
        </w:tc>
      </w:tr>
      <w:tr>
        <w:trPr>
          <w:cantSplit/>
        </w:trPr>
        <w:tc>
          <w:tcPr>
            <w:tcW w:type="dxa" w:w="900"/>
            <w:tcMar>
              <w:top w:w="30" w:type="dxa"/>
              <w:left w:w="60" w:type="dxa"/>
              <w:bottom w:w="30" w:type="dxa"/>
              <w:right w:w="60" w:type="dxa"/>
            </w:tcMar>
          </w:tcPr>
          <w:p>
            <w:pPr>
              <w:pStyle w:val="MDPI42tablebody"/>
              <w:jc w:val="left"/>
            </w:pPr>
            <w:r>
              <w:rPr>
                <w:sz w:val="16"/>
              </w:rPr>
              <w:t>[40]</w:t>
            </w:r>
          </w:p>
        </w:tc>
        <w:tc>
          <w:tcPr>
            <w:tcW w:type="dxa" w:w="2000"/>
            <w:tcMar>
              <w:top w:w="30" w:type="dxa"/>
              <w:left w:w="60" w:type="dxa"/>
              <w:bottom w:w="30" w:type="dxa"/>
              <w:right w:w="60" w:type="dxa"/>
            </w:tcMar>
          </w:tcPr>
          <w:p>
            <w:pPr>
              <w:pStyle w:val="MDPI42tablebody"/>
              <w:jc w:val="left"/>
            </w:pPr>
            <w:r>
              <w:rPr>
                <w:sz w:val="16"/>
              </w:rPr>
              <w:t>Text quality</w:t>
            </w:r>
          </w:p>
        </w:tc>
        <w:tc>
          <w:tcPr>
            <w:tcW w:type="dxa" w:w="2900"/>
            <w:tcMar>
              <w:top w:w="30" w:type="dxa"/>
              <w:left w:w="60" w:type="dxa"/>
              <w:bottom w:w="30" w:type="dxa"/>
              <w:right w:w="60" w:type="dxa"/>
            </w:tcMar>
          </w:tcPr>
          <w:p>
            <w:pPr>
              <w:pStyle w:val="MDPI42tablebody"/>
              <w:jc w:val="left"/>
            </w:pPr>
            <w:r>
              <w:rPr>
                <w:sz w:val="16"/>
              </w:rPr>
              <w:t>d170 Writing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All four learners increased content units</w:t>
            </w:r>
          </w:p>
        </w:tc>
      </w:tr>
      <w:tr>
        <w:trPr>
          <w:cantSplit/>
        </w:trPr>
        <w:tc>
          <w:tcPr>
            <w:tcW w:type="dxa" w:w="900"/>
            <w:tcMar>
              <w:top w:w="30" w:type="dxa"/>
              <w:left w:w="60" w:type="dxa"/>
              <w:bottom w:w="30" w:type="dxa"/>
              <w:right w:w="60" w:type="dxa"/>
            </w:tcMar>
          </w:tcPr>
          <w:p>
            <w:pPr>
              <w:pStyle w:val="MDPI42tablebody"/>
              <w:jc w:val="left"/>
            </w:pPr>
            <w:r>
              <w:rPr>
                <w:sz w:val="16"/>
              </w:rPr>
              <w:t>[41]</w:t>
            </w:r>
          </w:p>
        </w:tc>
        <w:tc>
          <w:tcPr>
            <w:tcW w:type="dxa" w:w="2000"/>
            <w:tcMar>
              <w:top w:w="30" w:type="dxa"/>
              <w:left w:w="60" w:type="dxa"/>
              <w:bottom w:w="30" w:type="dxa"/>
              <w:right w:w="60" w:type="dxa"/>
            </w:tcMar>
          </w:tcPr>
          <w:p>
            <w:pPr>
              <w:pStyle w:val="MDPI42tablebody"/>
              <w:jc w:val="left"/>
            </w:pPr>
            <w:r>
              <w:rPr>
                <w:sz w:val="16"/>
              </w:rPr>
              <w:t>Curricular attainment</w:t>
            </w:r>
          </w:p>
        </w:tc>
        <w:tc>
          <w:tcPr>
            <w:tcW w:type="dxa" w:w="2900"/>
            <w:tcMar>
              <w:top w:w="30" w:type="dxa"/>
              <w:left w:w="60" w:type="dxa"/>
              <w:bottom w:w="30" w:type="dxa"/>
              <w:right w:w="60" w:type="dxa"/>
            </w:tcMar>
          </w:tcPr>
          <w:p>
            <w:pPr>
              <w:pStyle w:val="MDPI42tablebody"/>
              <w:jc w:val="left"/>
            </w:pPr>
            <w:r>
              <w:rPr>
                <w:sz w:val="16"/>
              </w:rPr>
              <w:t>d820 School education</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Post-test mean 28 vs 24 on a researcher-developed achievement test</w:t>
            </w:r>
          </w:p>
        </w:tc>
      </w:tr>
      <w:tr>
        <w:trPr>
          <w:cantSplit/>
        </w:trPr>
        <w:tc>
          <w:tcPr>
            <w:tcW w:type="dxa" w:w="900"/>
            <w:tcMar>
              <w:top w:w="30" w:type="dxa"/>
              <w:left w:w="60" w:type="dxa"/>
              <w:bottom w:w="30" w:type="dxa"/>
              <w:right w:w="60" w:type="dxa"/>
            </w:tcMar>
          </w:tcPr>
          <w:p>
            <w:pPr>
              <w:pStyle w:val="MDPI42tablebody"/>
              <w:jc w:val="left"/>
            </w:pPr>
            <w:r>
              <w:rPr>
                <w:sz w:val="16"/>
              </w:rPr>
              <w:t>[42]</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Comprehension improved with TTS in grades 3-5 but not in grades 6-9</w:t>
            </w:r>
          </w:p>
        </w:tc>
      </w:tr>
      <w:tr>
        <w:trPr>
          <w:cantSplit/>
        </w:trPr>
        <w:tc>
          <w:tcPr>
            <w:tcW w:type="dxa" w:w="900"/>
            <w:tcMar>
              <w:top w:w="30" w:type="dxa"/>
              <w:left w:w="60" w:type="dxa"/>
              <w:bottom w:w="30" w:type="dxa"/>
              <w:right w:w="60" w:type="dxa"/>
            </w:tcMar>
          </w:tcPr>
          <w:p>
            <w:pPr>
              <w:pStyle w:val="MDPI42tablebody"/>
              <w:jc w:val="left"/>
            </w:pPr>
            <w:r>
              <w:rPr>
                <w:sz w:val="16"/>
              </w:rPr>
              <w:t>[42]</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Reading rate improved with TTS in both grade groups</w:t>
            </w:r>
          </w:p>
        </w:tc>
      </w:tr>
      <w:tr>
        <w:trPr>
          <w:cantSplit/>
        </w:trPr>
        <w:tc>
          <w:tcPr>
            <w:tcW w:type="dxa" w:w="900"/>
            <w:tcMar>
              <w:top w:w="30" w:type="dxa"/>
              <w:left w:w="60" w:type="dxa"/>
              <w:bottom w:w="30" w:type="dxa"/>
              <w:right w:w="60" w:type="dxa"/>
            </w:tcMar>
          </w:tcPr>
          <w:p>
            <w:pPr>
              <w:pStyle w:val="MDPI42tablebody"/>
              <w:jc w:val="left"/>
            </w:pPr>
            <w:r>
              <w:rPr>
                <w:sz w:val="16"/>
              </w:rPr>
              <w:t>[43]</w:t>
            </w:r>
          </w:p>
        </w:tc>
        <w:tc>
          <w:tcPr>
            <w:tcW w:type="dxa" w:w="2000"/>
            <w:tcMar>
              <w:top w:w="30" w:type="dxa"/>
              <w:left w:w="60" w:type="dxa"/>
              <w:bottom w:w="30" w:type="dxa"/>
              <w:right w:w="60" w:type="dxa"/>
            </w:tcMar>
          </w:tcPr>
          <w:p>
            <w:pPr>
              <w:pStyle w:val="MDPI42tablebody"/>
              <w:jc w:val="left"/>
            </w:pPr>
            <w:r>
              <w:rPr>
                <w:sz w:val="16"/>
              </w:rPr>
              <w:t>Unaided literacy skills</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No between-group difference in standardised reading, reading comprehension or listening comprehension measures after the intervention or at 1-year follow-up</w:t>
            </w:r>
          </w:p>
        </w:tc>
      </w:tr>
      <w:tr>
        <w:trPr>
          <w:cantSplit/>
        </w:trPr>
        <w:tc>
          <w:tcPr>
            <w:tcW w:type="dxa" w:w="900"/>
            <w:tcMar>
              <w:top w:w="30" w:type="dxa"/>
              <w:left w:w="60" w:type="dxa"/>
              <w:bottom w:w="30" w:type="dxa"/>
              <w:right w:w="60" w:type="dxa"/>
            </w:tcMar>
          </w:tcPr>
          <w:p>
            <w:pPr>
              <w:pStyle w:val="MDPI42tablebody"/>
              <w:jc w:val="left"/>
            </w:pPr>
            <w:r>
              <w:rPr>
                <w:sz w:val="16"/>
              </w:rPr>
              <w:t>[44]</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Both TTS conditions produced higher comprehension than silent reading</w:t>
            </w:r>
          </w:p>
        </w:tc>
      </w:tr>
      <w:tr>
        <w:trPr>
          <w:cantSplit/>
        </w:trPr>
        <w:tc>
          <w:tcPr>
            <w:tcW w:type="dxa" w:w="900"/>
            <w:tcMar>
              <w:top w:w="30" w:type="dxa"/>
              <w:left w:w="60" w:type="dxa"/>
              <w:bottom w:w="30" w:type="dxa"/>
              <w:right w:w="60" w:type="dxa"/>
            </w:tcMar>
          </w:tcPr>
          <w:p>
            <w:pPr>
              <w:pStyle w:val="MDPI42tablebody"/>
              <w:jc w:val="left"/>
            </w:pPr>
            <w:r>
              <w:rPr>
                <w:sz w:val="16"/>
              </w:rPr>
              <w:t>[45]</w:t>
            </w:r>
          </w:p>
        </w:tc>
        <w:tc>
          <w:tcPr>
            <w:tcW w:type="dxa" w:w="2000"/>
            <w:tcMar>
              <w:top w:w="30" w:type="dxa"/>
              <w:left w:w="60" w:type="dxa"/>
              <w:bottom w:w="30" w:type="dxa"/>
              <w:right w:w="60" w:type="dxa"/>
            </w:tcMar>
          </w:tcPr>
          <w:p>
            <w:pPr>
              <w:pStyle w:val="MDPI42tablebody"/>
              <w:jc w:val="left"/>
            </w:pPr>
            <w:r>
              <w:rPr>
                <w:sz w:val="16"/>
              </w:rPr>
              <w:t>Curricular attainment</w:t>
            </w:r>
          </w:p>
        </w:tc>
        <w:tc>
          <w:tcPr>
            <w:tcW w:type="dxa" w:w="2900"/>
            <w:tcMar>
              <w:top w:w="30" w:type="dxa"/>
              <w:left w:w="60" w:type="dxa"/>
              <w:bottom w:w="30" w:type="dxa"/>
              <w:right w:w="60" w:type="dxa"/>
            </w:tcMar>
          </w:tcPr>
          <w:p>
            <w:pPr>
              <w:pStyle w:val="MDPI42tablebody"/>
              <w:jc w:val="left"/>
            </w:pPr>
            <w:r>
              <w:rPr>
                <w:sz w:val="16"/>
              </w:rPr>
              <w:t>d820 School education</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Adjusted post-test group effect favoured TTS-assisted instruction (F(1,17) = 42.23, p &lt; 0.001)</w:t>
            </w:r>
          </w:p>
        </w:tc>
      </w:tr>
      <w:tr>
        <w:trPr>
          <w:cantSplit/>
        </w:trPr>
        <w:tc>
          <w:tcPr>
            <w:tcW w:type="dxa" w:w="900"/>
            <w:tcMar>
              <w:top w:w="30" w:type="dxa"/>
              <w:left w:w="60" w:type="dxa"/>
              <w:bottom w:w="30" w:type="dxa"/>
              <w:right w:w="60" w:type="dxa"/>
            </w:tcMar>
          </w:tcPr>
          <w:p>
            <w:pPr>
              <w:pStyle w:val="MDPI42tablebody"/>
              <w:jc w:val="left"/>
            </w:pPr>
            <w:r>
              <w:rPr>
                <w:sz w:val="16"/>
              </w:rPr>
              <w:t>[46]</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Comprehension improved with TTS in the ADHD group but was unchanged in the dyslexia group</w:t>
            </w:r>
          </w:p>
        </w:tc>
      </w:tr>
      <w:tr>
        <w:trPr>
          <w:cantSplit/>
        </w:trPr>
        <w:tc>
          <w:tcPr>
            <w:tcW w:type="dxa" w:w="900"/>
            <w:tcMar>
              <w:top w:w="30" w:type="dxa"/>
              <w:left w:w="60" w:type="dxa"/>
              <w:bottom w:w="30" w:type="dxa"/>
              <w:right w:w="60" w:type="dxa"/>
            </w:tcMar>
          </w:tcPr>
          <w:p>
            <w:pPr>
              <w:pStyle w:val="MDPI42tablebody"/>
              <w:jc w:val="left"/>
            </w:pPr>
            <w:r>
              <w:rPr>
                <w:sz w:val="16"/>
              </w:rPr>
              <w:t>[46]</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Dyslexia group maintained comprehension with lower reading time and effort under TTS</w:t>
            </w:r>
          </w:p>
        </w:tc>
      </w:tr>
      <w:tr>
        <w:trPr>
          <w:cantSplit/>
        </w:trPr>
        <w:tc>
          <w:tcPr>
            <w:tcW w:type="dxa" w:w="900"/>
            <w:tcMar>
              <w:top w:w="30" w:type="dxa"/>
              <w:left w:w="60" w:type="dxa"/>
              <w:bottom w:w="30" w:type="dxa"/>
              <w:right w:w="60" w:type="dxa"/>
            </w:tcMar>
          </w:tcPr>
          <w:p>
            <w:pPr>
              <w:pStyle w:val="MDPI42tablebody"/>
              <w:jc w:val="left"/>
            </w:pPr>
            <w:r>
              <w:rPr>
                <w:sz w:val="16"/>
              </w:rPr>
              <w:t>[47]</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Higher comprehension in the TTS condition in students with dyslexia</w:t>
            </w:r>
          </w:p>
        </w:tc>
      </w:tr>
      <w:tr>
        <w:trPr>
          <w:cantSplit/>
        </w:trPr>
        <w:tc>
          <w:tcPr>
            <w:tcW w:type="dxa" w:w="900"/>
            <w:tcMar>
              <w:top w:w="30" w:type="dxa"/>
              <w:left w:w="60" w:type="dxa"/>
              <w:bottom w:w="30" w:type="dxa"/>
              <w:right w:w="60" w:type="dxa"/>
            </w:tcMar>
          </w:tcPr>
          <w:p>
            <w:pPr>
              <w:pStyle w:val="MDPI42tablebody"/>
              <w:jc w:val="left"/>
            </w:pPr>
            <w:r>
              <w:rPr>
                <w:sz w:val="16"/>
              </w:rPr>
              <w:t>[47]</w:t>
            </w:r>
          </w:p>
        </w:tc>
        <w:tc>
          <w:tcPr>
            <w:tcW w:type="dxa" w:w="2000"/>
            <w:tcMar>
              <w:top w:w="30" w:type="dxa"/>
              <w:left w:w="60" w:type="dxa"/>
              <w:bottom w:w="30" w:type="dxa"/>
              <w:right w:w="60" w:type="dxa"/>
            </w:tcMar>
          </w:tcPr>
          <w:p>
            <w:pPr>
              <w:pStyle w:val="MDPI42tablebody"/>
              <w:jc w:val="left"/>
            </w:pPr>
            <w:r>
              <w:rPr>
                <w:sz w:val="16"/>
              </w:rPr>
              <w:t>Engagement and independence</w:t>
            </w:r>
          </w:p>
        </w:tc>
        <w:tc>
          <w:tcPr>
            <w:tcW w:type="dxa" w:w="2900"/>
            <w:tcMar>
              <w:top w:w="30" w:type="dxa"/>
              <w:left w:w="60" w:type="dxa"/>
              <w:bottom w:w="30" w:type="dxa"/>
              <w:right w:w="60" w:type="dxa"/>
            </w:tcMar>
          </w:tcPr>
          <w:p>
            <w:pPr>
              <w:pStyle w:val="MDPI42tablebody"/>
              <w:jc w:val="left"/>
            </w:pPr>
            <w:r>
              <w:rPr>
                <w:sz w:val="16"/>
              </w:rPr>
              <w:t>d160 Focusing attention; d210 Undertaking a single task</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Fewer mind-wandering episodes and more on-task time with TTS in students with dyslexia</w:t>
            </w:r>
          </w:p>
        </w:tc>
      </w:tr>
      <w:tr>
        <w:trPr>
          <w:cantSplit/>
        </w:trPr>
        <w:tc>
          <w:tcPr>
            <w:tcW w:type="dxa" w:w="900"/>
            <w:tcMar>
              <w:top w:w="30" w:type="dxa"/>
              <w:left w:w="60" w:type="dxa"/>
              <w:bottom w:w="30" w:type="dxa"/>
              <w:right w:w="60" w:type="dxa"/>
            </w:tcMar>
          </w:tcPr>
          <w:p>
            <w:pPr>
              <w:pStyle w:val="MDPI42tablebody"/>
              <w:jc w:val="left"/>
            </w:pPr>
            <w:r>
              <w:rPr>
                <w:sz w:val="16"/>
              </w:rPr>
              <w:t>[48]</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Statistically significant gain only in the dyslexic reading profile; other profiles showed no significant gain</w:t>
            </w:r>
          </w:p>
        </w:tc>
      </w:tr>
      <w:tr>
        <w:trPr>
          <w:cantSplit/>
        </w:trPr>
        <w:tc>
          <w:tcPr>
            <w:tcW w:type="dxa" w:w="900"/>
            <w:tcMar>
              <w:top w:w="30" w:type="dxa"/>
              <w:left w:w="60" w:type="dxa"/>
              <w:bottom w:w="30" w:type="dxa"/>
              <w:right w:w="60" w:type="dxa"/>
            </w:tcMar>
          </w:tcPr>
          <w:p>
            <w:pPr>
              <w:pStyle w:val="MDPI42tablebody"/>
              <w:jc w:val="left"/>
            </w:pPr>
            <w:r>
              <w:rPr>
                <w:sz w:val="16"/>
              </w:rPr>
              <w:t>[49]</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All four students scored higher in TTS phases; gains maintained at 4 weeks</w:t>
            </w:r>
          </w:p>
        </w:tc>
      </w:tr>
      <w:tr>
        <w:trPr>
          <w:cantSplit/>
        </w:trPr>
        <w:tc>
          <w:tcPr>
            <w:tcW w:type="dxa" w:w="900"/>
            <w:tcMar>
              <w:top w:w="30" w:type="dxa"/>
              <w:left w:w="60" w:type="dxa"/>
              <w:bottom w:w="30" w:type="dxa"/>
              <w:right w:w="60" w:type="dxa"/>
            </w:tcMar>
          </w:tcPr>
          <w:p>
            <w:pPr>
              <w:pStyle w:val="MDPI42tablebody"/>
              <w:jc w:val="left"/>
            </w:pPr>
            <w:r>
              <w:rPr>
                <w:sz w:val="16"/>
              </w:rPr>
              <w:t>[49]</w:t>
            </w:r>
          </w:p>
        </w:tc>
        <w:tc>
          <w:tcPr>
            <w:tcW w:type="dxa" w:w="2000"/>
            <w:tcMar>
              <w:top w:w="30" w:type="dxa"/>
              <w:left w:w="60" w:type="dxa"/>
              <w:bottom w:w="30" w:type="dxa"/>
              <w:right w:w="60" w:type="dxa"/>
            </w:tcMar>
          </w:tcPr>
          <w:p>
            <w:pPr>
              <w:pStyle w:val="MDPI42tablebody"/>
              <w:jc w:val="left"/>
            </w:pPr>
            <w:r>
              <w:rPr>
                <w:sz w:val="16"/>
              </w:rPr>
              <w:t>Unaided literacy skills</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Oral reading fluency rose by the end of accommodation phases; Lexile scores increased in two of four students</w:t>
            </w:r>
          </w:p>
        </w:tc>
      </w:tr>
      <w:tr>
        <w:trPr>
          <w:cantSplit/>
        </w:trPr>
        <w:tc>
          <w:tcPr>
            <w:tcW w:type="dxa" w:w="900"/>
            <w:tcMar>
              <w:top w:w="30" w:type="dxa"/>
              <w:left w:w="60" w:type="dxa"/>
              <w:bottom w:w="30" w:type="dxa"/>
              <w:right w:w="60" w:type="dxa"/>
            </w:tcMar>
          </w:tcPr>
          <w:p>
            <w:pPr>
              <w:pStyle w:val="MDPI42tablebody"/>
              <w:jc w:val="left"/>
            </w:pPr>
            <w:r>
              <w:rPr>
                <w:sz w:val="16"/>
              </w:rPr>
              <w:t>[50]</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Both students scored higher in TTS phases (B-phase means 73-80% vs A-phase means 23-43%)</w:t>
            </w:r>
          </w:p>
        </w:tc>
      </w:tr>
      <w:tr>
        <w:trPr>
          <w:cantSplit/>
        </w:trPr>
        <w:tc>
          <w:tcPr>
            <w:tcW w:type="dxa" w:w="900"/>
            <w:tcMar>
              <w:top w:w="30" w:type="dxa"/>
              <w:left w:w="60" w:type="dxa"/>
              <w:bottom w:w="30" w:type="dxa"/>
              <w:right w:w="60" w:type="dxa"/>
            </w:tcMar>
          </w:tcPr>
          <w:p>
            <w:pPr>
              <w:pStyle w:val="MDPI42tablebody"/>
              <w:jc w:val="left"/>
            </w:pPr>
            <w:r>
              <w:rPr>
                <w:sz w:val="16"/>
              </w:rPr>
              <w:t>[51]</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Continuous TTS produced the highest comprehension accuracy for three of four students</w:t>
            </w:r>
          </w:p>
        </w:tc>
      </w:tr>
      <w:tr>
        <w:trPr>
          <w:cantSplit/>
        </w:trPr>
        <w:tc>
          <w:tcPr>
            <w:tcW w:type="dxa" w:w="900"/>
            <w:tcMar>
              <w:top w:w="30" w:type="dxa"/>
              <w:left w:w="60" w:type="dxa"/>
              <w:bottom w:w="30" w:type="dxa"/>
              <w:right w:w="60" w:type="dxa"/>
            </w:tcMar>
          </w:tcPr>
          <w:p>
            <w:pPr>
              <w:pStyle w:val="MDPI42tablebody"/>
              <w:jc w:val="left"/>
            </w:pPr>
            <w:r>
              <w:rPr>
                <w:sz w:val="16"/>
              </w:rPr>
              <w:t>[51]</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Continuous TTS produced the highest comprehension rate for three of four students</w:t>
            </w:r>
          </w:p>
        </w:tc>
      </w:tr>
      <w:tr>
        <w:trPr>
          <w:cantSplit/>
        </w:trPr>
        <w:tc>
          <w:tcPr>
            <w:tcW w:type="dxa" w:w="900"/>
            <w:tcMar>
              <w:top w:w="30" w:type="dxa"/>
              <w:left w:w="60" w:type="dxa"/>
              <w:bottom w:w="30" w:type="dxa"/>
              <w:right w:w="60" w:type="dxa"/>
            </w:tcMar>
          </w:tcPr>
          <w:p>
            <w:pPr>
              <w:pStyle w:val="MDPI42tablebody"/>
              <w:jc w:val="left"/>
            </w:pPr>
            <w:r>
              <w:rPr>
                <w:sz w:val="16"/>
              </w:rPr>
              <w:t>[52]</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Comparator was repeated reading; two of three students improved, one showed a small advantage for repeated reading</w:t>
            </w:r>
          </w:p>
        </w:tc>
      </w:tr>
      <w:tr>
        <w:trPr>
          <w:cantSplit/>
        </w:trPr>
        <w:tc>
          <w:tcPr>
            <w:tcW w:type="dxa" w:w="900"/>
            <w:tcMar>
              <w:top w:w="30" w:type="dxa"/>
              <w:left w:w="60" w:type="dxa"/>
              <w:bottom w:w="30" w:type="dxa"/>
              <w:right w:w="60" w:type="dxa"/>
            </w:tcMar>
          </w:tcPr>
          <w:p>
            <w:pPr>
              <w:pStyle w:val="MDPI42tablebody"/>
              <w:jc w:val="left"/>
            </w:pPr>
            <w:r>
              <w:rPr>
                <w:sz w:val="16"/>
              </w:rPr>
              <w:t>[52]</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Mean session duration 5.45 min with iPad TTS vs 12.73 min with repeated reading</w:t>
            </w:r>
          </w:p>
        </w:tc>
      </w:tr>
      <w:tr>
        <w:trPr>
          <w:cantSplit/>
        </w:trPr>
        <w:tc>
          <w:tcPr>
            <w:tcW w:type="dxa" w:w="900"/>
            <w:tcMar>
              <w:top w:w="30" w:type="dxa"/>
              <w:left w:w="60" w:type="dxa"/>
              <w:bottom w:w="30" w:type="dxa"/>
              <w:right w:w="60" w:type="dxa"/>
            </w:tcMar>
          </w:tcPr>
          <w:p>
            <w:pPr>
              <w:pStyle w:val="MDPI42tablebody"/>
              <w:jc w:val="left"/>
            </w:pPr>
            <w:r>
              <w:rPr>
                <w:sz w:val="16"/>
              </w:rPr>
              <w:t>[53]</w:t>
            </w:r>
          </w:p>
        </w:tc>
        <w:tc>
          <w:tcPr>
            <w:tcW w:type="dxa" w:w="2000"/>
            <w:tcMar>
              <w:top w:w="30" w:type="dxa"/>
              <w:left w:w="60" w:type="dxa"/>
              <w:bottom w:w="30" w:type="dxa"/>
              <w:right w:w="60" w:type="dxa"/>
            </w:tcMar>
          </w:tcPr>
          <w:p>
            <w:pPr>
              <w:pStyle w:val="MDPI42tablebody"/>
              <w:jc w:val="left"/>
            </w:pPr>
            <w:r>
              <w:rPr>
                <w:sz w:val="16"/>
              </w:rPr>
              <w:t>Unaided literacy skills</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Higher reading/spelling and pronunciation-related performance described during the TTS phase (scale incompletely reported)</w:t>
            </w:r>
          </w:p>
        </w:tc>
      </w:tr>
      <w:tr>
        <w:trPr>
          <w:cantSplit/>
        </w:trPr>
        <w:tc>
          <w:tcPr>
            <w:tcW w:type="dxa" w:w="900"/>
            <w:tcMar>
              <w:top w:w="30" w:type="dxa"/>
              <w:left w:w="60" w:type="dxa"/>
              <w:bottom w:w="30" w:type="dxa"/>
              <w:right w:w="60" w:type="dxa"/>
            </w:tcMar>
          </w:tcPr>
          <w:p>
            <w:pPr>
              <w:pStyle w:val="MDPI42tablebody"/>
              <w:jc w:val="left"/>
            </w:pPr>
            <w:r>
              <w:rPr>
                <w:sz w:val="16"/>
              </w:rPr>
              <w:t>[54]</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All eight learners comprehended more when listening with TTS than when reading independently</w:t>
            </w:r>
          </w:p>
        </w:tc>
      </w:tr>
      <w:tr>
        <w:trPr>
          <w:cantSplit/>
        </w:trPr>
        <w:tc>
          <w:tcPr>
            <w:tcW w:type="dxa" w:w="900"/>
            <w:tcMar>
              <w:top w:w="30" w:type="dxa"/>
              <w:left w:w="60" w:type="dxa"/>
              <w:bottom w:w="30" w:type="dxa"/>
              <w:right w:w="60" w:type="dxa"/>
            </w:tcMar>
          </w:tcPr>
          <w:p>
            <w:pPr>
              <w:pStyle w:val="MDPI42tablebody"/>
              <w:jc w:val="left"/>
            </w:pPr>
            <w:r>
              <w:rPr>
                <w:sz w:val="16"/>
              </w:rPr>
              <w:t>[54]</w:t>
            </w:r>
          </w:p>
        </w:tc>
        <w:tc>
          <w:tcPr>
            <w:tcW w:type="dxa" w:w="2000"/>
            <w:tcMar>
              <w:top w:w="30" w:type="dxa"/>
              <w:left w:w="60" w:type="dxa"/>
              <w:bottom w:w="30" w:type="dxa"/>
              <w:right w:w="60" w:type="dxa"/>
            </w:tcMar>
          </w:tcPr>
          <w:p>
            <w:pPr>
              <w:pStyle w:val="MDPI42tablebody"/>
              <w:jc w:val="left"/>
            </w:pPr>
            <w:r>
              <w:rPr>
                <w:sz w:val="16"/>
              </w:rPr>
              <w:t>Unaided literacy skills</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Clear decoding improvement in one of eight learners</w:t>
            </w:r>
          </w:p>
        </w:tc>
      </w:tr>
      <w:tr>
        <w:trPr>
          <w:cantSplit/>
        </w:trPr>
        <w:tc>
          <w:tcPr>
            <w:tcW w:type="dxa" w:w="900"/>
            <w:tcMar>
              <w:top w:w="30" w:type="dxa"/>
              <w:left w:w="60" w:type="dxa"/>
              <w:bottom w:w="30" w:type="dxa"/>
              <w:right w:w="60" w:type="dxa"/>
            </w:tcMar>
          </w:tcPr>
          <w:p>
            <w:pPr>
              <w:pStyle w:val="MDPI42tablebody"/>
              <w:jc w:val="left"/>
            </w:pPr>
            <w:r>
              <w:rPr>
                <w:sz w:val="16"/>
              </w:rPr>
              <w:t>[55]</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Abstract reports improved comprehension for both participants (full text unavailable)</w:t>
            </w:r>
          </w:p>
        </w:tc>
      </w:tr>
      <w:tr>
        <w:trPr>
          <w:cantSplit/>
        </w:trPr>
        <w:tc>
          <w:tcPr>
            <w:tcW w:type="dxa" w:w="900"/>
            <w:tcMar>
              <w:top w:w="30" w:type="dxa"/>
              <w:left w:w="60" w:type="dxa"/>
              <w:bottom w:w="30" w:type="dxa"/>
              <w:right w:w="60" w:type="dxa"/>
            </w:tcMar>
          </w:tcPr>
          <w:p>
            <w:pPr>
              <w:pStyle w:val="MDPI42tablebody"/>
              <w:jc w:val="left"/>
            </w:pPr>
            <w:r>
              <w:rPr>
                <w:sz w:val="16"/>
              </w:rPr>
              <w:t>[55]</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Abstract reports increased reading rate for both participants (full text unavailable)</w:t>
            </w:r>
          </w:p>
        </w:tc>
      </w:tr>
      <w:tr>
        <w:trPr>
          <w:cantSplit/>
        </w:trPr>
        <w:tc>
          <w:tcPr>
            <w:tcW w:type="dxa" w:w="900"/>
            <w:tcMar>
              <w:top w:w="30" w:type="dxa"/>
              <w:left w:w="60" w:type="dxa"/>
              <w:bottom w:w="30" w:type="dxa"/>
              <w:right w:w="60" w:type="dxa"/>
            </w:tcMar>
          </w:tcPr>
          <w:p>
            <w:pPr>
              <w:pStyle w:val="MDPI42tablebody"/>
              <w:jc w:val="left"/>
            </w:pPr>
            <w:r>
              <w:rPr>
                <w:sz w:val="16"/>
              </w:rPr>
              <w:t>[56]</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No detectable difference in comprehension with TTS</w:t>
            </w:r>
          </w:p>
        </w:tc>
      </w:tr>
      <w:tr>
        <w:trPr>
          <w:cantSplit/>
        </w:trPr>
        <w:tc>
          <w:tcPr>
            <w:tcW w:type="dxa" w:w="900"/>
            <w:tcMar>
              <w:top w:w="30" w:type="dxa"/>
              <w:left w:w="60" w:type="dxa"/>
              <w:bottom w:w="30" w:type="dxa"/>
              <w:right w:w="60" w:type="dxa"/>
            </w:tcMar>
          </w:tcPr>
          <w:p>
            <w:pPr>
              <w:pStyle w:val="MDPI42tablebody"/>
              <w:jc w:val="left"/>
            </w:pPr>
            <w:r>
              <w:rPr>
                <w:sz w:val="16"/>
              </w:rPr>
              <w:t>[56]</w:t>
            </w:r>
          </w:p>
        </w:tc>
        <w:tc>
          <w:tcPr>
            <w:tcW w:type="dxa" w:w="2000"/>
            <w:tcMar>
              <w:top w:w="30" w:type="dxa"/>
              <w:left w:w="60" w:type="dxa"/>
              <w:bottom w:w="30" w:type="dxa"/>
              <w:right w:w="60" w:type="dxa"/>
            </w:tcMar>
          </w:tcPr>
          <w:p>
            <w:pPr>
              <w:pStyle w:val="MDPI42tablebody"/>
              <w:jc w:val="left"/>
            </w:pPr>
            <w:r>
              <w:rPr>
                <w:sz w:val="16"/>
              </w:rPr>
              <w:t>Reading efficiency</w:t>
            </w:r>
          </w:p>
        </w:tc>
        <w:tc>
          <w:tcPr>
            <w:tcW w:type="dxa" w:w="2900"/>
            <w:tcMar>
              <w:top w:w="30" w:type="dxa"/>
              <w:left w:w="60" w:type="dxa"/>
              <w:bottom w:w="30" w:type="dxa"/>
              <w:right w:w="60" w:type="dxa"/>
            </w:tcMar>
          </w:tcPr>
          <w:p>
            <w:pPr>
              <w:pStyle w:val="MDPI42tablebody"/>
              <w:jc w:val="left"/>
            </w:pPr>
            <w:r>
              <w:rPr>
                <w:sz w:val="16"/>
              </w:rPr>
              <w:t>d166 Reading</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No detectable difference in fluency or task-completion time with TTS</w:t>
            </w:r>
          </w:p>
        </w:tc>
      </w:tr>
      <w:tr>
        <w:trPr>
          <w:cantSplit/>
        </w:trPr>
        <w:tc>
          <w:tcPr>
            <w:tcW w:type="dxa" w:w="900"/>
            <w:tcMar>
              <w:top w:w="30" w:type="dxa"/>
              <w:left w:w="60" w:type="dxa"/>
              <w:bottom w:w="30" w:type="dxa"/>
              <w:right w:w="60" w:type="dxa"/>
            </w:tcMar>
          </w:tcPr>
          <w:p>
            <w:pPr>
              <w:pStyle w:val="MDPI42tablebody"/>
              <w:jc w:val="left"/>
            </w:pPr>
            <w:r>
              <w:rPr>
                <w:sz w:val="16"/>
              </w:rPr>
              <w:t>[57]</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Abstract reports that neither TTS nor live read-aloud was superior (full text unavailable)</w:t>
            </w:r>
          </w:p>
        </w:tc>
      </w:tr>
      <w:tr>
        <w:trPr>
          <w:cantSplit/>
        </w:trPr>
        <w:tc>
          <w:tcPr>
            <w:tcW w:type="dxa" w:w="900"/>
            <w:tcMar>
              <w:top w:w="30" w:type="dxa"/>
              <w:left w:w="60" w:type="dxa"/>
              <w:bottom w:w="30" w:type="dxa"/>
              <w:right w:w="60" w:type="dxa"/>
            </w:tcMar>
          </w:tcPr>
          <w:p>
            <w:pPr>
              <w:pStyle w:val="MDPI42tablebody"/>
              <w:jc w:val="left"/>
            </w:pPr>
            <w:r>
              <w:rPr>
                <w:sz w:val="16"/>
              </w:rPr>
              <w:t>[58]</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favours comparator</w:t>
            </w:r>
          </w:p>
        </w:tc>
        <w:tc>
          <w:tcPr>
            <w:tcW w:type="dxa" w:w="5900"/>
            <w:tcMar>
              <w:top w:w="30" w:type="dxa"/>
              <w:left w:w="60" w:type="dxa"/>
              <w:bottom w:w="30" w:type="dxa"/>
              <w:right w:w="60" w:type="dxa"/>
            </w:tcMar>
          </w:tcPr>
          <w:p>
            <w:pPr>
              <w:pStyle w:val="MDPI42tablebody"/>
              <w:jc w:val="left"/>
            </w:pPr>
            <w:r>
              <w:rPr>
                <w:sz w:val="16"/>
              </w:rPr>
              <w:t>Listening comprehension higher with a human reader than with TTS for all four students</w:t>
            </w:r>
          </w:p>
        </w:tc>
      </w:tr>
      <w:tr>
        <w:trPr>
          <w:cantSplit/>
        </w:trPr>
        <w:tc>
          <w:tcPr>
            <w:tcW w:type="dxa" w:w="900"/>
            <w:tcMar>
              <w:top w:w="30" w:type="dxa"/>
              <w:left w:w="60" w:type="dxa"/>
              <w:bottom w:w="30" w:type="dxa"/>
              <w:right w:w="60" w:type="dxa"/>
            </w:tcMar>
          </w:tcPr>
          <w:p>
            <w:pPr>
              <w:pStyle w:val="MDPI42tablebody"/>
              <w:jc w:val="left"/>
            </w:pPr>
            <w:r>
              <w:rPr>
                <w:sz w:val="16"/>
              </w:rPr>
              <w:t>[59]</w:t>
            </w:r>
          </w:p>
        </w:tc>
        <w:tc>
          <w:tcPr>
            <w:tcW w:type="dxa" w:w="2000"/>
            <w:tcMar>
              <w:top w:w="30" w:type="dxa"/>
              <w:left w:w="60" w:type="dxa"/>
              <w:bottom w:w="30" w:type="dxa"/>
              <w:right w:w="60" w:type="dxa"/>
            </w:tcMar>
          </w:tcPr>
          <w:p>
            <w:pPr>
              <w:pStyle w:val="MDPI42tablebody"/>
              <w:jc w:val="left"/>
            </w:pPr>
            <w:r>
              <w:rPr>
                <w:sz w:val="16"/>
              </w:rPr>
              <w:t>Comprehension</w:t>
            </w:r>
          </w:p>
        </w:tc>
        <w:tc>
          <w:tcPr>
            <w:tcW w:type="dxa" w:w="2900"/>
            <w:tcMar>
              <w:top w:w="30" w:type="dxa"/>
              <w:left w:w="60" w:type="dxa"/>
              <w:bottom w:w="30" w:type="dxa"/>
              <w:right w:w="60" w:type="dxa"/>
            </w:tcMar>
          </w:tcPr>
          <w:p>
            <w:pPr>
              <w:pStyle w:val="MDPI42tablebody"/>
              <w:jc w:val="left"/>
            </w:pPr>
            <w:r>
              <w:rPr>
                <w:sz w:val="16"/>
              </w:rPr>
              <w:t>d166 Reading; d310 Receiving spoken messages</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PEM 8-75% across learners for comprehension; heterogeneous responses</w:t>
            </w:r>
          </w:p>
        </w:tc>
      </w:tr>
      <w:tr>
        <w:trPr>
          <w:cantSplit/>
        </w:trPr>
        <w:tc>
          <w:tcPr>
            <w:tcW w:type="dxa" w:w="900"/>
            <w:tcMar>
              <w:top w:w="30" w:type="dxa"/>
              <w:left w:w="60" w:type="dxa"/>
              <w:bottom w:w="30" w:type="dxa"/>
              <w:right w:w="60" w:type="dxa"/>
            </w:tcMar>
          </w:tcPr>
          <w:p>
            <w:pPr>
              <w:pStyle w:val="MDPI42tablebody"/>
              <w:jc w:val="left"/>
            </w:pPr>
            <w:r>
              <w:rPr>
                <w:sz w:val="16"/>
              </w:rPr>
              <w:t>[59]</w:t>
            </w:r>
          </w:p>
        </w:tc>
        <w:tc>
          <w:tcPr>
            <w:tcW w:type="dxa" w:w="2000"/>
            <w:tcMar>
              <w:top w:w="30" w:type="dxa"/>
              <w:left w:w="60" w:type="dxa"/>
              <w:bottom w:w="30" w:type="dxa"/>
              <w:right w:w="60" w:type="dxa"/>
            </w:tcMar>
          </w:tcPr>
          <w:p>
            <w:pPr>
              <w:pStyle w:val="MDPI42tablebody"/>
              <w:jc w:val="left"/>
            </w:pPr>
            <w:r>
              <w:rPr>
                <w:sz w:val="16"/>
              </w:rPr>
              <w:t>Engagement and independence</w:t>
            </w:r>
          </w:p>
        </w:tc>
        <w:tc>
          <w:tcPr>
            <w:tcW w:type="dxa" w:w="2900"/>
            <w:tcMar>
              <w:top w:w="30" w:type="dxa"/>
              <w:left w:w="60" w:type="dxa"/>
              <w:bottom w:w="30" w:type="dxa"/>
              <w:right w:w="60" w:type="dxa"/>
            </w:tcMar>
          </w:tcPr>
          <w:p>
            <w:pPr>
              <w:pStyle w:val="MDPI42tablebody"/>
              <w:jc w:val="left"/>
            </w:pPr>
            <w:r>
              <w:rPr>
                <w:sz w:val="16"/>
              </w:rPr>
              <w:t>d160 Focusing attention; d210 Undertaking a single task</w:t>
            </w:r>
          </w:p>
        </w:tc>
        <w:tc>
          <w:tcPr>
            <w:tcW w:type="dxa" w:w="1300"/>
            <w:tcMar>
              <w:top w:w="30" w:type="dxa"/>
              <w:left w:w="60" w:type="dxa"/>
              <w:bottom w:w="30" w:type="dxa"/>
              <w:right w:w="60" w:type="dxa"/>
            </w:tcMar>
          </w:tcPr>
          <w:p>
            <w:pPr>
              <w:pStyle w:val="MDPI42tablebody"/>
              <w:jc w:val="left"/>
            </w:pPr>
            <w:r>
              <w:rPr>
                <w:sz w:val="16"/>
              </w:rPr>
              <w:t>Access</w:t>
            </w:r>
          </w:p>
        </w:tc>
        <w:tc>
          <w:tcPr>
            <w:tcW w:type="dxa" w:w="2300"/>
            <w:tcMar>
              <w:top w:w="30" w:type="dxa"/>
              <w:left w:w="60" w:type="dxa"/>
              <w:bottom w:w="30" w:type="dxa"/>
              <w:right w:w="60" w:type="dxa"/>
            </w:tcMar>
          </w:tcPr>
          <w:p>
            <w:pPr>
              <w:pStyle w:val="MDPI42tablebody"/>
              <w:jc w:val="left"/>
            </w:pPr>
            <w:r>
              <w:rPr>
                <w:sz w:val="16"/>
              </w:rPr>
              <w:t>◄► no clear difference / mixed</w:t>
            </w:r>
          </w:p>
        </w:tc>
        <w:tc>
          <w:tcPr>
            <w:tcW w:type="dxa" w:w="5900"/>
            <w:tcMar>
              <w:top w:w="30" w:type="dxa"/>
              <w:left w:w="60" w:type="dxa"/>
              <w:bottom w:w="30" w:type="dxa"/>
              <w:right w:w="60" w:type="dxa"/>
            </w:tcMar>
          </w:tcPr>
          <w:p>
            <w:pPr>
              <w:pStyle w:val="MDPI42tablebody"/>
              <w:jc w:val="left"/>
            </w:pPr>
            <w:r>
              <w:rPr>
                <w:sz w:val="16"/>
              </w:rPr>
              <w:t>PEM 8-75% across learners for independence; heterogeneous responses</w:t>
            </w:r>
          </w:p>
        </w:tc>
      </w:tr>
      <w:tr>
        <w:trPr>
          <w:cantSplit/>
        </w:trPr>
        <w:tc>
          <w:tcPr>
            <w:tcW w:type="dxa" w:w="900"/>
            <w:tcMar>
              <w:top w:w="30" w:type="dxa"/>
              <w:left w:w="60" w:type="dxa"/>
              <w:bottom w:w="30" w:type="dxa"/>
              <w:right w:w="60" w:type="dxa"/>
            </w:tcMar>
          </w:tcPr>
          <w:p>
            <w:pPr>
              <w:pStyle w:val="MDPI42tablebody"/>
              <w:jc w:val="left"/>
            </w:pPr>
            <w:r>
              <w:rPr>
                <w:sz w:val="16"/>
              </w:rPr>
              <w:t>[60]</w:t>
            </w:r>
          </w:p>
        </w:tc>
        <w:tc>
          <w:tcPr>
            <w:tcW w:type="dxa" w:w="2000"/>
            <w:tcMar>
              <w:top w:w="30" w:type="dxa"/>
              <w:left w:w="60" w:type="dxa"/>
              <w:bottom w:w="30" w:type="dxa"/>
              <w:right w:w="60" w:type="dxa"/>
            </w:tcMar>
          </w:tcPr>
          <w:p>
            <w:pPr>
              <w:pStyle w:val="MDPI42tablebody"/>
              <w:jc w:val="left"/>
            </w:pPr>
            <w:r>
              <w:rPr>
                <w:sz w:val="16"/>
              </w:rPr>
              <w:t>Braille acquisition</w:t>
            </w:r>
          </w:p>
        </w:tc>
        <w:tc>
          <w:tcPr>
            <w:tcW w:type="dxa" w:w="2900"/>
            <w:tcMar>
              <w:top w:w="30" w:type="dxa"/>
              <w:left w:w="60" w:type="dxa"/>
              <w:bottom w:w="30" w:type="dxa"/>
              <w:right w:w="60" w:type="dxa"/>
            </w:tcMar>
          </w:tcPr>
          <w:p>
            <w:pPr>
              <w:pStyle w:val="MDPI42tablebody"/>
              <w:jc w:val="left"/>
            </w:pPr>
            <w:r>
              <w:rPr>
                <w:sz w:val="16"/>
              </w:rPr>
              <w:t>d140 Learning to read; d145 Learning to write</w:t>
            </w:r>
          </w:p>
        </w:tc>
        <w:tc>
          <w:tcPr>
            <w:tcW w:type="dxa" w:w="1300"/>
            <w:tcMar>
              <w:top w:w="30" w:type="dxa"/>
              <w:left w:w="60" w:type="dxa"/>
              <w:bottom w:w="30" w:type="dxa"/>
              <w:right w:w="60" w:type="dxa"/>
            </w:tcMar>
          </w:tcPr>
          <w:p>
            <w:pPr>
              <w:pStyle w:val="MDPI42tablebody"/>
              <w:jc w:val="left"/>
            </w:pPr>
            <w:r>
              <w:rPr>
                <w:sz w:val="16"/>
              </w:rPr>
              <w:t>Learning</w:t>
            </w:r>
          </w:p>
        </w:tc>
        <w:tc>
          <w:tcPr>
            <w:tcW w:type="dxa" w:w="2300"/>
            <w:tcMar>
              <w:top w:w="30" w:type="dxa"/>
              <w:left w:w="60" w:type="dxa"/>
              <w:bottom w:w="30" w:type="dxa"/>
              <w:right w:w="60" w:type="dxa"/>
            </w:tcMar>
          </w:tcPr>
          <w:p>
            <w:pPr>
              <w:pStyle w:val="MDPI42tablebody"/>
              <w:jc w:val="left"/>
            </w:pPr>
            <w:r>
              <w:rPr>
                <w:sz w:val="16"/>
              </w:rPr>
              <w:t>▲ favours technology</w:t>
            </w:r>
          </w:p>
        </w:tc>
        <w:tc>
          <w:tcPr>
            <w:tcW w:type="dxa" w:w="5900"/>
            <w:tcMar>
              <w:top w:w="30" w:type="dxa"/>
              <w:left w:w="60" w:type="dxa"/>
              <w:bottom w:w="30" w:type="dxa"/>
              <w:right w:w="60" w:type="dxa"/>
            </w:tcMar>
          </w:tcPr>
          <w:p>
            <w:pPr>
              <w:pStyle w:val="MDPI42tablebody"/>
              <w:jc w:val="left"/>
            </w:pPr>
            <w:r>
              <w:rPr>
                <w:sz w:val="16"/>
              </w:rPr>
              <w:t>Mean 7.00 sessions to mastery of written contractions with Tutor support vs 9.58 with teacher-only instruction (descriptive trend)</w:t>
            </w:r>
          </w:p>
        </w:tc>
      </w:tr>
    </w:tbl>
    <w:p>
      <w:pPr>
        <w:pStyle w:val="MDPI43tablefooter"/>
        <w:ind w:left="0"/>
      </w:pPr>
      <w:r>
        <w:t>Access outcomes were measured with the technology in use; learning outcomes were measured without the technology or after a period of use. Direction was coded from the reported contrast without regard to statistical significance; for single-case designs a direction was assigned when at least 70% of participants or outcomes moved the same way (Boon and Thomson, 2021). Coding was performed by the review team from the extraction in Table S2 and should be read together with the risk-of-bias judgements in Table S3. NAP, non-overlap of all pairs; PEM, percentage exceeding the median.</w:t>
      </w:r>
    </w:p>
    <w:sectPr w:rsidR="006A1EF6">
      <w:footerReference w:type="default" r:id="rId7"/>
      <w:headerReference w:type="first" r:id="rId8"/>
      <w:pgSz w:w="16838" w:h="11906" w:orient="landscape"/>
      <w:pgMar w:top="1417" w:right="720" w:bottom="907" w:left="720" w:header="720" w:footer="612" w:gutter="0"/>
      <w:lnNumType w:countBy="1" w:distance="255" w:restart="continuous"/>
      <w:pgNumType w:start="1"/>
      <w:cols w:space="720"/>
      <w:formProt w:val="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F713" w14:textId="77777777" w:rsidR="005A7A64" w:rsidRDefault="005A7A64">
      <w:pPr>
        <w:spacing w:line="240" w:lineRule="auto"/>
      </w:pPr>
      <w:r>
        <w:separator/>
      </w:r>
    </w:p>
  </w:endnote>
  <w:endnote w:type="continuationSeparator" w:id="0">
    <w:p w14:paraId="0568CBCA" w14:textId="77777777" w:rsidR="005A7A64" w:rsidRDefault="005A7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DengXian">
    <w:panose1 w:val="02010600030101010101"/>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0209" w14:textId="77777777" w:rsidR="006A1EF6" w:rsidRDefault="006A1EF6">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4B0E" w14:textId="77777777" w:rsidR="005A7A64" w:rsidRDefault="005A7A64">
      <w:pPr>
        <w:spacing w:line="240" w:lineRule="auto"/>
      </w:pPr>
      <w:r>
        <w:separator/>
      </w:r>
    </w:p>
  </w:footnote>
  <w:footnote w:type="continuationSeparator" w:id="0">
    <w:p w14:paraId="04EA8F85" w14:textId="77777777" w:rsidR="005A7A64" w:rsidRDefault="005A7A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center"/>
      <w:tblCellMar>
        <w:left w:w="0" w:type="dxa"/>
        <w:right w:w="0" w:type="dxa"/>
      </w:tblCellMar>
      <w:tblLook w:val="04A0" w:firstRow="1" w:lastRow="0" w:firstColumn="1" w:lastColumn="0" w:noHBand="0" w:noVBand="1"/>
    </w:tblPr>
    <w:tblGrid>
      <w:gridCol w:w="5402"/>
      <w:gridCol w:w="6661"/>
      <w:gridCol w:w="3335"/>
    </w:tblGrid>
    <w:tr w:rsidR="007B787B" w14:paraId="5BDCE5BC" w14:textId="77777777" w:rsidTr="007B787B">
      <w:trPr>
        <w:trHeight w:val="686"/>
        <w:jc w:val="center"/>
      </w:trPr>
      <w:tc>
        <w:tcPr>
          <w:tcW w:w="1754" w:type="pct"/>
          <w:vAlign w:val="center"/>
        </w:tcPr>
        <w:p w14:paraId="02C2FD89" w14:textId="77777777" w:rsidR="007B787B" w:rsidRDefault="007B787B" w:rsidP="007B787B">
          <w:pPr>
            <w:pStyle w:val="Header"/>
            <w:pBdr>
              <w:bottom w:val="nil"/>
            </w:pBdr>
            <w:jc w:val="left"/>
            <w:rPr>
              <w:rFonts w:eastAsia="DengXian" w:hint="eastAsia"/>
              <w:b/>
              <w:bCs/>
            </w:rPr>
          </w:pPr>
        </w:p>
      </w:tc>
      <w:tc>
        <w:tcPr>
          <w:tcW w:w="2163" w:type="pct"/>
          <w:vAlign w:val="center"/>
        </w:tcPr>
        <w:p w14:paraId="0D852839" w14:textId="77777777" w:rsidR="007B787B" w:rsidRDefault="007B787B" w:rsidP="007B787B">
          <w:pPr>
            <w:pStyle w:val="Header"/>
            <w:pBdr>
              <w:bottom w:val="nil"/>
            </w:pBdr>
            <w:rPr>
              <w:rFonts w:eastAsia="DengXian" w:hint="eastAsia"/>
              <w:b/>
              <w:bCs/>
            </w:rPr>
          </w:pPr>
        </w:p>
      </w:tc>
      <w:tc>
        <w:tcPr>
          <w:tcW w:w="1084" w:type="pct"/>
          <w:vAlign w:val="center"/>
        </w:tcPr>
        <w:p w14:paraId="4864BE14" w14:textId="77777777" w:rsidR="007B787B" w:rsidRDefault="007B787B" w:rsidP="007B787B">
          <w:pPr>
            <w:pStyle w:val="Header"/>
            <w:pBdr>
              <w:bottom w:val="nil"/>
            </w:pBdr>
            <w:jc w:val="right"/>
            <w:rPr>
              <w:rFonts w:eastAsia="DengXian" w:hint="eastAsia"/>
              <w:b/>
              <w:bCs/>
            </w:rPr>
          </w:pPr>
          <w:r>
            <w:rPr>
              <w:noProof/>
            </w:rPr>
            <w:drawing>
              <wp:inline distT="0" distB="0" distL="0" distR="0" wp14:anchorId="03CA3422" wp14:editId="292ADA1A">
                <wp:extent cx="539750" cy="360045"/>
                <wp:effectExtent l="0" t="0" r="0" b="0"/>
                <wp:docPr id="5" name="Image5" descr="MD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DPI&#10;&#10;AI-generated content may be incorrect."/>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14:paraId="58BE0C93" w14:textId="003B6CA1" w:rsidR="007B787B" w:rsidRDefault="007B787B" w:rsidP="007B787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92D"/>
    <w:multiLevelType w:val="multilevel"/>
    <w:tmpl w:val="105011FE"/>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48C6612"/>
    <w:multiLevelType w:val="multilevel"/>
    <w:tmpl w:val="28885C12"/>
    <w:lvl w:ilvl="0">
      <w:start w:val="1"/>
      <w:numFmt w:val="bullet"/>
      <w:pStyle w:val="MDPI71footnotes"/>
      <w:lvlText w:val=""/>
      <w:lvlJc w:val="left"/>
      <w:pPr>
        <w:tabs>
          <w:tab w:val="num" w:pos="0"/>
        </w:tabs>
        <w:ind w:left="425" w:hanging="425"/>
      </w:pPr>
      <w:rPr>
        <w:rFonts w:ascii="Symbol" w:hAnsi="Symbol" w:cs="Symbol" w:hint="default"/>
        <w:vertAlign w:val="superscrip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096089F"/>
    <w:multiLevelType w:val="multilevel"/>
    <w:tmpl w:val="FAC4D1C2"/>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B5A0671"/>
    <w:multiLevelType w:val="multilevel"/>
    <w:tmpl w:val="BB7AE1C4"/>
    <w:lvl w:ilvl="0">
      <w:start w:val="1"/>
      <w:numFmt w:val="bullet"/>
      <w:pStyle w:val="MDPI38bullet"/>
      <w:lvlText w:val=""/>
      <w:lvlJc w:val="left"/>
      <w:pPr>
        <w:tabs>
          <w:tab w:val="num" w:pos="0"/>
        </w:tabs>
        <w:ind w:left="3033" w:hanging="425"/>
      </w:pPr>
      <w:rPr>
        <w:rFonts w:ascii="Symbol" w:hAnsi="Symbol" w:cs="Symbol" w:hint="default"/>
        <w:b w:val="0"/>
        <w:i w:val="0"/>
        <w:position w:val="0"/>
        <w:sz w:val="20"/>
        <w:vertAlign w:val="baselin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4" w15:restartNumberingAfterBreak="0">
    <w:nsid w:val="54921EC9"/>
    <w:multiLevelType w:val="multilevel"/>
    <w:tmpl w:val="8D464CEC"/>
    <w:lvl w:ilvl="0">
      <w:start w:val="1"/>
      <w:numFmt w:val="decimal"/>
      <w:pStyle w:val="MDPI37itemize"/>
      <w:lvlText w:val="%1."/>
      <w:lvlJc w:val="left"/>
      <w:pPr>
        <w:tabs>
          <w:tab w:val="num" w:pos="0"/>
        </w:tabs>
        <w:ind w:left="3033" w:hanging="425"/>
      </w:pPr>
      <w:rPr>
        <w:b w:val="0"/>
        <w:i w:val="0"/>
        <w:position w:val="0"/>
        <w:sz w:val="20"/>
        <w:vertAlign w:val="baseline"/>
      </w:rPr>
    </w:lvl>
    <w:lvl w:ilvl="1">
      <w:start w:val="1"/>
      <w:numFmt w:val="lowerLetter"/>
      <w:lvlText w:val="%2."/>
      <w:lvlJc w:val="left"/>
      <w:pPr>
        <w:tabs>
          <w:tab w:val="num" w:pos="0"/>
        </w:tabs>
        <w:ind w:left="4048" w:hanging="360"/>
      </w:pPr>
    </w:lvl>
    <w:lvl w:ilvl="2">
      <w:start w:val="1"/>
      <w:numFmt w:val="lowerRoman"/>
      <w:lvlText w:val="%3."/>
      <w:lvlJc w:val="right"/>
      <w:pPr>
        <w:tabs>
          <w:tab w:val="num" w:pos="0"/>
        </w:tabs>
        <w:ind w:left="4768" w:hanging="180"/>
      </w:pPr>
    </w:lvl>
    <w:lvl w:ilvl="3">
      <w:start w:val="1"/>
      <w:numFmt w:val="decimal"/>
      <w:lvlText w:val="%4."/>
      <w:lvlJc w:val="left"/>
      <w:pPr>
        <w:tabs>
          <w:tab w:val="num" w:pos="0"/>
        </w:tabs>
        <w:ind w:left="5488" w:hanging="360"/>
      </w:pPr>
    </w:lvl>
    <w:lvl w:ilvl="4">
      <w:start w:val="1"/>
      <w:numFmt w:val="lowerLetter"/>
      <w:lvlText w:val="%5."/>
      <w:lvlJc w:val="left"/>
      <w:pPr>
        <w:tabs>
          <w:tab w:val="num" w:pos="0"/>
        </w:tabs>
        <w:ind w:left="6208" w:hanging="360"/>
      </w:pPr>
    </w:lvl>
    <w:lvl w:ilvl="5">
      <w:start w:val="1"/>
      <w:numFmt w:val="lowerRoman"/>
      <w:lvlText w:val="%6."/>
      <w:lvlJc w:val="right"/>
      <w:pPr>
        <w:tabs>
          <w:tab w:val="num" w:pos="0"/>
        </w:tabs>
        <w:ind w:left="6928" w:hanging="180"/>
      </w:pPr>
    </w:lvl>
    <w:lvl w:ilvl="6">
      <w:start w:val="1"/>
      <w:numFmt w:val="decimal"/>
      <w:lvlText w:val="%7."/>
      <w:lvlJc w:val="left"/>
      <w:pPr>
        <w:tabs>
          <w:tab w:val="num" w:pos="0"/>
        </w:tabs>
        <w:ind w:left="7648" w:hanging="360"/>
      </w:pPr>
    </w:lvl>
    <w:lvl w:ilvl="7">
      <w:start w:val="1"/>
      <w:numFmt w:val="lowerLetter"/>
      <w:lvlText w:val="%8."/>
      <w:lvlJc w:val="left"/>
      <w:pPr>
        <w:tabs>
          <w:tab w:val="num" w:pos="0"/>
        </w:tabs>
        <w:ind w:left="8368" w:hanging="360"/>
      </w:pPr>
    </w:lvl>
    <w:lvl w:ilvl="8">
      <w:start w:val="1"/>
      <w:numFmt w:val="lowerRoman"/>
      <w:lvlText w:val="%9."/>
      <w:lvlJc w:val="right"/>
      <w:pPr>
        <w:tabs>
          <w:tab w:val="num" w:pos="0"/>
        </w:tabs>
        <w:ind w:left="9088" w:hanging="180"/>
      </w:pPr>
    </w:lvl>
  </w:abstractNum>
  <w:abstractNum w:abstractNumId="5" w15:restartNumberingAfterBreak="0">
    <w:nsid w:val="5ECB5ABF"/>
    <w:multiLevelType w:val="multilevel"/>
    <w:tmpl w:val="3B1E38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F1A2045"/>
    <w:multiLevelType w:val="multilevel"/>
    <w:tmpl w:val="3ED4C106"/>
    <w:lvl w:ilvl="0">
      <w:start w:val="1"/>
      <w:numFmt w:val="decimal"/>
      <w:pStyle w:val="MDPI81references"/>
      <w:lvlText w:val="%1."/>
      <w:lvlJc w:val="left"/>
      <w:pPr>
        <w:tabs>
          <w:tab w:val="num" w:pos="0"/>
        </w:tabs>
        <w:ind w:left="425" w:hanging="425"/>
      </w:pPr>
      <w:rPr>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10909175">
    <w:abstractNumId w:val="0"/>
  </w:num>
  <w:num w:numId="2" w16cid:durableId="1714033929">
    <w:abstractNumId w:val="2"/>
  </w:num>
  <w:num w:numId="3" w16cid:durableId="1683817879">
    <w:abstractNumId w:val="1"/>
  </w:num>
  <w:num w:numId="4" w16cid:durableId="1963228095">
    <w:abstractNumId w:val="3"/>
  </w:num>
  <w:num w:numId="5" w16cid:durableId="1596012788">
    <w:abstractNumId w:val="4"/>
  </w:num>
  <w:num w:numId="6" w16cid:durableId="1174876545">
    <w:abstractNumId w:val="6"/>
  </w:num>
  <w:num w:numId="7" w16cid:durableId="1654600572">
    <w:abstractNumId w:val="5"/>
  </w:num>
  <w:num w:numId="8" w16cid:durableId="1738120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510"/>
  <w:autoHyphenation/>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F6"/>
    <w:rsid w:val="00152891"/>
    <w:rsid w:val="005A7A64"/>
    <w:rsid w:val="005D13EB"/>
    <w:rsid w:val="006A1EF6"/>
    <w:rsid w:val="00735757"/>
    <w:rsid w:val="007B787B"/>
    <w:rsid w:val="00B647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5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DDB"/>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247DDB"/>
    <w:rPr>
      <w:rFonts w:ascii="Palatino Linotype" w:hAnsi="Palatino Linotype"/>
      <w:color w:val="000000"/>
      <w:szCs w:val="18"/>
    </w:rPr>
  </w:style>
  <w:style w:type="character" w:customStyle="1" w:styleId="HeaderChar">
    <w:name w:val="Header Char"/>
    <w:link w:val="Header"/>
    <w:uiPriority w:val="99"/>
    <w:qFormat/>
    <w:rsid w:val="00247DDB"/>
    <w:rPr>
      <w:rFonts w:ascii="Palatino Linotype" w:hAnsi="Palatino Linotype"/>
      <w:color w:val="000000"/>
      <w:szCs w:val="18"/>
    </w:rPr>
  </w:style>
  <w:style w:type="character" w:customStyle="1" w:styleId="BalloonTextChar">
    <w:name w:val="Balloon Text Char"/>
    <w:link w:val="BalloonText"/>
    <w:uiPriority w:val="99"/>
    <w:qFormat/>
    <w:rsid w:val="00247DDB"/>
    <w:rPr>
      <w:rFonts w:ascii="Palatino Linotype" w:hAnsi="Palatino Linotype" w:cs="Tahoma"/>
      <w:color w:val="000000"/>
      <w:szCs w:val="18"/>
    </w:rPr>
  </w:style>
  <w:style w:type="character" w:styleId="LineNumber">
    <w:name w:val="line number"/>
    <w:uiPriority w:val="99"/>
    <w:rsid w:val="00D41A5B"/>
    <w:rPr>
      <w:rFonts w:ascii="Palatino Linotype" w:hAnsi="Palatino Linotype"/>
      <w:sz w:val="16"/>
    </w:rPr>
  </w:style>
  <w:style w:type="character" w:styleId="Hyperlink">
    <w:name w:val="Hyperlink"/>
    <w:uiPriority w:val="99"/>
    <w:rsid w:val="00247DDB"/>
    <w:rPr>
      <w:color w:val="0000FF"/>
      <w:u w:val="single"/>
    </w:rPr>
  </w:style>
  <w:style w:type="character" w:styleId="UnresolvedMention">
    <w:name w:val="Unresolved Mention"/>
    <w:uiPriority w:val="99"/>
    <w:semiHidden/>
    <w:unhideWhenUsed/>
    <w:qFormat/>
    <w:rsid w:val="005D35E8"/>
    <w:rPr>
      <w:color w:val="605E5C"/>
      <w:shd w:val="clear" w:color="auto" w:fill="E1DFDD"/>
    </w:rPr>
  </w:style>
  <w:style w:type="character" w:customStyle="1" w:styleId="apple-converted-space">
    <w:name w:val="apple-converted-space"/>
    <w:qFormat/>
    <w:rsid w:val="00247DDB"/>
  </w:style>
  <w:style w:type="character" w:customStyle="1" w:styleId="BodyTextChar">
    <w:name w:val="Body Text Char"/>
    <w:link w:val="BodyText"/>
    <w:qFormat/>
    <w:rsid w:val="00247DDB"/>
    <w:rPr>
      <w:rFonts w:ascii="Palatino Linotype" w:hAnsi="Palatino Linotype"/>
      <w:color w:val="000000"/>
      <w:sz w:val="24"/>
      <w:lang w:eastAsia="de-DE"/>
    </w:rPr>
  </w:style>
  <w:style w:type="character" w:styleId="CommentReference">
    <w:name w:val="annotation reference"/>
    <w:qFormat/>
    <w:rsid w:val="00247DDB"/>
    <w:rPr>
      <w:sz w:val="21"/>
      <w:szCs w:val="21"/>
    </w:rPr>
  </w:style>
  <w:style w:type="character" w:customStyle="1" w:styleId="CommentTextChar">
    <w:name w:val="Comment Text Char"/>
    <w:link w:val="CommentText"/>
    <w:qFormat/>
    <w:rsid w:val="00247DDB"/>
    <w:rPr>
      <w:rFonts w:ascii="Palatino Linotype" w:hAnsi="Palatino Linotype"/>
      <w:color w:val="000000"/>
    </w:rPr>
  </w:style>
  <w:style w:type="character" w:customStyle="1" w:styleId="CommentSubjectChar">
    <w:name w:val="Comment Subject Char"/>
    <w:link w:val="CommentSubject"/>
    <w:qFormat/>
    <w:rsid w:val="00247DDB"/>
    <w:rPr>
      <w:rFonts w:ascii="Palatino Linotype" w:hAnsi="Palatino Linotype"/>
      <w:b/>
      <w:bCs/>
      <w:color w:val="000000"/>
    </w:rPr>
  </w:style>
  <w:style w:type="character" w:customStyle="1" w:styleId="EndnoteCharacters">
    <w:name w:val="Endnote Characters"/>
    <w:qFormat/>
    <w:rsid w:val="00247DDB"/>
    <w:rPr>
      <w:vertAlign w:val="superscript"/>
    </w:rPr>
  </w:style>
  <w:style w:type="character" w:styleId="EndnoteReference">
    <w:name w:val="endnote reference"/>
    <w:rPr>
      <w:vertAlign w:val="superscript"/>
    </w:rPr>
  </w:style>
  <w:style w:type="character" w:customStyle="1" w:styleId="EndnoteTextChar">
    <w:name w:val="Endnote Text Char"/>
    <w:link w:val="EndnoteText"/>
    <w:semiHidden/>
    <w:qFormat/>
    <w:rsid w:val="00247DDB"/>
    <w:rPr>
      <w:rFonts w:ascii="Palatino Linotype" w:hAnsi="Palatino Linotype"/>
      <w:color w:val="000000"/>
    </w:rPr>
  </w:style>
  <w:style w:type="character" w:styleId="FollowedHyperlink">
    <w:name w:val="FollowedHyperlink"/>
    <w:rsid w:val="00247DDB"/>
    <w:rPr>
      <w:color w:val="954F72"/>
      <w:u w:val="single"/>
    </w:rPr>
  </w:style>
  <w:style w:type="character" w:customStyle="1" w:styleId="FootnoteTextChar">
    <w:name w:val="Footnote Text Char"/>
    <w:link w:val="FootnoteText"/>
    <w:semiHidden/>
    <w:qFormat/>
    <w:rsid w:val="00247DDB"/>
    <w:rPr>
      <w:rFonts w:ascii="Palatino Linotype" w:hAnsi="Palatino Linotype"/>
      <w:color w:val="000000"/>
    </w:rPr>
  </w:style>
  <w:style w:type="character" w:styleId="PageNumber">
    <w:name w:val="page number"/>
    <w:rsid w:val="00247DDB"/>
  </w:style>
  <w:style w:type="character" w:styleId="PlaceholderText">
    <w:name w:val="Placeholder Text"/>
    <w:uiPriority w:val="99"/>
    <w:semiHidden/>
    <w:qFormat/>
    <w:rsid w:val="00247DDB"/>
    <w:rPr>
      <w:color w:val="808080"/>
    </w:rPr>
  </w:style>
  <w:style w:type="character" w:styleId="Strong">
    <w:name w:val="Strong"/>
    <w:basedOn w:val="DefaultParagraphFont"/>
    <w:uiPriority w:val="22"/>
    <w:qFormat/>
    <w:rsid w:val="000A12FF"/>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link w:val="BodyTextChar"/>
    <w:rsid w:val="00247DDB"/>
    <w:pPr>
      <w:spacing w:after="120" w:line="340" w:lineRule="atLeast"/>
      <w:jc w:val="both"/>
    </w:pPr>
    <w:rPr>
      <w:rFonts w:ascii="Palatino Linotype" w:hAnsi="Palatino Linotype"/>
      <w:color w:val="000000"/>
      <w:sz w:val="24"/>
      <w:lang w:eastAsia="de-D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MDPI11articletype">
    <w:name w:val="MDPI_1.1_article_type"/>
    <w:next w:val="Normal"/>
    <w:qFormat/>
    <w:rsid w:val="00247DDB"/>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247DDB"/>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247DDB"/>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247DDB"/>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47DDB"/>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247DDB"/>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247DDB"/>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247DDB"/>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247DDB"/>
    <w:pPr>
      <w:suppressLineNumbers/>
      <w:tabs>
        <w:tab w:val="center" w:pos="4153"/>
        <w:tab w:val="right" w:pos="8306"/>
      </w:tabs>
      <w:snapToGrid w:val="0"/>
      <w:spacing w:line="240" w:lineRule="atLeast"/>
    </w:pPr>
    <w:rPr>
      <w:szCs w:val="18"/>
    </w:rPr>
  </w:style>
  <w:style w:type="paragraph" w:styleId="Header">
    <w:name w:val="header"/>
    <w:basedOn w:val="Normal"/>
    <w:link w:val="HeaderChar"/>
    <w:uiPriority w:val="99"/>
    <w:rsid w:val="00247DDB"/>
    <w:pPr>
      <w:suppressLineNumbers/>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247DDB"/>
    <w:pPr>
      <w:ind w:firstLine="0"/>
    </w:pPr>
  </w:style>
  <w:style w:type="paragraph" w:customStyle="1" w:styleId="MDPI31text">
    <w:name w:val="MDPI_3.1_text"/>
    <w:qFormat/>
    <w:rsid w:val="00C37E57"/>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247DDB"/>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4textspacebefore">
    <w:name w:val="MDPI_3.4_text_space_before"/>
    <w:qFormat/>
    <w:rsid w:val="00247DDB"/>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247DDB"/>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247DDB"/>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313899"/>
    <w:pPr>
      <w:numPr>
        <w:numId w:val="5"/>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13899"/>
    <w:pPr>
      <w:numPr>
        <w:numId w:val="4"/>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47DDB"/>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247DDB"/>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247DDB"/>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70D09"/>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247DDB"/>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47DDB"/>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47DDB"/>
    <w:pPr>
      <w:snapToGrid w:val="0"/>
      <w:spacing w:before="240" w:after="120"/>
      <w:jc w:val="center"/>
    </w:pPr>
    <w:rPr>
      <w:rFonts w:ascii="Palatino Linotype" w:eastAsia="Times New Roman" w:hAnsi="Palatino Linotype"/>
      <w:color w:val="000000"/>
      <w:lang w:eastAsia="de-DE" w:bidi="en-US"/>
    </w:rPr>
  </w:style>
  <w:style w:type="paragraph" w:customStyle="1" w:styleId="MDPI82theorem">
    <w:name w:val="MDPI_8.2_theorem"/>
    <w:qFormat/>
    <w:rsid w:val="00247DDB"/>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247DDB"/>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23heading3">
    <w:name w:val="MDPI_2.3_heading3"/>
    <w:qFormat/>
    <w:rsid w:val="00247DDB"/>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247DDB"/>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247DDB"/>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9377F9"/>
    <w:pPr>
      <w:numPr>
        <w:numId w:val="6"/>
      </w:num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247DDB"/>
    <w:rPr>
      <w:rFonts w:cs="Tahoma"/>
      <w:szCs w:val="18"/>
    </w:rPr>
  </w:style>
  <w:style w:type="paragraph" w:customStyle="1" w:styleId="MDPI61citation">
    <w:name w:val="MDPI_6.1_citation"/>
    <w:qFormat/>
    <w:rsid w:val="00247DDB"/>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47DDB"/>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247DDB"/>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4B5CD6"/>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47DDB"/>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247DDB"/>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618D3"/>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semiHidden/>
    <w:unhideWhenUsed/>
    <w:qFormat/>
    <w:rsid w:val="00247DDB"/>
  </w:style>
  <w:style w:type="paragraph" w:styleId="CommentText">
    <w:name w:val="annotation text"/>
    <w:basedOn w:val="Normal"/>
    <w:link w:val="CommentTextChar"/>
    <w:rsid w:val="00247DDB"/>
  </w:style>
  <w:style w:type="paragraph" w:styleId="CommentSubject">
    <w:name w:val="annotation subject"/>
    <w:basedOn w:val="CommentText"/>
    <w:next w:val="CommentText"/>
    <w:link w:val="CommentSubjectChar"/>
    <w:qFormat/>
    <w:rsid w:val="00247DDB"/>
    <w:rPr>
      <w:b/>
      <w:bCs/>
    </w:rPr>
  </w:style>
  <w:style w:type="paragraph" w:styleId="EndnoteText">
    <w:name w:val="endnote text"/>
    <w:basedOn w:val="Normal"/>
    <w:link w:val="EndnoteTextChar"/>
    <w:semiHidden/>
    <w:unhideWhenUsed/>
    <w:rsid w:val="00247DDB"/>
    <w:pPr>
      <w:spacing w:line="240" w:lineRule="auto"/>
    </w:pPr>
  </w:style>
  <w:style w:type="paragraph" w:styleId="FootnoteText">
    <w:name w:val="footnote text"/>
    <w:basedOn w:val="Normal"/>
    <w:link w:val="FootnoteTextChar"/>
    <w:semiHidden/>
    <w:unhideWhenUsed/>
    <w:rsid w:val="00247DDB"/>
    <w:pPr>
      <w:spacing w:line="240" w:lineRule="auto"/>
    </w:pPr>
  </w:style>
  <w:style w:type="paragraph" w:styleId="NormalWeb">
    <w:name w:val="Normal (Web)"/>
    <w:basedOn w:val="Normal"/>
    <w:uiPriority w:val="99"/>
    <w:qFormat/>
    <w:rsid w:val="00247DDB"/>
    <w:rPr>
      <w:szCs w:val="24"/>
    </w:rPr>
  </w:style>
  <w:style w:type="paragraph" w:customStyle="1" w:styleId="MsoFootnoteText0">
    <w:name w:val="MsoFootnoteText"/>
    <w:basedOn w:val="NormalWeb"/>
    <w:qFormat/>
    <w:rsid w:val="00247DDB"/>
    <w:rPr>
      <w:rFonts w:ascii="Times New Roman" w:hAnsi="Times New Roman"/>
    </w:rPr>
  </w:style>
  <w:style w:type="paragraph" w:customStyle="1" w:styleId="MDPI71footnotes">
    <w:name w:val="MDPI_7.1_footnotes"/>
    <w:qFormat/>
    <w:rsid w:val="002A6DB9"/>
    <w:pPr>
      <w:numPr>
        <w:numId w:val="3"/>
      </w:numPr>
      <w:snapToGrid w:val="0"/>
      <w:spacing w:line="280" w:lineRule="atLeast"/>
    </w:pPr>
    <w:rPr>
      <w:rFonts w:ascii="Palatino Linotype" w:eastAsiaTheme="minorEastAsia" w:hAnsi="Palatino Linotype"/>
      <w:color w:val="000000"/>
      <w:sz w:val="18"/>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0E06"/>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247DDB"/>
    <w:pPr>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247DDB"/>
    <w:pPr>
      <w:snapToGrid w:val="0"/>
      <w:spacing w:line="280" w:lineRule="atLeast"/>
      <w:jc w:val="center"/>
    </w:p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0E53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47DDB"/>
    <w:rPr>
      <w:lang w:val="en-CA"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5372</Words>
  <Characters>30626</Characters>
  <DocSecurity>0</DocSecurity>
  <Lines>255</Lines>
  <Paragraphs>71</Paragraphs>
  <ScaleCrop>false</ScaleCrop>
  <Company/>
  <LinksUpToDate>false</LinksUpToDate>
  <CharactersWithSpaces>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subject>Supplementary materials</dc:subject>
  <dc:creator>Ashit Kumar Dutta; Nasser Ali Aljarallah</dc:creator>
  <dc:description/>
  <cp:lastModifiedBy/>
  <dcterms:created xsi:type="dcterms:W3CDTF">2026-08-23T19:55:00Z</dcterms:created>
  <dcterms:modified xsi:type="dcterms:W3CDTF">2026-08-23T19:57:00Z</dcterms:modified>
  <dc:language/>
</cp:coreProperties>
</file>

<file path=docProps/custom.xml><?xml version="1.0" encoding="utf-8"?>
<Properties xmlns="http://schemas.openxmlformats.org/officeDocument/2006/custom-properties" xmlns:vt="http://schemas.openxmlformats.org/officeDocument/2006/docPropsVTypes"/>
</file>