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0"/>
          <w:szCs w:val="20"/>
        </w:rPr>
        <w:t xml:space="preserve">RESPONSE TO COMMENTARY</w:t>
      </w:r>
    </w:p>
    <w:p>
      <w:pPr>
        <w:spacing w:after="240" w:line="360"/>
      </w:pPr>
      <w:r>
        <w:rPr>
          <w:rFonts w:ascii="Times New Roman" w:cs="Times New Roman" w:eastAsia="Times New Roman" w:hAnsi="Times New Roman"/>
          <w:b/>
          <w:bCs/>
          <w:sz w:val="32"/>
          <w:szCs w:val="32"/>
        </w:rPr>
        <w:t xml:space="preserve">Calibrated to the patient: A response to “Calibrated to what?”</w:t>
      </w:r>
    </w:p>
    <w:p>
      <w:pPr>
        <w:spacing w:after="120" w:line="360"/>
        <w:jc w:val="left"/>
      </w:pPr>
      <w:r>
        <w:rPr>
          <w:rFonts w:ascii="Times New Roman" w:cs="Times New Roman" w:eastAsia="Times New Roman" w:hAnsi="Times New Roman"/>
          <w:sz w:val="24"/>
          <w:szCs w:val="24"/>
        </w:rPr>
        <w:t xml:space="preserve">Reda Samy</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Osama Mohamed Elsayed Ramadan</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Ghada Elsaid Ali Elsayed</w:t>
      </w:r>
      <w:r>
        <w:rPr>
          <w:rFonts w:ascii="Times New Roman" w:cs="Times New Roman" w:eastAsia="Times New Roman" w:hAnsi="Times New Roman"/>
          <w:sz w:val="24"/>
          <w:szCs w:val="24"/>
          <w:vertAlign w:val="superscript"/>
        </w:rPr>
        <w:t xml:space="preserve">3,4</w:t>
      </w:r>
    </w:p>
    <w:p>
      <w:pPr>
        <w:spacing w:after="60" w:line="276"/>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Department of Medical Surgical Nursing, College of Nursing, Jouf University, Sakaka, Saudi Arabia</w:t>
      </w:r>
    </w:p>
    <w:p>
      <w:pPr>
        <w:spacing w:after="60" w:line="276"/>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Department of Maternal and Child Health Nursing, College of Nursing, Jouf University, Sakaka, Saudi Arabia</w:t>
      </w:r>
    </w:p>
    <w:p>
      <w:pPr>
        <w:spacing w:after="60" w:line="276"/>
      </w:pP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Department of Community and Mental Health Nursing, College of Nursing, Najran University, Najran, Saudi Arabia</w:t>
      </w:r>
    </w:p>
    <w:p>
      <w:pPr>
        <w:spacing w:after="60" w:line="276"/>
      </w:pP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Health Research Centre, Najran University, Najran, Saudi Arabia</w:t>
      </w:r>
    </w:p>
    <w:p>
      <w:pPr>
        <w:spacing w:after="120" w:line="360"/>
        <w:jc w:val="left"/>
      </w:pPr>
      <w:r>
        <w:rPr>
          <w:rFonts w:ascii="Times New Roman" w:cs="Times New Roman" w:eastAsia="Times New Roman" w:hAnsi="Times New Roman"/>
          <w:b w:val="false"/>
          <w:bCs w:val="false"/>
          <w:i w:val="false"/>
          <w:iCs w:val="false"/>
          <w:sz w:val="20"/>
          <w:szCs w:val="20"/>
        </w:rPr>
        <w:t xml:space="preserve">Correspondence: Osama Mohamed Elsayed Ramadan (omramadan@ju.edu.sa)</w:t>
      </w:r>
    </w:p>
    <w:p>
      <w:pPr>
        <w:spacing w:after="120" w:line="360"/>
        <w:jc w:val="left"/>
      </w:pPr>
      <w:r>
        <w:rPr>
          <w:rFonts w:ascii="Times New Roman" w:cs="Times New Roman" w:eastAsia="Times New Roman" w:hAnsi="Times New Roman"/>
          <w:b w:val="false"/>
          <w:bCs w:val="false"/>
          <w:i/>
          <w:iCs/>
          <w:sz w:val="20"/>
          <w:szCs w:val="20"/>
        </w:rPr>
        <w:t xml:space="preserve">Response to: [Commentators’ names – to be completed by the Editorial Office]. Calibrated to what? Feedback asymmetry and the limits of experiential trust in AI-assisted early warning. Nursing in Critical Care. 2026.</w:t>
      </w:r>
    </w:p>
    <w:p>
      <w:pPr>
        <w:spacing w:after="240" w:line="360"/>
        <w:jc w:val="left"/>
      </w:pPr>
      <w:r>
        <w:rPr>
          <w:rFonts w:ascii="Times New Roman" w:cs="Times New Roman" w:eastAsia="Times New Roman" w:hAnsi="Times New Roman"/>
          <w:b w:val="false"/>
          <w:bCs w:val="false"/>
          <w:i w:val="false"/>
          <w:iCs w:val="false"/>
          <w:sz w:val="20"/>
          <w:szCs w:val="20"/>
        </w:rPr>
        <w:t xml:space="preserve">Word count: 1315 words (title and main text, excluding author details and references).</w:t>
      </w:r>
    </w:p>
    <w:p>
      <w:pPr>
        <w:keepNext/>
        <w:spacing w:after="120" w:before="240" w:line="360"/>
      </w:pPr>
      <w:r>
        <w:rPr>
          <w:rFonts w:ascii="Times New Roman" w:cs="Times New Roman" w:eastAsia="Times New Roman" w:hAnsi="Times New Roman"/>
          <w:b/>
          <w:bCs/>
          <w:sz w:val="24"/>
          <w:szCs w:val="24"/>
        </w:rPr>
        <w:t xml:space="preserve">1 |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We thank the commentators for their careful and generous reading of our study.</w:t>
      </w:r>
      <w:r>
        <w:rPr>
          <w:rFonts w:ascii="Times New Roman" w:cs="Times New Roman" w:eastAsia="Times New Roman" w:hAnsi="Times New Roman"/>
          <w:b w:val="false"/>
          <w:bCs w:val="false"/>
          <w:i w:val="false"/>
          <w:iCs w:val="false"/>
          <w:sz w:val="24"/>
          <w:szCs w:val="24"/>
          <w:vertAlign w:val="superscript"/>
        </w:rPr>
        <w:t xml:space="preserve">1,2</w:t>
      </w:r>
      <w:r>
        <w:rPr>
          <w:rFonts w:ascii="Times New Roman" w:cs="Times New Roman" w:eastAsia="Times New Roman" w:hAnsi="Times New Roman"/>
          <w:b w:val="false"/>
          <w:bCs w:val="false"/>
          <w:i w:val="false"/>
          <w:iCs w:val="false"/>
          <w:sz w:val="24"/>
          <w:szCs w:val="24"/>
        </w:rPr>
        <w:t xml:space="preserve"> We welcome their recognition that it offers rare access to how nurses use AI-assisted early warning systems (AI-EWS), and that silent override deserves governance attention. We note that the commentary does not question the study’s design, conduct or analysis, or the credibility of its themes; its concern is a single inferential step, from nurses’ accounts of trust to the claim that this trust is calibrated. We respond on three points: what our study claimed, how feedback asymmetry bears on our argument, and where our recommendations converge.</w:t>
      </w:r>
    </w:p>
    <w:p>
      <w:pPr>
        <w:keepNext/>
        <w:spacing w:after="120" w:before="240" w:line="360"/>
      </w:pPr>
      <w:r>
        <w:rPr>
          <w:rFonts w:ascii="Times New Roman" w:cs="Times New Roman" w:eastAsia="Times New Roman" w:hAnsi="Times New Roman"/>
          <w:b/>
          <w:bCs/>
          <w:sz w:val="24"/>
          <w:szCs w:val="24"/>
        </w:rPr>
        <w:t xml:space="preserve">2 | WHAT THE STUDY CLAIMED, AND WHAT IT DID NOT</w:t>
      </w:r>
    </w:p>
    <w:p>
      <w:pPr>
        <w:spacing w:after="200" w:line="360"/>
        <w:jc w:val="both"/>
      </w:pPr>
      <w:r>
        <w:rPr>
          <w:rFonts w:ascii="Times New Roman" w:cs="Times New Roman" w:eastAsia="Times New Roman" w:hAnsi="Times New Roman"/>
          <w:b w:val="false"/>
          <w:bCs w:val="false"/>
          <w:i w:val="false"/>
          <w:iCs w:val="false"/>
          <w:sz w:val="24"/>
          <w:szCs w:val="24"/>
        </w:rPr>
        <w:t xml:space="preserve">Our study used Interpretive Description, which aims to generate clinically meaningful understanding of how practitioners experience a phenomenon, not to measure its frequency or accuracy.</w:t>
      </w:r>
      <w:r>
        <w:rPr>
          <w:rFonts w:ascii="Times New Roman" w:cs="Times New Roman" w:eastAsia="Times New Roman" w:hAnsi="Times New Roman"/>
          <w:b w:val="false"/>
          <w:bCs w:val="false"/>
          <w:i w:val="false"/>
          <w:iCs w:val="false"/>
          <w:sz w:val="24"/>
          <w:szCs w:val="24"/>
          <w:vertAlign w:val="superscript"/>
        </w:rPr>
        <w:t xml:space="preserve">3</w:t>
      </w:r>
      <w:r>
        <w:rPr>
          <w:rFonts w:ascii="Times New Roman" w:cs="Times New Roman" w:eastAsia="Times New Roman" w:hAnsi="Times New Roman"/>
          <w:b w:val="false"/>
          <w:bCs w:val="false"/>
          <w:i w:val="false"/>
          <w:iCs w:val="false"/>
          <w:sz w:val="24"/>
          <w:szCs w:val="24"/>
        </w:rPr>
        <w:t xml:space="preserve"> Automation bias theory served as a sensitising concept, indicating where to look rather than prescribing what to measure,</w:t>
      </w:r>
      <w:r>
        <w:rPr>
          <w:rFonts w:ascii="Times New Roman" w:cs="Times New Roman" w:eastAsia="Times New Roman" w:hAnsi="Times New Roman"/>
          <w:b w:val="false"/>
          <w:bCs w:val="false"/>
          <w:i w:val="false"/>
          <w:iCs w:val="false"/>
          <w:sz w:val="24"/>
          <w:szCs w:val="24"/>
          <w:vertAlign w:val="superscript"/>
        </w:rPr>
        <w:t xml:space="preserve">4</w:t>
      </w:r>
      <w:r>
        <w:rPr>
          <w:rFonts w:ascii="Times New Roman" w:cs="Times New Roman" w:eastAsia="Times New Roman" w:hAnsi="Times New Roman"/>
          <w:b w:val="false"/>
          <w:bCs w:val="false"/>
          <w:i w:val="false"/>
          <w:iCs w:val="false"/>
          <w:sz w:val="24"/>
          <w:szCs w:val="24"/>
        </w:rPr>
        <w:t xml:space="preserve"> and remained, in our words, “subordinate to the inductive, interpretive commitments” of the design.</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We did not estimate the prevalence of commission or omission errors, and we made no claim to have detected them.</w:t>
      </w:r>
    </w:p>
    <w:p>
      <w:pPr>
        <w:spacing w:after="200" w:line="360"/>
        <w:jc w:val="both"/>
      </w:pPr>
      <w:r>
        <w:rPr>
          <w:rFonts w:ascii="Times New Roman" w:cs="Times New Roman" w:eastAsia="Times New Roman" w:hAnsi="Times New Roman"/>
          <w:b w:val="false"/>
          <w:bCs w:val="false"/>
          <w:i w:val="false"/>
          <w:iCs w:val="false"/>
          <w:sz w:val="24"/>
          <w:szCs w:val="24"/>
        </w:rPr>
        <w:t xml:space="preserve">We agree that calibration, in Lee and See’s sense, is a correspondence between trust and a system’s actual capability, and that interviews cannot establish it.</w:t>
      </w:r>
      <w:r>
        <w:rPr>
          <w:rFonts w:ascii="Times New Roman" w:cs="Times New Roman" w:eastAsia="Times New Roman" w:hAnsi="Times New Roman"/>
          <w:b w:val="false"/>
          <w:bCs w:val="false"/>
          <w:i w:val="false"/>
          <w:iCs w:val="false"/>
          <w:sz w:val="24"/>
          <w:szCs w:val="24"/>
          <w:vertAlign w:val="superscript"/>
        </w:rPr>
        <w:t xml:space="preserve">5</w:t>
      </w:r>
      <w:r>
        <w:rPr>
          <w:rFonts w:ascii="Times New Roman" w:cs="Times New Roman" w:eastAsia="Times New Roman" w:hAnsi="Times New Roman"/>
          <w:b w:val="false"/>
          <w:bCs w:val="false"/>
          <w:i w:val="false"/>
          <w:iCs w:val="false"/>
          <w:sz w:val="24"/>
          <w:szCs w:val="24"/>
        </w:rPr>
        <w:t xml:space="preserve"> We did not claim otherwise. We used “calibration” to name a process that participants described: trust that was “conditional, experience-dependent, and continually adjusted”.</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We stated that self-reported calibrated trust “should be read as participants’ considered self-understanding rather than as a verified description of in-the-moment behaviour”, and that accounts had not been triangulated with audit logs, alert-response times or patient outcomes.</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The commentators quote the first of these statements; it was included to bound precisely the inference they caution against. In Lee and See’s terms, participants described trust with high specificity, differentiated by patient, situation and alert;</w:t>
      </w:r>
      <w:r>
        <w:rPr>
          <w:rFonts w:ascii="Times New Roman" w:cs="Times New Roman" w:eastAsia="Times New Roman" w:hAnsi="Times New Roman"/>
          <w:b w:val="false"/>
          <w:bCs w:val="false"/>
          <w:i w:val="false"/>
          <w:iCs w:val="false"/>
          <w:sz w:val="24"/>
          <w:szCs w:val="24"/>
          <w:vertAlign w:val="superscript"/>
        </w:rPr>
        <w:t xml:space="preserve">5</w:t>
      </w:r>
      <w:r>
        <w:rPr>
          <w:rFonts w:ascii="Times New Roman" w:cs="Times New Roman" w:eastAsia="Times New Roman" w:hAnsi="Times New Roman"/>
          <w:b w:val="false"/>
          <w:bCs w:val="false"/>
          <w:i w:val="false"/>
          <w:iCs w:val="false"/>
          <w:sz w:val="24"/>
          <w:szCs w:val="24"/>
        </w:rPr>
        <w:t xml:space="preserve"> whether that differentiation was also well calibrated is a separate question. Because “calibration” carries this precise technical meaning, we accept that “calibrating” (the work) would have conveyed our meaning more exactly than “calibrated” (an outcome), and we welcome this opportunity to make the distinction explicit.</w:t>
      </w:r>
    </w:p>
    <w:p>
      <w:pPr>
        <w:spacing w:after="200" w:line="360"/>
        <w:jc w:val="both"/>
      </w:pPr>
      <w:r>
        <w:rPr>
          <w:rFonts w:ascii="Times New Roman" w:cs="Times New Roman" w:eastAsia="Times New Roman" w:hAnsi="Times New Roman"/>
          <w:b w:val="false"/>
          <w:bCs w:val="false"/>
          <w:i w:val="false"/>
          <w:iCs w:val="false"/>
          <w:sz w:val="24"/>
          <w:szCs w:val="24"/>
        </w:rPr>
        <w:t xml:space="preserve">Nor are nurses’ accounts merely a weak proxy for behaviour. Nisbett and Wilson’s critique concerned introspective access to the cognitive processes underlying judgements, which they distinguished from access to the content of experience.</w:t>
      </w:r>
      <w:r>
        <w:rPr>
          <w:rFonts w:ascii="Times New Roman" w:cs="Times New Roman" w:eastAsia="Times New Roman" w:hAnsi="Times New Roman"/>
          <w:b w:val="false"/>
          <w:bCs w:val="false"/>
          <w:i w:val="false"/>
          <w:iCs w:val="false"/>
          <w:sz w:val="24"/>
          <w:szCs w:val="24"/>
          <w:vertAlign w:val="superscript"/>
        </w:rPr>
        <w:t xml:space="preserve">6</w:t>
      </w:r>
      <w:r>
        <w:rPr>
          <w:rFonts w:ascii="Times New Roman" w:cs="Times New Roman" w:eastAsia="Times New Roman" w:hAnsi="Times New Roman"/>
          <w:b w:val="false"/>
          <w:bCs w:val="false"/>
          <w:i w:val="false"/>
          <w:iCs w:val="false"/>
          <w:sz w:val="24"/>
          <w:szCs w:val="24"/>
        </w:rPr>
        <w:t xml:space="preserve"> Our interviews elicited accounts of concrete clinical episodes and the meanings nurses attached to them. Those meanings have consequences of their own: they shape what senior nurses teach (“I teach junior nurses that the algorithm is one voice”, P19), whether divergence is documented (P16), and whether disagreement feels shared or isolating (P05, P09).</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These are the points at which education and governance can act.</w:t>
      </w:r>
    </w:p>
    <w:p>
      <w:pPr>
        <w:spacing w:after="200" w:line="360"/>
        <w:jc w:val="both"/>
      </w:pPr>
      <w:r>
        <w:rPr>
          <w:rFonts w:ascii="Times New Roman" w:cs="Times New Roman" w:eastAsia="Times New Roman" w:hAnsi="Times New Roman"/>
          <w:b w:val="false"/>
          <w:bCs w:val="false"/>
          <w:i w:val="false"/>
          <w:iCs w:val="false"/>
          <w:sz w:val="24"/>
          <w:szCs w:val="24"/>
        </w:rPr>
        <w:t xml:space="preserve">We also accept that foundational accounts of trust in automation are dynamic.</w:t>
      </w:r>
      <w:r>
        <w:rPr>
          <w:rFonts w:ascii="Times New Roman" w:cs="Times New Roman" w:eastAsia="Times New Roman" w:hAnsi="Times New Roman"/>
          <w:b w:val="false"/>
          <w:bCs w:val="false"/>
          <w:i w:val="false"/>
          <w:iCs w:val="false"/>
          <w:sz w:val="24"/>
          <w:szCs w:val="24"/>
          <w:vertAlign w:val="superscript"/>
        </w:rPr>
        <w:t xml:space="preserve">5</w:t>
      </w:r>
      <w:r>
        <w:rPr>
          <w:rFonts w:ascii="Times New Roman" w:cs="Times New Roman" w:eastAsia="Times New Roman" w:hAnsi="Times New Roman"/>
          <w:b w:val="false"/>
          <w:bCs w:val="false"/>
          <w:i w:val="false"/>
          <w:iCs w:val="false"/>
          <w:sz w:val="24"/>
          <w:szCs w:val="24"/>
        </w:rPr>
        <w:t xml:space="preserve"> Our claim concerned how automation bias has typically been framed in the healthcare literature, in terms of overreliance, complacency and error.</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Lee and See place the evolution of trust within its organisational and cultural context;</w:t>
      </w:r>
      <w:r>
        <w:rPr>
          <w:rFonts w:ascii="Times New Roman" w:cs="Times New Roman" w:eastAsia="Times New Roman" w:hAnsi="Times New Roman"/>
          <w:b w:val="false"/>
          <w:bCs w:val="false"/>
          <w:i w:val="false"/>
          <w:iCs w:val="false"/>
          <w:sz w:val="24"/>
          <w:szCs w:val="24"/>
          <w:vertAlign w:val="superscript"/>
        </w:rPr>
        <w:t xml:space="preserve">5</w:t>
      </w:r>
      <w:r>
        <w:rPr>
          <w:rFonts w:ascii="Times New Roman" w:cs="Times New Roman" w:eastAsia="Times New Roman" w:hAnsi="Times New Roman"/>
          <w:b w:val="false"/>
          <w:bCs w:val="false"/>
          <w:i w:val="false"/>
          <w:iCs w:val="false"/>
          <w:sz w:val="24"/>
          <w:szCs w:val="24"/>
        </w:rPr>
        <w:t xml:space="preserve"> our findings on collegial support, hierarchy, institutional ambivalence and documentation design give that context empirical content in critical care nursing.</w:t>
      </w:r>
    </w:p>
    <w:p>
      <w:pPr>
        <w:keepNext/>
        <w:spacing w:after="120" w:before="240" w:line="360"/>
      </w:pPr>
      <w:r>
        <w:rPr>
          <w:rFonts w:ascii="Times New Roman" w:cs="Times New Roman" w:eastAsia="Times New Roman" w:hAnsi="Times New Roman"/>
          <w:b/>
          <w:bCs/>
          <w:sz w:val="24"/>
          <w:szCs w:val="24"/>
        </w:rPr>
        <w:t xml:space="preserve">3 | FEEDBACK ASYMMETRY: AN EXTENSION WE WELCOME</w:t>
      </w:r>
    </w:p>
    <w:p>
      <w:pPr>
        <w:spacing w:after="200" w:line="360"/>
        <w:jc w:val="both"/>
      </w:pPr>
      <w:r>
        <w:rPr>
          <w:rFonts w:ascii="Times New Roman" w:cs="Times New Roman" w:eastAsia="Times New Roman" w:hAnsi="Times New Roman"/>
          <w:b w:val="false"/>
          <w:bCs w:val="false"/>
          <w:i w:val="false"/>
          <w:iCs w:val="false"/>
          <w:sz w:val="24"/>
          <w:szCs w:val="24"/>
        </w:rPr>
        <w:t xml:space="preserve">The commentators’ central argument, that experience may teach a system’s false alarms more readily than its misses, is persuasive, and our data cannot rule it out. Participants’ exposure to the system ranged from 7 to 26 months,</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and rare missed events may be under-represented in such experience. We regard this as a valuable extension of our account rather than a correction of it, for two reasons.</w:t>
      </w:r>
    </w:p>
    <w:p>
      <w:pPr>
        <w:spacing w:after="200" w:line="360"/>
        <w:jc w:val="both"/>
      </w:pPr>
      <w:r>
        <w:rPr>
          <w:rFonts w:ascii="Times New Roman" w:cs="Times New Roman" w:eastAsia="Times New Roman" w:hAnsi="Times New Roman"/>
          <w:b w:val="false"/>
          <w:bCs w:val="false"/>
          <w:i w:val="false"/>
          <w:iCs w:val="false"/>
          <w:sz w:val="24"/>
          <w:szCs w:val="24"/>
        </w:rPr>
        <w:t xml:space="preserve">First, the commentators’ own example shows how a miss becomes visible: through the nurse’s independent assessment (“The score was fine, but I knew something was wrong”, P09).</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Kahneman and Klein’s conditions for valid intuition include an adequate opportunity to learn an environment’s regularities through practice and feedback.</w:t>
      </w:r>
      <w:r>
        <w:rPr>
          <w:rFonts w:ascii="Times New Roman" w:cs="Times New Roman" w:eastAsia="Times New Roman" w:hAnsi="Times New Roman"/>
          <w:b w:val="false"/>
          <w:bCs w:val="false"/>
          <w:i w:val="false"/>
          <w:iCs w:val="false"/>
          <w:sz w:val="24"/>
          <w:szCs w:val="24"/>
          <w:vertAlign w:val="superscript"/>
        </w:rPr>
        <w:t xml:space="preserve">7</w:t>
      </w:r>
      <w:r>
        <w:rPr>
          <w:rFonts w:ascii="Times New Roman" w:cs="Times New Roman" w:eastAsia="Times New Roman" w:hAnsi="Times New Roman"/>
          <w:b w:val="false"/>
          <w:bCs w:val="false"/>
          <w:i w:val="false"/>
          <w:iCs w:val="false"/>
          <w:sz w:val="24"/>
          <w:szCs w:val="24"/>
        </w:rPr>
        <w:t xml:space="preserve"> At the bedside, the feedback that exposes a model’s silences is produced largely by the continuous surveillance that, we argued, must be “deliberately taught, practised and protected”.</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If surveillance erodes into alert-dependence, the omission-type vulnerability we identified, misses would go not only undetected but unlearned, and experiential trust would be skewed in exactly the way the commentators predict. Feedback asymmetry therefore deepens our principal practice recommendation: independent nursing surveillance is both the safety net and the main source of evidence about what the model misses.</w:t>
      </w:r>
    </w:p>
    <w:p>
      <w:pPr>
        <w:spacing w:after="200" w:line="360"/>
        <w:jc w:val="both"/>
      </w:pPr>
      <w:r>
        <w:rPr>
          <w:rFonts w:ascii="Times New Roman" w:cs="Times New Roman" w:eastAsia="Times New Roman" w:hAnsi="Times New Roman"/>
          <w:b w:val="false"/>
          <w:bCs w:val="false"/>
          <w:i w:val="false"/>
          <w:iCs w:val="false"/>
          <w:sz w:val="24"/>
          <w:szCs w:val="24"/>
        </w:rPr>
        <w:t xml:space="preserve">Second, our data qualify the suggestion that differentiated trust may reflect algorithm aversion. Participants described institutional pressure towards reliance rather than away from it. One still “had to process the escalation because the alert existed” after an alarm whose cause, suctioning, was already known (P17); another described a double bind in which “the algorithm becomes the standard; I become the deviation” (P09).</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Silent override, likewise, was not disregard of the score but an assessed, undocumented judgement: “I look at the alert, look at the patient, know it is not real, and move on” (P16).</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Which way the net bias runs under these conditions is an empirical question for linked behavioural and outcome data, and we agree that it should be answered.</w:t>
      </w:r>
    </w:p>
    <w:p>
      <w:pPr>
        <w:spacing w:after="200" w:line="360"/>
        <w:jc w:val="both"/>
      </w:pPr>
      <w:r>
        <w:rPr>
          <w:rFonts w:ascii="Times New Roman" w:cs="Times New Roman" w:eastAsia="Times New Roman" w:hAnsi="Times New Roman"/>
          <w:b w:val="false"/>
          <w:bCs w:val="false"/>
          <w:i w:val="false"/>
          <w:iCs w:val="false"/>
          <w:sz w:val="24"/>
          <w:szCs w:val="24"/>
        </w:rPr>
        <w:t xml:space="preserve">We also accept the points on anchoring and concordant error. Bedside assessment is neither infallible nor wholly independent of the alert, which is why it cannot be the only reference.</w:t>
      </w:r>
    </w:p>
    <w:p>
      <w:pPr>
        <w:keepNext/>
        <w:spacing w:after="120" w:before="240" w:line="360"/>
      </w:pPr>
      <w:r>
        <w:rPr>
          <w:rFonts w:ascii="Times New Roman" w:cs="Times New Roman" w:eastAsia="Times New Roman" w:hAnsi="Times New Roman"/>
          <w:b/>
          <w:bCs/>
          <w:sz w:val="24"/>
          <w:szCs w:val="24"/>
        </w:rPr>
        <w:t xml:space="preserve">4 | CALIBRATED TO WHAT? TO THE PATIENT, AND TO THE SYSTEM</w:t>
      </w:r>
    </w:p>
    <w:p>
      <w:pPr>
        <w:spacing w:after="200" w:line="360"/>
        <w:jc w:val="both"/>
      </w:pPr>
      <w:r>
        <w:rPr>
          <w:rFonts w:ascii="Times New Roman" w:cs="Times New Roman" w:eastAsia="Times New Roman" w:hAnsi="Times New Roman"/>
          <w:b w:val="false"/>
          <w:bCs w:val="false"/>
          <w:i w:val="false"/>
          <w:iCs w:val="false"/>
          <w:sz w:val="24"/>
          <w:szCs w:val="24"/>
        </w:rPr>
        <w:t xml:space="preserve">Our participants answered the commentators’ question directly: they weighed alerts against the patient in front of them, as captured in our subtheme “When the number does not match the patient”.</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This reflects the central place of knowing the patient in nursing clinical judgement.</w:t>
      </w:r>
      <w:r>
        <w:rPr>
          <w:rFonts w:ascii="Times New Roman" w:cs="Times New Roman" w:eastAsia="Times New Roman" w:hAnsi="Times New Roman"/>
          <w:b w:val="false"/>
          <w:bCs w:val="false"/>
          <w:i w:val="false"/>
          <w:iCs w:val="false"/>
          <w:sz w:val="24"/>
          <w:szCs w:val="24"/>
          <w:vertAlign w:val="superscript"/>
        </w:rPr>
        <w:t xml:space="preserve">8</w:t>
      </w:r>
      <w:r>
        <w:rPr>
          <w:rFonts w:ascii="Times New Roman" w:cs="Times New Roman" w:eastAsia="Times New Roman" w:hAnsi="Times New Roman"/>
          <w:b w:val="false"/>
          <w:bCs w:val="false"/>
          <w:i w:val="false"/>
          <w:iCs w:val="false"/>
          <w:sz w:val="24"/>
          <w:szCs w:val="24"/>
        </w:rPr>
        <w:t xml:space="preserve"> For a single decision at the bedside, the patient’s assessed condition is the reference available in real time. The commentators rightly add that a second reference is needed to know whether learned trust tracks the system’s reliability: local performance data that include missed events.</w:t>
      </w:r>
    </w:p>
    <w:p>
      <w:pPr>
        <w:spacing w:after="200" w:line="360"/>
        <w:jc w:val="both"/>
      </w:pPr>
      <w:r>
        <w:rPr>
          <w:rFonts w:ascii="Times New Roman" w:cs="Times New Roman" w:eastAsia="Times New Roman" w:hAnsi="Times New Roman"/>
          <w:b w:val="false"/>
          <w:bCs w:val="false"/>
          <w:i w:val="false"/>
          <w:iCs w:val="false"/>
          <w:sz w:val="24"/>
          <w:szCs w:val="24"/>
        </w:rPr>
        <w:t xml:space="preserve">We reported that the model’s architecture, training data and locally configured thresholds were held by the vendor and host institutions and were not independently audited, a limitation we acknowledged.</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The external validation the commentators cite concerned a different, sepsis-specific proprietary model,</w:t>
      </w:r>
      <w:r>
        <w:rPr>
          <w:rFonts w:ascii="Times New Roman" w:cs="Times New Roman" w:eastAsia="Times New Roman" w:hAnsi="Times New Roman"/>
          <w:b w:val="false"/>
          <w:bCs w:val="false"/>
          <w:i w:val="false"/>
          <w:iCs w:val="false"/>
          <w:sz w:val="24"/>
          <w:szCs w:val="24"/>
          <w:vertAlign w:val="superscript"/>
        </w:rPr>
        <w:t xml:space="preserve">9</w:t>
      </w:r>
      <w:r>
        <w:rPr>
          <w:rFonts w:ascii="Times New Roman" w:cs="Times New Roman" w:eastAsia="Times New Roman" w:hAnsi="Times New Roman"/>
          <w:b w:val="false"/>
          <w:bCs w:val="false"/>
          <w:i w:val="false"/>
          <w:iCs w:val="false"/>
          <w:sz w:val="24"/>
          <w:szCs w:val="24"/>
        </w:rPr>
        <w:t xml:space="preserve"> whereas our participants used a general physiological deterioration model, so its findings cannot be transposed to our setting. We share, however, the principle it illustrates: local performance should be known, and known to nurses.</w:t>
      </w:r>
    </w:p>
    <w:p>
      <w:pPr>
        <w:spacing w:after="200" w:line="360"/>
        <w:jc w:val="both"/>
      </w:pPr>
      <w:r>
        <w:rPr>
          <w:rFonts w:ascii="Times New Roman" w:cs="Times New Roman" w:eastAsia="Times New Roman" w:hAnsi="Times New Roman"/>
          <w:b w:val="false"/>
          <w:bCs w:val="false"/>
          <w:i w:val="false"/>
          <w:iCs w:val="false"/>
          <w:sz w:val="24"/>
          <w:szCs w:val="24"/>
        </w:rPr>
        <w:t xml:space="preserve">We accept the proposal for symmetric capture of outputs, responses and outcomes from system logs as a refinement of our override field. Our proposal aimed to turn documentation “from a defensive burden into a low-friction source of organisational learning”;</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symmetric capture, including deteriorations that no alert preceded, would achieve this more completely and prevent acceptance from becoming the undocumented default. We had warned against “positioning the algorithm as the default standard against which nursing assessment is judged”;</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on this, we and the commentators are agreed. We likewise endorse nurse-facing performance reports that include missed events, consistent with our recommendations that training address discordant alerts and that nursing leadership be central to AI monitoring and refinement.</w:t>
      </w:r>
      <w:r>
        <w:rPr>
          <w:rFonts w:ascii="Times New Roman" w:cs="Times New Roman" w:eastAsia="Times New Roman" w:hAnsi="Times New Roman"/>
          <w:b w:val="false"/>
          <w:bCs w:val="false"/>
          <w:i w:val="false"/>
          <w:iCs w:val="false"/>
          <w:sz w:val="24"/>
          <w:szCs w:val="24"/>
          <w:vertAlign w:val="superscript"/>
        </w:rPr>
        <w:t xml:space="preserve">2</w:t>
      </w:r>
    </w:p>
    <w:p>
      <w:pPr>
        <w:keepNext/>
        <w:spacing w:after="120" w:before="240" w:line="360"/>
      </w:pPr>
      <w:r>
        <w:rPr>
          <w:rFonts w:ascii="Times New Roman" w:cs="Times New Roman" w:eastAsia="Times New Roman" w:hAnsi="Times New Roman"/>
          <w:b/>
          <w:bCs/>
          <w:sz w:val="24"/>
          <w:szCs w:val="24"/>
        </w:rPr>
        <w:t xml:space="preserve">5 | CONCLUSION: COMPLEMENTARY EVIDENCE</w:t>
      </w:r>
    </w:p>
    <w:p>
      <w:pPr>
        <w:spacing w:after="200" w:line="360"/>
        <w:jc w:val="both"/>
      </w:pPr>
      <w:r>
        <w:rPr>
          <w:rFonts w:ascii="Times New Roman" w:cs="Times New Roman" w:eastAsia="Times New Roman" w:hAnsi="Times New Roman"/>
          <w:b w:val="false"/>
          <w:bCs w:val="false"/>
          <w:i w:val="false"/>
          <w:iCs w:val="false"/>
          <w:sz w:val="24"/>
          <w:szCs w:val="24"/>
        </w:rPr>
        <w:t xml:space="preserve">Our paper called for observational and think-aloud studies and for “linking experiential accounts with EHR audit data, such as override frequencies, alert-response times and patient outcomes”, so that self-reported trust could be “triangulated against observed behaviour”.</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The commentators’ call for behavioural designs is one we share. The two forms of evidence answer different questions. Behavioural studies can show whether reliance tracks reliability; interpretive studies show why nurses rely as they do, what they teach, and which organisational conditions decide whether disagreement is recorded. Neither substitutes for the other.</w:t>
      </w:r>
    </w:p>
    <w:p>
      <w:pPr>
        <w:spacing w:after="200" w:line="360"/>
        <w:jc w:val="both"/>
      </w:pPr>
      <w:r>
        <w:rPr>
          <w:rFonts w:ascii="Times New Roman" w:cs="Times New Roman" w:eastAsia="Times New Roman" w:hAnsi="Times New Roman"/>
          <w:b w:val="false"/>
          <w:bCs w:val="false"/>
          <w:i w:val="false"/>
          <w:iCs w:val="false"/>
          <w:sz w:val="24"/>
          <w:szCs w:val="24"/>
        </w:rPr>
        <w:t xml:space="preserve">“Calibrated to what?” is the right question. Our participants answered it at the bedside: to the patient. The commentators add, rightly, that the system must answer it too. Safe AI-assisted early warning needs both answers, and nurses who keep watching closely enough to provide the first.</w:t>
      </w:r>
    </w:p>
    <w:p>
      <w:pPr>
        <w:keepNext/>
        <w:spacing w:after="120" w:before="240" w:line="360"/>
      </w:pPr>
      <w:r>
        <w:rPr>
          <w:rFonts w:ascii="Times New Roman" w:cs="Times New Roman" w:eastAsia="Times New Roman" w:hAnsi="Times New Roman"/>
          <w:b/>
          <w:bCs/>
          <w:sz w:val="24"/>
          <w:szCs w:val="24"/>
        </w:rPr>
        <w:t xml:space="preserve">CONFLICT OF INTEREST</w:t>
      </w:r>
    </w:p>
    <w:p>
      <w:pPr>
        <w:spacing w:after="200" w:line="360"/>
        <w:jc w:val="both"/>
      </w:pPr>
      <w:r>
        <w:rPr>
          <w:rFonts w:ascii="Times New Roman" w:cs="Times New Roman" w:eastAsia="Times New Roman" w:hAnsi="Times New Roman"/>
          <w:b w:val="false"/>
          <w:bCs w:val="false"/>
          <w:i w:val="false"/>
          <w:iCs w:val="false"/>
          <w:sz w:val="24"/>
          <w:szCs w:val="24"/>
        </w:rPr>
        <w:t xml:space="preserve">The authors declare no conflicts of interest.</w:t>
      </w:r>
    </w:p>
    <w:p>
      <w:pPr>
        <w:keepNext/>
        <w:spacing w:after="120" w:before="240" w:line="360"/>
      </w:pPr>
      <w:r>
        <w:rPr>
          <w:rFonts w:ascii="Times New Roman" w:cs="Times New Roman" w:eastAsia="Times New Roman" w:hAnsi="Times New Roman"/>
          <w:b/>
          <w:bCs/>
          <w:sz w:val="24"/>
          <w:szCs w:val="24"/>
        </w:rPr>
        <w:t xml:space="preserve">REFERENCES</w:t>
      </w:r>
    </w:p>
    <w:p>
      <w:pPr>
        <w:spacing w:after="100" w:line="276"/>
        <w:ind w:left="400" w:hanging="400"/>
        <w:jc w:val="left"/>
      </w:pPr>
      <w:r>
        <w:rPr>
          <w:rFonts w:ascii="Times New Roman" w:cs="Times New Roman" w:eastAsia="Times New Roman" w:hAnsi="Times New Roman"/>
          <w:sz w:val="22"/>
          <w:szCs w:val="22"/>
        </w:rPr>
        <w:t xml:space="preserve">1. [Authors]. Calibrated to what? Feedback asymmetry and the limits of experiential trust in AI-assisted early warning. Nursing in Critical Care. 2026.</w:t>
      </w:r>
    </w:p>
    <w:p>
      <w:pPr>
        <w:spacing w:after="100" w:line="276"/>
        <w:ind w:left="400" w:hanging="400"/>
        <w:jc w:val="left"/>
      </w:pPr>
      <w:r>
        <w:rPr>
          <w:rFonts w:ascii="Times New Roman" w:cs="Times New Roman" w:eastAsia="Times New Roman" w:hAnsi="Times New Roman"/>
          <w:sz w:val="22"/>
          <w:szCs w:val="22"/>
        </w:rPr>
        <w:t xml:space="preserve">2. Samy R, Ramadan OME, Elsayed GEA. Trusting the algorithm or trusting the nurse? Critical care nurses’ experiences of automation bias and professional autonomy in AI-assisted early warning. Nursing in Critical Care. 2026;31:e70620. doi:10.1111/nicc.70620</w:t>
      </w:r>
    </w:p>
    <w:p>
      <w:pPr>
        <w:spacing w:after="100" w:line="276"/>
        <w:ind w:left="400" w:hanging="400"/>
        <w:jc w:val="left"/>
      </w:pPr>
      <w:r>
        <w:rPr>
          <w:rFonts w:ascii="Times New Roman" w:cs="Times New Roman" w:eastAsia="Times New Roman" w:hAnsi="Times New Roman"/>
          <w:sz w:val="22"/>
          <w:szCs w:val="22"/>
        </w:rPr>
        <w:t xml:space="preserve">3. Thorne S. Interpretive Description: Qualitative Research for Applied Practice. 2nd ed. New York: Routledge; 2016.</w:t>
      </w:r>
    </w:p>
    <w:p>
      <w:pPr>
        <w:spacing w:after="100" w:line="276"/>
        <w:ind w:left="400" w:hanging="400"/>
        <w:jc w:val="left"/>
      </w:pPr>
      <w:r>
        <w:rPr>
          <w:rFonts w:ascii="Times New Roman" w:cs="Times New Roman" w:eastAsia="Times New Roman" w:hAnsi="Times New Roman"/>
          <w:sz w:val="22"/>
          <w:szCs w:val="22"/>
        </w:rPr>
        <w:t xml:space="preserve">4. Blumer H. What is wrong with social theory? American Sociological Review. 1954;19(1):3-10.</w:t>
      </w:r>
    </w:p>
    <w:p>
      <w:pPr>
        <w:spacing w:after="100" w:line="276"/>
        <w:ind w:left="400" w:hanging="400"/>
        <w:jc w:val="left"/>
      </w:pPr>
      <w:r>
        <w:rPr>
          <w:rFonts w:ascii="Times New Roman" w:cs="Times New Roman" w:eastAsia="Times New Roman" w:hAnsi="Times New Roman"/>
          <w:sz w:val="22"/>
          <w:szCs w:val="22"/>
        </w:rPr>
        <w:t xml:space="preserve">5. Lee JD, See KA. Trust in automation: designing for appropriate reliance. Human Factors. 2004;46(1):50-80. doi:10.1518/hfes.46.1.50_30392</w:t>
      </w:r>
    </w:p>
    <w:p>
      <w:pPr>
        <w:spacing w:after="100" w:line="276"/>
        <w:ind w:left="400" w:hanging="400"/>
        <w:jc w:val="left"/>
      </w:pPr>
      <w:r>
        <w:rPr>
          <w:rFonts w:ascii="Times New Roman" w:cs="Times New Roman" w:eastAsia="Times New Roman" w:hAnsi="Times New Roman"/>
          <w:sz w:val="22"/>
          <w:szCs w:val="22"/>
        </w:rPr>
        <w:t xml:space="preserve">6. Nisbett RE, Wilson TD. Telling more than we can know: verbal reports on mental processes. Psychological Review. 1977;84(3):231-259. doi:10.1037/0033-295X.84.3.231</w:t>
      </w:r>
    </w:p>
    <w:p>
      <w:pPr>
        <w:spacing w:after="100" w:line="276"/>
        <w:ind w:left="400" w:hanging="400"/>
        <w:jc w:val="left"/>
      </w:pPr>
      <w:r>
        <w:rPr>
          <w:rFonts w:ascii="Times New Roman" w:cs="Times New Roman" w:eastAsia="Times New Roman" w:hAnsi="Times New Roman"/>
          <w:sz w:val="22"/>
          <w:szCs w:val="22"/>
        </w:rPr>
        <w:t xml:space="preserve">7. Kahneman D, Klein G. Conditions for intuitive expertise: a failure to disagree. American Psychologist. 2009;64(6):515-526. doi:10.1037/a0016755</w:t>
      </w:r>
    </w:p>
    <w:p>
      <w:pPr>
        <w:spacing w:after="100" w:line="276"/>
        <w:ind w:left="400" w:hanging="400"/>
        <w:jc w:val="left"/>
      </w:pPr>
      <w:r>
        <w:rPr>
          <w:rFonts w:ascii="Times New Roman" w:cs="Times New Roman" w:eastAsia="Times New Roman" w:hAnsi="Times New Roman"/>
          <w:sz w:val="22"/>
          <w:szCs w:val="22"/>
        </w:rPr>
        <w:t xml:space="preserve">8. Tanner CA. Thinking like a nurse: a research-based model of clinical judgment in nursing. Journal of Nursing Education. 2006;45(6):204-211. doi:10.3928/01484834-20060601-04</w:t>
      </w:r>
    </w:p>
    <w:p>
      <w:pPr>
        <w:spacing w:after="100" w:line="276"/>
        <w:ind w:left="400" w:hanging="400"/>
        <w:jc w:val="left"/>
      </w:pPr>
      <w:r>
        <w:rPr>
          <w:rFonts w:ascii="Times New Roman" w:cs="Times New Roman" w:eastAsia="Times New Roman" w:hAnsi="Times New Roman"/>
          <w:sz w:val="22"/>
          <w:szCs w:val="22"/>
        </w:rPr>
        <w:t xml:space="preserve">9. Wong A, Otles E, Donnelly JP, et al. External validation of a widely implemented proprietary sepsis prediction model in hospitalized patients. JAMA Internal Medicine. 2021;181(8):1065-1070. doi:10.1001/jamainternmed.2021.2626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to the patient: A response to "Calibrated to what?"</dc:title>
  <dc:creator>Osama Mohamed Elsayed Ramadan</dc:creator>
  <cp:lastModifiedBy>Un-named</cp:lastModifiedBy>
  <cp:revision>1</cp:revision>
  <dcterms:created xsi:type="dcterms:W3CDTF">2026-10-08T18:50:25.002Z</dcterms:created>
  <dcterms:modified xsi:type="dcterms:W3CDTF">2026-10-08T18:50:25.002Z</dcterms:modified>
</cp:coreProperties>
</file>

<file path=docProps/custom.xml><?xml version="1.0" encoding="utf-8"?>
<Properties xmlns="http://schemas.openxmlformats.org/officeDocument/2006/custom-properties" xmlns:vt="http://schemas.openxmlformats.org/officeDocument/2006/docPropsVTypes"/>
</file>