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CDE3" w14:textId="77777777" w:rsidR="00CA6A19" w:rsidRPr="00D13016" w:rsidRDefault="00000000">
      <w:pPr>
        <w:bidi w:val="0"/>
        <w:spacing w:line="360" w:lineRule="auto"/>
        <w:jc w:val="both"/>
        <w:rPr>
          <w:rFonts w:asciiTheme="majorBidi" w:hAnsiTheme="majorBidi" w:cstheme="majorBidi"/>
          <w:b/>
          <w:bCs/>
          <w:color w:val="000000" w:themeColor="text1"/>
          <w:sz w:val="28"/>
          <w:szCs w:val="28"/>
        </w:rPr>
      </w:pPr>
      <w:r>
        <w:rPr>
          <w:b/>
          <w:rFonts w:asciiTheme="majorBidi" w:hAnsiTheme="majorBidi" w:cstheme="majorBidi"/>
          <w:color w:val="000000" w:themeColor="text1"/>
          <w:sz w:val="28"/>
          <w:szCs w:val="28"/>
        </w:rPr>
        <w:t xml:space="preserve">Caught between conscience and culture: Moral negotiation, collective defences and obstetric violence in Saudi maternity care</w:t>
      </w:r>
    </w:p>
    <w:p w14:paraId="6693531B" w14:textId="77777777" w:rsidR="00CA6A19" w:rsidRPr="00D13016" w:rsidRDefault="00000000">
      <w:pPr>
        <w:bidi w:val="0"/>
        <w:spacing w:before="240" w:line="360" w:lineRule="auto"/>
        <w:jc w:val="both"/>
        <w:rPr>
          <w:rFonts w:asciiTheme="majorBidi" w:hAnsiTheme="majorBidi" w:cstheme="majorBidi"/>
          <w:color w:val="000000" w:themeColor="text1"/>
        </w:rPr>
      </w:pPr>
      <w:r>
        <w:rPr>
          <w:rFonts w:asciiTheme="majorBidi" w:hAnsiTheme="majorBidi" w:cstheme="majorBidi"/>
          <w:b/>
          <w:color w:val="000000" w:themeColor="text1"/>
        </w:rPr>
        <w:t>Abstract</w:t>
      </w:r>
    </w:p>
    <w:p w14:paraId="3CE82440" w14:textId="77777777" w:rsidR="00CA6A19" w:rsidRPr="00D13016" w:rsidRDefault="00000000" w:rsidP="009E5E4B">
      <w:pPr>
        <w:tabs>
          <w:tab w:val="right" w:pos="0"/>
        </w:tabs>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Obstetric violence is increasingly understood as structural, yet providers' accounts are usually read through moral distress, a concept that locates workplace conflict within the individual. This interpretive description study explored how nurses and midwives negotiate obstetric violence and respectful maternity care in a Saudi tertiary maternity hospital staffed by a female, largely expatriate workforce. Two female researchers interviewed 18 female nurses and midwives in English or Arabic. Reflexive thematic analysis was sensitised by moral distress theory, and the themes were then read through the psychodynamics of work and the concept of invisible loyalties. Four themes were developed: naming harm without an institutional language, sustained by collectively learned silence; the moral weight of constrained participation, lived as ethical suffering and conflicting loyalties to women, colleagues, hierarchy and institution; protective micro-acts and cautious peer alliances; and culture as both shield and cage. Expatriate participants described added vulnerability linked to contractual dependence. We propose moral negotiation as a provisional concept linking individual conscience to the collective organisation of maternity work. Preventing obstetric violence requires cohesive multicultural teams with protected spaces to debate ethical concerns, not only new knowledge or rules.</w:t>
      </w:r>
    </w:p>
    <w:p w14:paraId="7E21E636" w14:textId="77777777" w:rsidR="00CA6A19" w:rsidRPr="00D13016" w:rsidRDefault="00000000">
      <w:pPr>
        <w:bidi w:val="0"/>
        <w:spacing w:after="0" w:line="360" w:lineRule="auto"/>
        <w:jc w:val="both"/>
        <w:rPr>
          <w:rFonts w:asciiTheme="majorBidi" w:hAnsiTheme="majorBidi" w:cstheme="majorBidi"/>
          <w:i/>
          <w:iCs/>
          <w:color w:val="000000" w:themeColor="text1"/>
        </w:rPr>
      </w:pPr>
      <w:r>
        <w:rPr>
          <w:b/>
          <w:rFonts w:asciiTheme="majorBidi" w:hAnsiTheme="majorBidi" w:cstheme="majorBidi"/>
          <w:color w:val="000000" w:themeColor="text1"/>
        </w:rPr>
        <w:t xml:space="preserve">Keywords:</w:t>
      </w:r>
      <w:r>
        <w:rPr>
          <w:rFonts w:asciiTheme="majorBidi" w:hAnsiTheme="majorBidi" w:cstheme="majorBidi"/>
          <w:color w:val="000000" w:themeColor="text1"/>
        </w:rPr>
        <w:t xml:space="preserve"> collective defences; ethical suffering; midwifery; moral distress; nursing; obstetric violence; psychodynamics of work; respectful maternity care</w:t>
      </w:r>
    </w:p>
    <w:p w14:paraId="3A9229A6" w14:textId="77777777" w:rsidR="00CA6A19" w:rsidRPr="00D13016" w:rsidRDefault="00000000" w:rsidP="009E5E4B">
      <w:pPr>
        <w:bidi w:val="0"/>
        <w:spacing w:before="240" w:line="240" w:lineRule="auto"/>
        <w:jc w:val="both"/>
        <w:rPr>
          <w:rFonts w:asciiTheme="majorBidi" w:hAnsiTheme="majorBidi" w:cstheme="majorBidi"/>
          <w:color w:val="000000" w:themeColor="text1"/>
        </w:rPr>
      </w:pPr>
      <w:r>
        <w:rPr>
          <w:rFonts w:asciiTheme="majorBidi" w:hAnsiTheme="majorBidi" w:cstheme="majorBidi"/>
          <w:b/>
          <w:color w:val="000000" w:themeColor="text1"/>
        </w:rPr>
        <w:t>1. Introduction</w:t>
      </w:r>
    </w:p>
    <w:p w14:paraId="145492C9"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Respectful maternity care protects dignity, privacy, confidentiality, informed choice and continuous support during childbirth (World Health Organization, 2025; Puthussery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2023). Bohren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(2015) classified mistreatment into seven overlapping domains: physical, sexual and verbal abuse; stigma and discrimination; failure to meet professional standards; poor rapport; and health-system conditions and constraints. Obstetric violence further foregrounds coercive, non-consented and structurally produced practices within medicalised and hierarchical systems (Yalley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2024; Ferrão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2025). Prevalence varies by definition and setting (Mirzania </w:t>
      </w:r>
      <w:r>
        <w:rPr>
          <w:rFonts w:asciiTheme="majorBidi" w:hAnsiTheme="majorBidi" w:cstheme="majorBidi"/>
          <w:i w:val="0"/>
          <w:color w:val="000000" w:themeColor="text1"/>
        </w:rPr>
        <w:t>et al.</w:t>
      </w:r>
      <w:r>
        <w:rPr>
          <w:rFonts w:asciiTheme="majorBidi" w:hAnsiTheme="majorBidi" w:cstheme="majorBidi"/>
          <w:color w:val="000000" w:themeColor="text1"/>
        </w:rPr>
        <w:t xml:space="preserve">, 2025), while organisational constraints, inequity and communication hierarchy may make harmful practices seem routine (Lunda et al., 2024; Adepoju </w:t>
      </w:r>
      <w:r>
        <w:rPr>
          <w:rFonts w:asciiTheme="majorBidi" w:hAnsiTheme="majorBidi" w:cstheme="majorBidi"/>
          <w:i w:val="0"/>
          <w:color w:val="000000" w:themeColor="text1"/>
        </w:rPr>
        <w:t>et al.</w:t>
      </w:r>
      <w:r>
        <w:rPr>
          <w:rFonts w:asciiTheme="majorBidi" w:hAnsiTheme="majorBidi" w:cstheme="majorBidi"/>
          <w:color w:val="000000" w:themeColor="text1"/>
        </w:rPr>
        <w:t>, 2026; Breman, 2025).</w:t>
      </w:r>
    </w:p>
    <w:p w14:paraId="0B8FD575"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Nurses and midwives work close to threats to dignity and consent yet may have limited authority to challenge routines. They can resist, accommodate, participate in or mitigate compromised care (Collins </w:t>
      </w:r>
      <w:r>
        <w:rPr>
          <w:rFonts w:asciiTheme="majorBidi" w:hAnsiTheme="majorBidi" w:cstheme="majorBidi"/>
          <w:i w:val="0"/>
          <w:color w:val="000000" w:themeColor="text1"/>
        </w:rPr>
        <w:t>et al.</w:t>
      </w:r>
      <w:r>
        <w:rPr>
          <w:rFonts w:asciiTheme="majorBidi" w:hAnsiTheme="majorBidi" w:cstheme="majorBidi"/>
          <w:color w:val="000000" w:themeColor="text1"/>
        </w:rPr>
        <w:t>, 2026). Provider-focused evidence identifies organisational, professional and cultural constraints, but less clearly explains how practitioners reconcile conscience, constraint and responsibility (Guzmán-Guevara et al., 2026). Their accounts must therefore be analysed as those of participants within, rather than observers outside, systems of care.</w:t>
      </w:r>
    </w:p>
    <w:p w14:paraId="27FC91F8"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lastRenderedPageBreak/>
        <w:t>1.1 Gender, culture and the multinational maternity workforce</w:t>
      </w:r>
    </w:p>
    <w:p w14:paraId="1F788DDE"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Maternity work in Saudi Arabia rests on a strongly gendered division of labour. Religious and cultural norms of modesty mean that women are cared for by female nurses and midwives, while family and social attitudes towards mixed-gender work have long limited Saudi women's entry into, and retention in, nursing (Davies &amp; Yarrow, 2025; Miller-Rosser et al., 2006). The same norms restrict Saudi men's clinical placements and employment in services for women and children (Banakhar et al., 2021). Maternity care is therefore staffed almost entirely by women, a large proportion of whom are expatriates, producing multinational and multilingual teams (Al Ansari et al., 2026; Almansour et al., 2023). Saudi female nurses describe negotiating professional identity against cultural expectations in hierarchical hospital settings (Alshehri et al., 2025), and nurses and midwives generally practise within medical and managerial hierarchies that shape professional voice (Khaled Al Abdulqader et al., 2025; Naughton et al., 2025). Migration, contractual dependency and cultural or linguistic distance may further influence perceived security, belonging and the capacity to work as a team (Abou Hashish &amp; Alnajjar, 2025; Almansour et al., 2023). Gender, nationality, status and employment position were therefore treated as intersecting dimensions of the work context, not as bases for formal subgroup comparison.</w:t>
      </w:r>
    </w:p>
    <w:p w14:paraId="6EE74F05"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Saudi studies report limited shared decision-making (Alruwaili et al., 2024), variable cultural sensitivity (Alodhialah &amp; Alahmedi, 2025) and women’s perceptions of respectful care (Alghamdi </w:t>
      </w:r>
      <w:r>
        <w:rPr>
          <w:rFonts w:asciiTheme="majorBidi" w:hAnsiTheme="majorBidi" w:cstheme="majorBidi"/>
          <w:i w:val="0"/>
          <w:color w:val="000000" w:themeColor="text1"/>
        </w:rPr>
        <w:t>et al.</w:t>
      </w:r>
      <w:r>
        <w:rPr>
          <w:rFonts w:asciiTheme="majorBidi" w:hAnsiTheme="majorBidi" w:cstheme="majorBidi"/>
          <w:color w:val="000000" w:themeColor="text1"/>
        </w:rPr>
        <w:t>, 2023). Provider-side moral and organisational experiences remain underexamined.</w:t>
      </w:r>
    </w:p>
    <w:p w14:paraId="3ACF56B2" w14:textId="2E801DB8"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 study was sensitised by moral distress, moral residue and the crescendo effect. Moral distress occurs when a practitioner identifies an ethically appropriate action but is constrained from taking it (Jameton, 1993); moral residue is the enduring burden of serious moral compromise (Webster &amp; Baylis, 2000); and the crescendo effect describes accumulation across repeated unresolved events (Epstein &amp; Hamric, 2009). These concepts are widely used in nursing, but they have recognised limitations. Their expansion into an umbrella term for almost any difficult experience at work has weakened conceptual clarity (McCarthy &amp; Deady, 2008; Morley et al., 2019), and by locating the problem in the individual's mental state they can individualise difficulties that arise from how work, teams and institutions are organised (Varcoe et al., 2012). Respectful maternity care, by contrast, is a collective accomplishment of teams, services and institutions (World Health Organization, 2025). We therefore used moral distress concepts to sensitise attention, without determining codes or themes, and at the interpretive stage read the findings alongside two collective perspectives: the psychodynamics of work, which locates ethical suffering and defensive strategies in the shared organisation of work (Dejours, 1998; Dejours &amp; Deranty, 2010), and invisible loyalties, in which obligations to several parties with incompatible expectations generate conflict (Boszormenyi-Nagy &amp; Spark, 1973). Professional conscience refers to practitioners' ethically informed awareness of, and accountability to, the care they believe ought to be provided (Czarnecki et al., 2019). The six constraint categories in Figure 1 (gender/professional hierarchy, multinational workforce position, workload/resource pressure, privacy/modesty expectations, family involvement and cultural/linguistic distance) were synthesised a priori from prior literature and the Saudi policy context (Almansour et al., 2023; Bohren et al., 2015; World Health Organization, 2025); they were neither study-generated findings nor deductive codes. Moral negotiation was proposed provisionally as the relational, often tacit process through which maternity professionals, individually and as work groups, navigate conscience, constraint and responsibility.</w:t>
      </w:r>
    </w:p>
    <w:p w14:paraId="3F3DC973"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Three gaps converge. Provider-side moral processes are less developed than women-centred accounts; Saudi tertiary settings are underexamined despite a gendered, multinational workforce; and moral distress in midwifery is rarely integrated with obstetric violence and respectful maternity care, or examined in relation to the collective dynamics of maternity teams (Rost et al., 2025; Varcoe et al., 2012). Moral negotiation is examined here as a provisional bridge, not a replacement for established constructs.</w:t>
      </w:r>
    </w:p>
    <w:p w14:paraId="40661200"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This study explored how nurses and midwives morally negotiate obstetric violence and respectful maternity care in a Saudi tertiary maternity setting. It asked how they recognise and interpret obstetric violence; how they negotiate tensions among conscience, team norms and institutional or sociocultural expectations; and how they understand the conditions that shape respectful care and advocacy.</w:t>
      </w:r>
    </w:p>
    <w:p w14:paraId="62B7F09B" w14:textId="77777777" w:rsidR="002436C8" w:rsidRPr="00D13016" w:rsidRDefault="002436C8" w:rsidP="002436C8">
      <w:pPr>
        <w:bidi w:val="0"/>
        <w:spacing w:before="240" w:after="0" w:line="240" w:lineRule="auto"/>
        <w:rPr>
          <w:rFonts w:asciiTheme="majorBidi" w:hAnsiTheme="majorBidi" w:cstheme="majorBidi"/>
          <w:i/>
          <w:iCs/>
          <w:color w:val="000000" w:themeColor="text1"/>
        </w:rPr>
      </w:pPr>
    </w:p>
    <w:p w14:paraId="34420F21" w14:textId="77777777" w:rsidR="002436C8" w:rsidRPr="00D13016" w:rsidRDefault="002436C8" w:rsidP="002436C8">
      <w:pPr>
        <w:spacing w:after="0" w:line="240" w:lineRule="auto"/>
      </w:pPr>
    </w:p>
    <w:p w14:paraId="0FADFF9C" w14:textId="77777777" w:rsidR="002436C8" w:rsidRPr="00D13016" w:rsidRDefault="002436C8" w:rsidP="002436C8">
      <w:pPr>
        <w:spacing w:after="0"/>
      </w:pPr>
    </w:p>
    <w:p w14:paraId="57905F3C" w14:textId="77777777" w:rsidR="002436C8" w:rsidRPr="00D13016" w:rsidRDefault="002436C8" w:rsidP="002436C8">
      <w:pPr>
        <w:spacing w:after="0"/>
        <w:rPr>
          <w:rtl/>
        </w:rPr>
      </w:pPr>
    </w:p>
    <w:p w14:paraId="39E9295E" w14:textId="77777777" w:rsidR="00CA6A19" w:rsidRPr="00D13016" w:rsidRDefault="00000000" w:rsidP="002436C8">
      <w:pPr>
        <w:bidi w:val="0"/>
        <w:spacing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lastRenderedPageBreak/>
        <w:t>2. Methods</w:t>
      </w:r>
    </w:p>
    <w:p w14:paraId="40E4DC41"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2.1 Design</w:t>
      </w:r>
    </w:p>
    <w:p w14:paraId="26E2930A"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This Interpretive Description study sought clinically meaningful patterns and variations across practitioners’ accounts (Thorne, 2025; Thompson Burdine et al., 2021). A constructivist–interpretivist position recognised that accounts and analysis were relationally and contextually produced. Moral distress, moral residue and the crescendo effect were sensitising, not deductive, constructs. Reflexive thematic analysis was methodologically coherent with this design (Wilson, 2025).</w:t>
      </w:r>
      <w:r>
        <w:rPr>
          <w:rFonts w:asciiTheme="majorBidi" w:hAnsiTheme="majorBidi" w:cstheme="majorBidi"/>
          <w:color w:val="000000" w:themeColor="text1"/>
        </w:rPr>
        <w:t xml:space="preserve"> Consistent with interpretive description's iterative use of theory, two collective perspectives, the psychodynamics of work and invisible loyalties, were introduced after the thematic structure had been developed, to test and extend the moral distress reading rather than to recode the data.</w:t>
      </w:r>
    </w:p>
    <w:p w14:paraId="5D2FAFE9"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2.2 Setting</w:t>
      </w:r>
    </w:p>
    <w:p w14:paraId="097C7037"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study took place in one tertiary maternity referral hospital in central Saudi Arabia, providing routine, emergency and high-risk services. The national policy context included the Saudi Childbirth Initiative guidebook (Ministry of Health, Kingdom of Saudi Arabia, 2023). The hospital had general patient-rights, consent and safety policies, but no stand-alone obstetric-violence policy; staff awareness of applicable policies was not systematically assessed.</w:t>
      </w:r>
    </w:p>
    <w:p w14:paraId="05E9970C"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2.3 Participants and sampling</w:t>
      </w:r>
    </w:p>
    <w:p w14:paraId="6D544926"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Eligible participants were registered nurses or midwives with at least one year of maternity experience and recent direct intrapartum or peripartum care; exclusively administrative or non-clinical staff were excluded. Purposive maximum-variation sampling used a matrix spanning </w:t>
      </w:r>
      <w:r>
        <w:rPr>
          <w:rFonts w:asciiTheme="majorBidi" w:hAnsiTheme="majorBidi" w:cstheme="majorBidi"/>
          <w:color w:val="000000" w:themeColor="text1"/>
        </w:rPr>
        <w:t xml:space="preserve">role, experience, nationality and unit</w:t>
      </w:r>
      <w:r>
        <w:rPr>
          <w:rFonts w:asciiTheme="majorBidi" w:hAnsiTheme="majorBidi" w:cstheme="majorBidi"/>
          <w:color w:val="000000" w:themeColor="text1"/>
        </w:rPr>
        <w:t xml:space="preserve"> (Ahmad &amp; Wilkins, 2025). Interested staff contacted the researcher; selection proceeded iteratively to fill under-represented cells. A small, unrecorded number of later volunteers were not interviewed after the intended variation and information-power needs were met. The number of eligible staff who did not volunteer was not recorded, so a participation rate cannot be calculated.</w:t>
      </w:r>
      <w:r>
        <w:rPr>
          <w:rFonts w:asciiTheme="majorBidi" w:hAnsiTheme="majorBidi" w:cstheme="majorBidi"/>
          <w:color w:val="000000" w:themeColor="text1"/>
        </w:rPr>
        <w:t xml:space="preserve"> All eligible staff were women: in the study setting, intrapartum and postnatal care of women is provided by female nurses and midwives.</w:t>
      </w:r>
    </w:p>
    <w:p w14:paraId="558733EF"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final sample comprised 18 participants. Adequacy was assessed through information power, considering the focused aim, sample specificity, theoretical orientation, dialogue quality and cross-case analysis (Malterud et al., 2016). From interview 12, the team reviewed conceptual yield; interviews 15–18 principally refined existing interpretations. This was an information-power judgement, not a claim of saturation.</w:t>
      </w:r>
    </w:p>
    <w:p w14:paraId="3EE03EDA"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2.4 Recruitment and consent</w:t>
      </w:r>
    </w:p>
    <w:p w14:paraId="3BD801AB"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Recruitment and data collection occurred over approximately four months in 2025 after ethical approval and hospital administrative permission. Nursing leadership distributed information, but interested staff contacted the lead researcher directly. Participants received information at least </w:t>
        <w:lastRenderedPageBreak/>
        <w:t>48 hours before providing written consent, including consent for possible later member reflection. Participation was voluntary, withdrawal was permitted without consequence, and no incentive was offered.</w:t>
      </w:r>
    </w:p>
    <w:p w14:paraId="68C4DA1B"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2.5 Data collection</w:t>
      </w:r>
    </w:p>
    <w:p w14:paraId="62F0279B"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Two female researchers conducted private, individual semi-structured interviews because the topic was professionally sensitive: the lead researcher, a PhD-prepared nurse academic in maternal and child health nursing with qualitative research expertise, and a second female co-author, also a nurse academic. Neither had a clinical, supervisory or evaluative relationship with participants. The study's only male co-author did not recruit, interview or meet participants. Two pre-study reflexive discussions documented assumptions and power dynamics and informed guide refinement. No non-participants were present. Each participant completed one interview; no repeat interviews were conducted.</w:t>
      </w:r>
    </w:p>
    <w:p w14:paraId="322C516E"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bilingual English–Arabic guide was developed from the study aim, sensitising constructs and relevant literature, reviewed by two senior nurse researchers, and pilot-tested with two maternity nurses excluded from the sample. Minor revisions improved clarity, cultural sensitivity, flow and alignment. The guide used during data collection is reproduced unchanged in Supplementary File S1.</w:t>
      </w:r>
    </w:p>
    <w:p w14:paraId="693CC6EB"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guide covered recognition of respectful and harmful care; moral tension; responses, coping and advocacy; and organisational, cultural and professional influences. Examples were: “Can you describe a situation in which you felt uncertain about whether a woman’s dignity, privacy, or choices were fully respected?” and “Can you tell me about a time when you felt that care was not meeting the standard you believe it should? What happened within yourself and within the team?” Interviews were conducted in English (n = 12) or Arabic (n = 6) in a private non-clinical room, lasted 42–74 minutes (mean 54), and were audio-recorded with consent. Field notes and reflexive memos were completed.</w:t>
      </w:r>
    </w:p>
    <w:p w14:paraId="5BA81D08" w14:textId="77777777" w:rsidR="00CA6A19" w:rsidRPr="00D13016" w:rsidRDefault="00000000">
      <w:pPr>
        <w:bidi w:val="0"/>
        <w:spacing w:before="160" w:line="240" w:lineRule="auto"/>
        <w:jc w:val="both"/>
        <w:rPr>
          <w:rFonts w:asciiTheme="majorBidi" w:hAnsiTheme="majorBidi" w:cstheme="majorBidi"/>
          <w:color w:val="000000" w:themeColor="text1"/>
        </w:rPr>
      </w:pPr>
      <w:r>
        <w:rPr>
          <w:rFonts w:asciiTheme="majorBidi" w:hAnsiTheme="majorBidi" w:cstheme="majorBidi"/>
          <w:b/>
          <w:color w:val="000000" w:themeColor="text1"/>
        </w:rPr>
        <w:t>2.6 Data management</w:t>
      </w:r>
    </w:p>
    <w:p w14:paraId="5B6E98D1" w14:textId="0CE987F9"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Interviews were transcribed verbatim in the interview language; Arabic transcripts were translated into English. A second team member checked transcripts against audio. Bilingual members reviewed Arabic and English versions for conceptual equivalence, resolving ambiguous or culturally specific expressions. Reported translated excerpts were rechecked against the transcript and audio.</w:t>
      </w:r>
    </w:p>
    <w:p w14:paraId="3CE96CC2"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Transcripts were de-identified as P1–P18. Data were stored on an encrypted institutional server accessible only to the team. Audio was deleted after verification; de-identified transcripts, </w:t>
        <w:lastRenderedPageBreak/>
        <w:t>notes, memos and analytic documents were retained under institutional data-governance requirements.</w:t>
      </w:r>
    </w:p>
    <w:p w14:paraId="61FE185B"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2.7 Data analysis</w:t>
      </w:r>
    </w:p>
    <w:p w14:paraId="6BF938A4"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Data were analysed using Braun and Clarke’s six-phase reflexive thematic analysis within Interpretive Description (Braun &amp; Clarke, 2006, 2019; Wilson, 2025). The lead researcher formally coded the full dataset. Coding was data-led within a theoretically sensitised, hybrid analysis: the interview guide and moral constructs shaped attention, but codes and themes were not fixed in advance. Codes were compared within and across cases and developed into candidate themes. A subtheme was retained only when it expressed a coherent pattern of shared meaning, was meaningfully distinct from adjacent subthemes, added explanatory value for the research questions, and had adequate depth or recurrence across accounts and supporting extracts. No frequency threshold, saturation criterion or inter-coder reliability metric was used. NVivo 14 supported organisation and retrieval only. The team returned to full transcripts, tested boundaries, sought counter-patterns and documented revisions in the audit trail. The positive-care accounts in Theme 4c countered an exclusively constraint-based interpretation. P11’s account was treated as within-subtheme divergence, not a negative case. During analytic review, two thin and overlapping subthemes in Theme 3 were combined as “Strategic resistance and cautious alliance.”</w:t>
      </w:r>
    </w:p>
    <w:p w14:paraId="6BF938A4"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Rival interpretations were tested deliberately. For each candidate theme, the team asked whether accounts were better understood as individual distress, as shared team norms, or as structural or cultural arrangements, and retained the reading that best fitted the full transcripts rather than the sensitising concepts. Moral distress concepts were treated as one possible lens, not as evidence for themselves.</w:t>
      </w:r>
    </w:p>
    <w:p w14:paraId="52FEE6C2"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2.8 Rigour and trustworthiness</w:t>
      </w:r>
    </w:p>
    <w:p w14:paraId="27D4CDB3" w14:textId="21877F6A" w:rsidR="00C64829" w:rsidRPr="00D13016" w:rsidRDefault="00000000" w:rsidP="00672BA5">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Trustworthiness followed credibility, dependability, confirmability and transferability (Lincoln &amp; Guba, 1985). Six participants, </w:t>
      </w:r>
      <w:r>
        <w:rPr>
          <w:rFonts w:asciiTheme="majorBidi" w:hAnsiTheme="majorBidi" w:cstheme="majorBidi"/>
          <w:color w:val="000000" w:themeColor="text1"/>
        </w:rPr>
        <w:t xml:space="preserve">purposively varied by role, experience, nationality and unit</w:t>
      </w:r>
      <w:r>
        <w:rPr>
          <w:rFonts w:asciiTheme="majorBidi" w:hAnsiTheme="majorBidi" w:cstheme="majorBidi"/>
          <w:color w:val="000000" w:themeColor="text1"/>
        </w:rPr>
        <w:t xml:space="preserve">, reviewed summary interpretations and could confirm, clarify or challenge them; feedback refined the analysis rather than serving as a validity vote (Vella, 2024). Transcripts were not returned for correction or comment. An audit trail contained the guide, reflexive journal, coding records, evolving codebook, memos and decision log. An external qualitative nurse researcher debriefed the team at three stages (Ahmed, 2024). A second researcher independently reviewed 20% of already-coded transcripts and raised alternatives for discussion; this was an analytic challenge, not duplicate coding or inter-coder reliability (Braun &amp; Clarke, 2019). Maximum variation and contextual description supported transferability (Drisko, 2025).</w:t>
      </w:r>
    </w:p>
    <w:p w14:paraId="29D89E3B"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2.9 Reflexivity and positionality</w:t>
      </w:r>
    </w:p>
    <w:p w14:paraId="763B18EB"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 six academic nurse and midwife researchers (five women and one man) had expertise across maternal and child health, midwifery, administration, education, community and mental health nursing, with Saudi and Egyptian professional and cultural backgrounds. The lead researcher coded the full dataset; </w:t>
      </w:r>
      <w:r>
        <w:rPr>
          <w:rFonts w:asciiTheme="majorBidi" w:hAnsiTheme="majorBidi" w:cstheme="majorBidi"/>
          <w:color w:val="000000" w:themeColor="text1"/>
        </w:rPr>
        <w:t xml:space="preserve">co-authors, including the male co-author, reviewed de-identified extracts</w:t>
      </w:r>
      <w:r>
        <w:rPr>
          <w:rFonts w:asciiTheme="majorBidi" w:hAnsiTheme="majorBidi" w:cstheme="majorBidi"/>
          <w:color w:val="000000" w:themeColor="text1"/>
        </w:rPr>
        <w:t xml:space="preserve">, challenged interpretations and contributed to theme development. None held a clinical, supervisory, managerial or evaluative role at the hospital.</w:t>
      </w:r>
    </w:p>
    <w:p w14:paraId="5437E741"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Both interviewers were women, as were all participants. Shared gender and, for some participants, shared language or nationality may have eased disclosure about intimate aspects of childbirth care, but could also produce assumed understandings that went unprobed; interviewers therefore asked participants to explain practices they might take for granted. In a strongly status-hierarchised setting, the interviewers' academic position could still be perceived as authority, although they held no institutional role at the hospital. The male co-author, a senior academic, had no contact with participants; because his gender and status could nonetheless shape interpretation of women's work and care, his readings were discussed and challenged within the predominantly female team. Gender positioning, status, professional identity and power were documented in the reflexive journal and revisited during team analysis.</w:t>
      </w:r>
    </w:p>
    <w:p w14:paraId="7FAF9A6D"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journal also recorded assumptions, affective responses and emerging interpretations. Recruitment independent of line management, private interviews, open questions, reminders that questions could be declined and peer debriefing were used to reduce power and social-desirability pressures.</w:t>
      </w:r>
    </w:p>
    <w:p w14:paraId="0EC4446E"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2.10 Ethical considerations</w:t>
      </w:r>
    </w:p>
    <w:p w14:paraId="1A81FB1E"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 Institutional Review Board of [blinded for review] approved the study (reference number blinded for review)</w:t>
      </w:r>
      <w:r>
        <w:rPr>
          <w:rFonts w:asciiTheme="majorBidi" w:hAnsiTheme="majorBidi" w:cstheme="majorBidi"/>
          <w:color w:val="000000" w:themeColor="text1"/>
        </w:rPr>
        <w:t xml:space="preserve">, and hospital administrative permission preceded data collection. Procedures followed the Declaration of Helsinki. Written informed consent, confidentiality, de-identification and secure storage were maintained. Occupational well-being support was available; no participant stopped an interview or withdrew. No identifiable person, unit or institution is reported.</w:t>
      </w:r>
    </w:p>
    <w:p w14:paraId="078B687F"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2.11 Reporting guideline</w:t>
      </w:r>
    </w:p>
    <w:p w14:paraId="0A348544" w14:textId="77777777" w:rsidR="00CA6A19" w:rsidRPr="00D13016" w:rsidRDefault="00000000" w:rsidP="000A7601">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Reporting follows the 32-item COREQ checklist (Tong et al., 2007), used as a reporting aid rather than a substitute for methodological coherence. The corrected checklist is Supplementary File S2.</w:t>
      </w:r>
    </w:p>
    <w:p w14:paraId="1BE92CDD" w14:textId="77777777" w:rsidR="00CA6A19" w:rsidRPr="00D13016" w:rsidRDefault="00000000">
      <w:pPr>
        <w:bidi w:val="0"/>
        <w:spacing w:before="24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3. Findings</w:t>
      </w:r>
    </w:p>
    <w:p w14:paraId="5B6AE5BD" w14:textId="77777777" w:rsidR="00CA6A19" w:rsidRPr="00D13016" w:rsidRDefault="00000000">
      <w:pPr>
        <w:bidi w:val="0"/>
        <w:spacing w:before="160"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3.1 Participant characteristics</w:t>
      </w:r>
    </w:p>
    <w:p w14:paraId="2EFC5A21" w14:textId="77777777" w:rsidR="00CA6A19" w:rsidRPr="00D13016" w:rsidRDefault="00000000">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Eighteen female nurses and midwives participated, aged 26–51 years (mean 37.2, SD 6.8), with 1–24 years of maternity experience (mean 9.6, SD 5.4). They represented nursing and midwifery roles, three service areas and multinational backgrounds (three Saudi and 15 non-Saudi participants); 12 interviews were in English and six in Arabic. Characteristics are aggregated to protect anonymity (Table 1).</w:t>
      </w:r>
    </w:p>
    <w:p w14:paraId="08C65B3F" w14:textId="77777777" w:rsidR="00CA6A19" w:rsidRPr="00D13016" w:rsidRDefault="00000000" w:rsidP="000A7601">
      <w:pPr>
        <w:bidi w:val="0"/>
        <w:spacing w:before="16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3.2 Thematic findings</w:t>
      </w:r>
    </w:p>
    <w:p w14:paraId="3CA7226E" w14:textId="303A7221" w:rsidR="00CA6A19" w:rsidRPr="00D13016" w:rsidRDefault="00000000" w:rsidP="000A7601">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Analysis generated four interrelated themes explaining how participants recognised harm, carried unresolved ethical burden, protected women through limited actions and navigated cultural and organisational conditions. Subthemes represented distinct patterns of shared meaning rather than topic labels or frequency counts. Their boundaries were tested through within- and cross-case comparisons for coherence, distinctiveness, explanatory value, variation, and fit with the extracts. Analytic review combined two overlapping Theme 3 subthemes. Table 2 provides illustrative </w:t>
        <w:lastRenderedPageBreak/>
        <w:t>anchors for rapid traceability; the narrative and full dataset, not the repeated excerpts alone, support the interpretations.</w:t>
      </w:r>
    </w:p>
    <w:p w14:paraId="184D12F5" w14:textId="77777777" w:rsidR="00EC66B3" w:rsidRPr="00D13016" w:rsidRDefault="00EC66B3" w:rsidP="00EC66B3">
      <w:pPr>
        <w:bidi w:val="0"/>
        <w:spacing w:before="60" w:after="0" w:line="240" w:lineRule="auto"/>
        <w:rPr>
          <w:rFonts w:asciiTheme="majorBidi" w:hAnsiTheme="majorBidi" w:cstheme="majorBidi"/>
          <w:color w:val="000000" w:themeColor="text1"/>
        </w:rPr>
      </w:pPr>
    </w:p>
    <w:p w14:paraId="7422A8F0"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b/>
          <w:rFonts w:asciiTheme="majorBidi" w:hAnsiTheme="majorBidi" w:cstheme="majorBidi"/>
          <w:color w:val="000000" w:themeColor="text1"/>
        </w:rPr>
        <w:t xml:space="preserve">Theme 1. Naming what could not be named: recognising obstetric violence without a shared institutional language</w:t>
      </w:r>
    </w:p>
    <w:p w14:paraId="70B7F2E0"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Participants recognised practices they perceived as disrespectful, coercive or harmful but lacked an institutional vocabulary for documenting, discussing or escalating them. What they shared instead was a tacit, collectively learned way of not naming: labels such as difficult, non-compliant, routine or clinically necessary circulated within teams and could displace an ethical interpretation.</w:t>
      </w:r>
    </w:p>
    <w:p w14:paraId="5BED6699"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1a. Seeing without language</w:t>
      </w:r>
    </w:p>
    <w:p w14:paraId="3D85D2B9"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Recognition was often immediate and embodied, yet difficult to articulate within formal systems:</w:t>
      </w:r>
    </w:p>
    <w:p w14:paraId="51F1E690"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You feel it before you know what to call it. A woman is crying or shouting, and someone tells her to be quiet. You think this is not right. But what do you write? There is no place to write this. (P1)</w:t>
      </w:r>
    </w:p>
    <w:p w14:paraId="4826F69B"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A second participant described how available terminology shaped practice:</w:t>
      </w:r>
    </w:p>
    <w:p w14:paraId="19CF7F6A"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Nobody called it obstetric violence. We used other words, like difficult or non-compliant. These were the words available to us, even when we knew something else was happening. (P4)</w:t>
      </w:r>
    </w:p>
    <w:p w14:paraId="4857B696"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Without shared language, concerns tended to remain private rather than enter quality, safety or accountability processes.</w:t>
      </w:r>
      <w:r>
        <w:rPr>
          <w:rFonts w:asciiTheme="majorBidi" w:hAnsiTheme="majorBidi" w:cstheme="majorBidi"/>
          <w:color w:val="000000" w:themeColor="text1"/>
        </w:rPr>
        <w:t xml:space="preserve"> The plural 'we' in P4's account suggests that these substitute labels formed a shared team vocabulary rather than an individual failure to recognise harm.</w:t>
      </w:r>
    </w:p>
    <w:p w14:paraId="3D8A229A" w14:textId="77777777" w:rsidR="00EC66B3" w:rsidRPr="00D13016" w:rsidRDefault="00EC66B3" w:rsidP="00672BA5">
      <w:pPr>
        <w:bidi w:val="0"/>
        <w:spacing w:after="0" w:line="240" w:lineRule="auto"/>
        <w:ind w:firstLine="720"/>
        <w:jc w:val="both"/>
        <w:rPr>
          <w:rFonts w:asciiTheme="majorBidi" w:hAnsiTheme="majorBidi" w:cstheme="majorBidi"/>
          <w:color w:val="000000" w:themeColor="text1"/>
        </w:rPr>
      </w:pPr>
    </w:p>
    <w:p w14:paraId="6804715B"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 xml:space="preserve">1b. Normalisation as protection</w:t>
      </w:r>
    </w:p>
    <w:p w14:paraId="0D7D9A3C"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Repeated exposure could make troubling practices feel routine or expected. Participants described this as psychological self-protection that enabled continued work under limited control, while potentially sustaining compromised care.</w:t>
      </w:r>
      <w:r>
        <w:rPr>
          <w:rFonts w:asciiTheme="majorBidi" w:hAnsiTheme="majorBidi" w:cstheme="majorBidi"/>
          <w:color w:val="000000" w:themeColor="text1"/>
        </w:rPr>
        <w:t xml:space="preserve"> The generic 'you' that participants used to describe how one learns to stop reacting suggested a socially learned norm rather than a purely private adjustment.</w:t>
      </w:r>
    </w:p>
    <w:p w14:paraId="2692B209"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lastRenderedPageBreak/>
        <w:t xml:space="preserve">After some time, you stop reacting to everything. You tell yourself this is how it is done, this is the routine, this is what is expected. It becomes easier to continue. (P18)</w:t>
      </w:r>
    </w:p>
    <w:p w14:paraId="64C4CC9F"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P11 described a troubling interruption to habituation:</w:t>
      </w:r>
    </w:p>
    <w:p w14:paraId="6CEAE94B"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 xml:space="preserve">At first, I was very upset. Later, I became quieter. Then I realised I was no longer noticing things in the same way. That worried me. (P11)</w:t>
      </w:r>
    </w:p>
    <w:p w14:paraId="0B04D3EA"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findings suggest that normalisation may have functioned as moral self-protection and could have reduced recognition or challenge. P11 was not a negative case in the strict sense: habituation was present, but reflexive alarm interrupted complete acceptance. This within-subtheme divergence refined the interpretation from uniform desensitisation to a contested process.</w:t>
      </w:r>
    </w:p>
    <w:p w14:paraId="5342809D" w14:textId="77777777" w:rsidR="00CA6A19" w:rsidRPr="00D13016" w:rsidRDefault="00000000" w:rsidP="00EC66B3">
      <w:pPr>
        <w:bidi w:val="0"/>
        <w:spacing w:line="240" w:lineRule="auto"/>
        <w:jc w:val="both"/>
        <w:rPr>
          <w:rFonts w:asciiTheme="majorBidi" w:hAnsiTheme="majorBidi" w:cstheme="majorBidi"/>
          <w:color w:val="000000" w:themeColor="text1"/>
        </w:rPr>
      </w:pPr>
      <w:r>
        <w:rPr>
          <w:rFonts w:asciiTheme="majorBidi" w:hAnsiTheme="majorBidi" w:cstheme="majorBidi"/>
          <w:b/>
          <w:color w:val="000000" w:themeColor="text1"/>
        </w:rPr>
        <w:t>1c. The hierarchy of who may speak</w:t>
      </w:r>
    </w:p>
    <w:p w14:paraId="394CE140"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Recognition did not ensure disclosure. Seniority, role, nationality and employment security shaped whether speaking felt safe:</w:t>
      </w:r>
    </w:p>
    <w:p w14:paraId="556A2266"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 xml:space="preserve">I can see what is happening, but I also think about my position. If I speak and someone complains, I may be the one blamed. So I stay quiet, even when I know it is not right. (P9)</w:t>
      </w:r>
    </w:p>
    <w:p w14:paraId="63B68E33"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A junior participant described silence as learned professional practice:</w:t>
      </w:r>
    </w:p>
    <w:p w14:paraId="6D7A30FD"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You learn quickly who can speak and who cannot. At the beginning, you watch and learn. You also learn which things are not safe to question. (P7)</w:t>
      </w:r>
    </w:p>
    <w:p w14:paraId="03B63A6C"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These accounts describe silence as learned collectively, by observing which questions colleagues avoided, and as constrained by hierarchy and role; they do not identify the gender of senior decision-makers.</w:t>
      </w:r>
    </w:p>
    <w:p w14:paraId="00EBF2EA"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Theme 2. The moral weight of constrained participation: distress and accumulated ethical burden</w:t>
      </w:r>
    </w:p>
    <w:p w14:paraId="250B3E0A" w14:textId="3B57C001" w:rsidR="00EC66B3"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Participants described the burden of recognising, accommodating or being implicated in care they considered inconsistent with dignity and consent. Constrained action could persist beyond the encounter.</w:t>
      </w:r>
      <w:r>
        <w:rPr>
          <w:rFonts w:asciiTheme="majorBidi" w:hAnsiTheme="majorBidi" w:cstheme="majorBidi"/>
          <w:color w:val="000000" w:themeColor="text1"/>
        </w:rPr>
        <w:t xml:space="preserve"> Several accounts described being pulled between obligations to the woman, to colleagues and seniors, and to their own professional standing.</w:t>
      </w:r>
    </w:p>
    <w:p w14:paraId="4E7738FB" w14:textId="77777777" w:rsidR="00EC66B3" w:rsidRPr="00D13016" w:rsidRDefault="00EC66B3" w:rsidP="00672BA5">
      <w:pPr>
        <w:spacing w:after="0" w:line="240" w:lineRule="auto"/>
      </w:pPr>
    </w:p>
    <w:p w14:paraId="0DF22067"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2a. Knowing and not acting</w:t>
      </w:r>
    </w:p>
    <w:p w14:paraId="1CD1B9E8"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They distinguished ethically constrained inaction from clinical uncertainty:</w:t>
      </w:r>
    </w:p>
    <w:p w14:paraId="34D5AC62"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She was crying because of how she was spoken to. I was beside her, holding her hand, but I could not challenge what was happening. I tried to comfort her, but inside I felt I had failed her. (P16)</w:t>
      </w:r>
    </w:p>
    <w:p w14:paraId="044300CD"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lastRenderedPageBreak/>
        <w:t>A second account emphasised the enduring effect of silence:</w:t>
      </w:r>
    </w:p>
    <w:p w14:paraId="198259BE"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You feel hurt because it happened, and then you feel hurt again because you did not say anything. The second feeling stays longer. (P13)</w:t>
      </w:r>
    </w:p>
    <w:p w14:paraId="38B99A60" w14:textId="77777777" w:rsidR="00CA6A19" w:rsidRPr="00D13016" w:rsidRDefault="00000000" w:rsidP="00EC66B3">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Distress arose in the gap between conscience and perceived authority, and was often experienced as having failed the woman in order to avoid confronting the team.</w:t>
      </w:r>
    </w:p>
    <w:p w14:paraId="4364323C" w14:textId="77777777" w:rsidR="00CA6A19" w:rsidRPr="00D13016" w:rsidRDefault="00000000" w:rsidP="00EC66B3">
      <w:pPr>
        <w:bidi w:val="0"/>
        <w:spacing w:line="360" w:lineRule="auto"/>
        <w:jc w:val="both"/>
        <w:rPr>
          <w:rFonts w:asciiTheme="majorBidi" w:hAnsiTheme="majorBidi" w:cstheme="majorBidi"/>
          <w:color w:val="000000" w:themeColor="text1"/>
        </w:rPr>
      </w:pPr>
      <w:r>
        <w:rPr>
          <w:rFonts w:asciiTheme="majorBidi" w:hAnsiTheme="majorBidi" w:cstheme="majorBidi"/>
          <w:b/>
          <w:color w:val="000000" w:themeColor="text1"/>
        </w:rPr>
        <w:t>2b. Carrying what could not be put down</w:t>
      </w:r>
    </w:p>
    <w:p w14:paraId="75E80E12"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Unresolved discomfort followed participants beyond the shift through replayed events and self-questioning:</w:t>
      </w:r>
    </w:p>
    <w:p w14:paraId="6270C66B"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 go home, and I am still thinking about what happened. I ask myself what I could have said or done differently. Sometimes there is no answer that makes it feel better. (P5)</w:t>
      </w:r>
    </w:p>
    <w:p w14:paraId="1B78D6B5"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Some memories persisted across years of practice:</w:t>
      </w:r>
    </w:p>
    <w:p w14:paraId="05D19D72"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There are women I still remember. Not every detail, but certain moments stay with you. You learn to continue, but you do not really forget. (P8)</w:t>
      </w:r>
    </w:p>
    <w:p w14:paraId="5591E106"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These accounts are consistent with moral residue after repeated unresolved compromise.</w:t>
      </w:r>
    </w:p>
    <w:p w14:paraId="58728F60" w14:textId="77777777" w:rsidR="00CA6A19" w:rsidRPr="00D13016" w:rsidRDefault="00000000" w:rsidP="00EC66B3">
      <w:pPr>
        <w:bidi w:val="0"/>
        <w:spacing w:line="360" w:lineRule="auto"/>
        <w:jc w:val="both"/>
        <w:rPr>
          <w:rFonts w:asciiTheme="majorBidi" w:hAnsiTheme="majorBidi" w:cstheme="majorBidi"/>
          <w:color w:val="000000" w:themeColor="text1"/>
        </w:rPr>
      </w:pPr>
      <w:r>
        <w:rPr>
          <w:rFonts w:asciiTheme="majorBidi" w:hAnsiTheme="majorBidi" w:cstheme="majorBidi"/>
          <w:b/>
          <w:color w:val="000000" w:themeColor="text1"/>
        </w:rPr>
        <w:t>2c. The quiet erosion of professional identity</w:t>
      </w:r>
    </w:p>
    <w:p w14:paraId="3DF33ACE"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Repeated compromise could also reshape professional identity towards caution and self-protection:</w:t>
      </w:r>
    </w:p>
    <w:p w14:paraId="3723BE03"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 became a midwife because I wanted to support women and protect them. Sometimes I feel I spend more energy protecting myself. That is difficult to accept. (P2)</w:t>
      </w:r>
    </w:p>
    <w:p w14:paraId="713D565F"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P2’s account links constrained action to identity erosion. Together with P11’s alarm at habituation, it shows that adaptation was neither emotionally neutral nor complete.</w:t>
      </w:r>
    </w:p>
    <w:p w14:paraId="5927802F" w14:textId="77777777" w:rsidR="00CA6A19" w:rsidRPr="00D13016" w:rsidRDefault="00000000" w:rsidP="00EC66B3">
      <w:pPr>
        <w:bidi w:val="0"/>
        <w:spacing w:line="360" w:lineRule="auto"/>
        <w:jc w:val="both"/>
        <w:rPr>
          <w:rFonts w:asciiTheme="majorBidi" w:hAnsiTheme="majorBidi" w:cstheme="majorBidi"/>
          <w:color w:val="000000" w:themeColor="text1"/>
        </w:rPr>
      </w:pPr>
      <w:r>
        <w:rPr>
          <w:rFonts w:asciiTheme="majorBidi" w:hAnsiTheme="majorBidi" w:cstheme="majorBidi"/>
          <w:b/>
          <w:color w:val="000000" w:themeColor="text1"/>
        </w:rPr>
        <w:t>Theme 3. Negotiating in the margins: strategies of conscience within constrained systems</w:t>
      </w:r>
    </w:p>
    <w:p w14:paraId="5B6D66B6" w14:textId="62A0353E"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Participants also described limited but meaningful opportunities to preserve dignity and conscience through small acts, indirect resistance, and trusted relationships, rather than through routine confrontation.</w:t>
      </w:r>
    </w:p>
    <w:p w14:paraId="0F0A3394"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3a. Micro-acts of protection</w:t>
      </w:r>
    </w:p>
    <w:p w14:paraId="156977FB"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Micro-acts preserved privacy, understanding, presence or emotional safety:</w:t>
      </w:r>
    </w:p>
    <w:p w14:paraId="0A2C890A" w14:textId="77777777" w:rsidR="00CA6A19"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 cannot always change the decision, but I can close the curtain, explain gently, or stay beside her. Maybe it is small, but for the woman, it can still matter. (P6)</w:t>
      </w:r>
    </w:p>
    <w:p w14:paraId="62EF4488" w14:textId="77777777" w:rsidR="00672BA5" w:rsidRDefault="00672BA5" w:rsidP="00672BA5">
      <w:pPr>
        <w:bidi w:val="0"/>
        <w:spacing w:after="0" w:line="360" w:lineRule="auto"/>
        <w:ind w:left="720" w:right="432"/>
        <w:jc w:val="both"/>
        <w:rPr>
          <w:rFonts w:asciiTheme="majorBidi" w:hAnsiTheme="majorBidi" w:cstheme="majorBidi"/>
          <w:color w:val="000000" w:themeColor="text1"/>
        </w:rPr>
      </w:pPr>
    </w:p>
    <w:p w14:paraId="7919DA95" w14:textId="77777777" w:rsidR="00672BA5" w:rsidRPr="00D13016" w:rsidRDefault="00672BA5" w:rsidP="00672BA5">
      <w:pPr>
        <w:bidi w:val="0"/>
        <w:spacing w:after="0" w:line="360" w:lineRule="auto"/>
        <w:ind w:left="720" w:right="432"/>
        <w:jc w:val="both"/>
        <w:rPr>
          <w:rFonts w:asciiTheme="majorBidi" w:hAnsiTheme="majorBidi" w:cstheme="majorBidi"/>
          <w:color w:val="000000" w:themeColor="text1"/>
        </w:rPr>
      </w:pPr>
    </w:p>
    <w:p w14:paraId="69920897"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lastRenderedPageBreak/>
        <w:t>Presence itself could be protective:</w:t>
      </w:r>
    </w:p>
    <w:p w14:paraId="22607F65"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Sometimes I ask if she wants me to stay. If she says yes, I stay when I can. It gives her some comfort, and it gives me a way to feel I am still doing my role. (P14)</w:t>
      </w:r>
    </w:p>
    <w:p w14:paraId="6B0406CD"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These acts mattered to participants and women but remained bounded responses within the system.</w:t>
      </w:r>
    </w:p>
    <w:p w14:paraId="1485E0C2" w14:textId="77777777" w:rsidR="00CA6A19" w:rsidRPr="00D13016" w:rsidRDefault="00000000" w:rsidP="00EC66B3">
      <w:pPr>
        <w:bidi w:val="0"/>
        <w:spacing w:line="360" w:lineRule="auto"/>
        <w:jc w:val="both"/>
        <w:rPr>
          <w:rFonts w:asciiTheme="majorBidi" w:hAnsiTheme="majorBidi" w:cstheme="majorBidi"/>
          <w:color w:val="000000" w:themeColor="text1"/>
        </w:rPr>
      </w:pPr>
      <w:r>
        <w:rPr>
          <w:rFonts w:asciiTheme="majorBidi" w:hAnsiTheme="majorBidi" w:cstheme="majorBidi"/>
          <w:b/>
          <w:color w:val="000000" w:themeColor="text1"/>
        </w:rPr>
        <w:t>3b. Strategic resistance and cautious alliance</w:t>
      </w:r>
    </w:p>
    <w:p w14:paraId="6F0C36BC"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Participants sometimes complied outwardly with hierarchy while privately reducing harm, and they relied on trusted colleagues for low-risk ethical support:</w:t>
      </w:r>
    </w:p>
    <w:p w14:paraId="429CB658"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In front of the senior person, you may not argue. Later, you return to the woman, explain again, and try to make the situation less frightening for her. (P10)</w:t>
      </w:r>
    </w:p>
    <w:p w14:paraId="110C251D"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This was an indirect survival strategy, not evidence that structural constraints had been resolved.</w:t>
      </w:r>
    </w:p>
    <w:p w14:paraId="19F88688"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Trusted peer alliances extended this low-risk resistance:</w:t>
      </w:r>
    </w:p>
    <w:p w14:paraId="6E4DBD56"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There are a few colleagues I can talk to honestly. We do not speak openly in front of everyone, but we support each other. It helps us continue and not feel alone. (P17)</w:t>
      </w:r>
    </w:p>
    <w:p w14:paraId="37657358"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The two forms were combined because both involved indirect, relationship-dependent action under perceived risk.</w:t>
      </w:r>
      <w:r>
        <w:rPr>
          <w:rFonts w:asciiTheme="majorBidi" w:hAnsiTheme="majorBidi" w:cstheme="majorBidi"/>
          <w:color w:val="000000" w:themeColor="text1"/>
        </w:rPr>
        <w:t xml:space="preserve"> These alliances were bounded and private ('we do not speak openly in front of everyone'): they offered mutual support but did not amount to an open, team-level space for debating care.</w:t>
      </w:r>
    </w:p>
    <w:p w14:paraId="4A06CE69"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Theme 4. Culture as both shield and cage: navigating sociocultural expectations in maternity care</w:t>
      </w:r>
    </w:p>
    <w:p w14:paraId="632D3BE1" w14:textId="325B5C38"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Culture was not a fixed cause of disrespect. It functioned as an interpretive resource that could justify limited communication or women’s participation, but could also support privacy, modesty, family involvement and trust.</w:t>
      </w:r>
      <w:r>
        <w:rPr>
          <w:rFonts w:asciiTheme="majorBidi" w:hAnsiTheme="majorBidi" w:cstheme="majorBidi"/>
          <w:color w:val="000000" w:themeColor="text1"/>
        </w:rPr>
        <w:t xml:space="preserve"> Culture was central, rather than peripheral, to the moral negotiations described in every theme.</w:t>
      </w:r>
    </w:p>
    <w:p w14:paraId="595F07F3"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4a. Cultural explanations as moral cover</w:t>
      </w:r>
    </w:p>
    <w:p w14:paraId="2DC0D231"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Participants sometimes saw cultural explanations closing down women’s wishes or further questioning:</w:t>
      </w:r>
    </w:p>
    <w:p w14:paraId="594C5E44"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 xml:space="preserve">Sometimes people say, this is the culture; the family decides. But when you speak to the woman, she may have her own wishes. She may just not feel able to say them clearly. (P15)</w:t>
      </w:r>
    </w:p>
    <w:p w14:paraId="61C946F2"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One participant acknowledged using the same explanation to manage personal discomfort:</w:t>
      </w:r>
    </w:p>
    <w:p w14:paraId="01B38F81"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I also used to say it is cultural, maybe to make myself feel less responsible. Later, I felt that the explanation was not enough. (P3)</w:t>
      </w:r>
    </w:p>
    <w:p w14:paraId="6094F651" w14:textId="77777777" w:rsidR="00CA6A19" w:rsidRPr="00D13016" w:rsidRDefault="00000000" w:rsidP="00EC66B3">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lastRenderedPageBreak/>
        <w:t>The distinction is between culturally respectful care and invoking culture to limit voice, privacy or participation.</w:t>
      </w:r>
    </w:p>
    <w:p w14:paraId="4DBA72F2"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4b. The expatriate moral position</w:t>
      </w:r>
    </w:p>
    <w:p w14:paraId="04D87F84"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Expatriate participants linked cultural distance and employment dependency to moral restraint: conscience remained active, but speaking felt less secure.</w:t>
      </w:r>
    </w:p>
    <w:p w14:paraId="00A09704" w14:textId="77777777" w:rsidR="00CA6A19" w:rsidRPr="00D13016" w:rsidRDefault="00000000" w:rsidP="00EC66B3">
      <w:pPr>
        <w:bidi w:val="0"/>
        <w:spacing w:after="0"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For me, the calculation is different. I need to think about my job, my contract, and how my words may be understood. So even when I am uncomfortable, I have to be careful. (P1)</w:t>
      </w:r>
    </w:p>
    <w:p w14:paraId="2BCE2070" w14:textId="77777777" w:rsidR="00CA6A19" w:rsidRPr="00D13016" w:rsidRDefault="00000000" w:rsidP="00EC66B3">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A second account connected provisional belonging with uncertainty about speaking:</w:t>
      </w:r>
    </w:p>
    <w:p w14:paraId="1DBF3412"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You feel you are a guest. You want to respect the place and the culture, but sometimes you also feel something is not right. It is difficult to know how to speak. (P9)</w:t>
      </w:r>
    </w:p>
    <w:p w14:paraId="4B3D4B2D" w14:textId="77777777" w:rsidR="00CA6A19" w:rsidRPr="00D13016" w:rsidRDefault="00000000" w:rsidP="00680AF8">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Unlike cultural explanation in 4a, this subtheme concerns participants’ own agency under workforce vulnerability.</w:t>
      </w:r>
    </w:p>
    <w:p w14:paraId="0979DB20"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b/>
          <w:color w:val="000000" w:themeColor="text1"/>
        </w:rPr>
        <w:t>4c. When conscience and culture converge</w:t>
      </w:r>
    </w:p>
    <w:p w14:paraId="22D80749" w14:textId="77777777" w:rsidR="00CA6A19" w:rsidRPr="00D13016" w:rsidRDefault="00000000" w:rsidP="00680AF8">
      <w:pPr>
        <w:bidi w:val="0"/>
        <w:spacing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Participants also described occasions when professional values, cultural sensitivity and institutional practice aligned:</w:t>
      </w:r>
    </w:p>
    <w:p w14:paraId="549C38E3"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There was a doctor who explained everything and asked permission before each examination. The woman became calmer, and the whole room felt different. That is the kind of care we want to give. (P4)</w:t>
      </w:r>
    </w:p>
    <w:p w14:paraId="083F2D3E" w14:textId="77777777" w:rsidR="00CA6A19" w:rsidRPr="00D13016" w:rsidRDefault="00000000" w:rsidP="00EC66B3">
      <w:pPr>
        <w:bidi w:val="0"/>
        <w:spacing w:after="0" w:line="360" w:lineRule="auto"/>
        <w:jc w:val="both"/>
        <w:rPr>
          <w:rFonts w:asciiTheme="majorBidi" w:hAnsiTheme="majorBidi" w:cstheme="majorBidi"/>
          <w:color w:val="000000" w:themeColor="text1"/>
        </w:rPr>
      </w:pPr>
      <w:r>
        <w:rPr>
          <w:rFonts w:asciiTheme="majorBidi" w:hAnsiTheme="majorBidi" w:cstheme="majorBidi"/>
          <w:color w:val="000000" w:themeColor="text1"/>
        </w:rPr>
        <w:t>Such occasions could be professionally restorative:</w:t>
      </w:r>
    </w:p>
    <w:p w14:paraId="7AB74FA7" w14:textId="77777777" w:rsidR="00CA6A19" w:rsidRPr="00D13016" w:rsidRDefault="00000000" w:rsidP="00EC66B3">
      <w:pPr>
        <w:bidi w:val="0"/>
        <w:spacing w:line="360" w:lineRule="auto"/>
        <w:ind w:left="720" w:right="432"/>
        <w:jc w:val="both"/>
        <w:rPr>
          <w:rFonts w:asciiTheme="majorBidi" w:hAnsiTheme="majorBidi" w:cstheme="majorBidi"/>
          <w:color w:val="000000" w:themeColor="text1"/>
        </w:rPr>
      </w:pPr>
      <w:r>
        <w:rPr>
          <w:rFonts w:asciiTheme="majorBidi" w:hAnsiTheme="majorBidi" w:cstheme="majorBidi"/>
          <w:i/>
          <w:color w:val="000000" w:themeColor="text1"/>
        </w:rPr>
        <w:t>When the woman is supported, the team is respectful, and nobody is rushing, you can see what maternity care should be. It does not happen all the time, but when it does, it reminds you that it is possible. (P16)</w:t>
      </w:r>
    </w:p>
    <w:p w14:paraId="6577B958" w14:textId="77777777" w:rsidR="00CA6A19" w:rsidRPr="00D13016" w:rsidRDefault="00000000" w:rsidP="00680AF8">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These accounts counter an exclusively constraint-based interpretation. They describe isolated perceptions, not sustained organisational change or its frequency, and do not capture women’s own assessment of choice and support.</w:t>
      </w:r>
    </w:p>
    <w:p w14:paraId="3D0E5297" w14:textId="77777777" w:rsidR="00CA6A19" w:rsidRPr="00D13016" w:rsidRDefault="00000000" w:rsidP="00680AF8">
      <w:pPr>
        <w:bidi w:val="0"/>
        <w:spacing w:line="240" w:lineRule="auto"/>
        <w:jc w:val="both"/>
        <w:rPr>
          <w:rFonts w:asciiTheme="majorBidi" w:hAnsiTheme="majorBidi" w:cstheme="majorBidi"/>
          <w:color w:val="000000" w:themeColor="text1"/>
        </w:rPr>
      </w:pPr>
      <w:r>
        <w:rPr>
          <w:rFonts w:asciiTheme="majorBidi" w:hAnsiTheme="majorBidi" w:cstheme="majorBidi"/>
          <w:b/>
          <w:color w:val="000000" w:themeColor="text1"/>
        </w:rPr>
        <w:t>3.3 Summary of findings</w:t>
      </w:r>
    </w:p>
    <w:p w14:paraId="69833ABA" w14:textId="77777777" w:rsidR="00CA6A19" w:rsidRPr="00D13016" w:rsidRDefault="00000000" w:rsidP="00680AF8">
      <w:pPr>
        <w:bidi w:val="0"/>
        <w:spacing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Moral negotiation comprised overlapping forms of moral work that were both individual and collective: recognising harm within shared norms of not naming, carrying unresolved burden and conflicting loyalties, using protective strategies and cautious peer alliances, and navigating culture as constraint and resource. Participants accommodated, resisted and tried to reshape care while remaining accountable within, and dependent on, their teams and institutions.</w:t>
      </w:r>
    </w:p>
    <w:p w14:paraId="6A70E389" w14:textId="77777777" w:rsidR="00CA6A19" w:rsidRPr="00D13016" w:rsidRDefault="00000000">
      <w:pPr>
        <w:bidi w:val="0"/>
        <w:spacing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lastRenderedPageBreak/>
        <w:t>4. Discussion</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Four themes showed moral negotiation as a relational process through which participants recognised harm, carried constrained responsibility, acted within limited spaces and interpreted culture as both constraint and resource. Moral distress concepts helped to name participants' ethical experience (Aljabery et al., 2024), but read alone they risk individualising what the accounts presented as shared: a common vocabulary of 'difficult' women, silence learned from colleagues, and alliances kept private (McCarthy &amp; Deady, 2008; Varcoe et al., 2012). We therefore propose moral negotiation not as a further intrapsychic state but as a concept describing how individual conscience is worked out within collective work norms, team relationships and institutional hierarchy. It is a sensitising bridge, not a replacement for established constructs, and requires examination beyond this single study.</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rPr>
        <w:t xml:space="preserve">4.1 From individual distress to collective defences</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Read through the psychodynamics of work, Theme 1 appears less as an individual failure to recognise harm than as a collective defensive strategy. Dejours (1998) describes how work groups facing suffering they cannot change develop shared defences, including trivialisation and the collective avoidance of certain topics, that protect members but also make unacceptable practices seem ordinary. Participants' accounts of substitute labels, normalisation learned over time and knowing 'which things are not safe to question' are consistent with such shared censorship and self-censorship. This reading refines our initial interpretation: what was absent was an institutional language for harm, not a shared work framework; the framework that existed tacitly regulated what could be said.</w:t>
      </w:r>
    </w:p>
    <w:p w14:paraId="3830833D" w14:textId="7A9E8CB4"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Recognition without usable institutional language left concerns individualised rather than documented or governed. International respectful-care vocabulary needs local reporting, review and response procedures (Mira-Catalá et al., 2024), but new vocabulary alone is unlikely to dissolve defences that teams sustain together. Participants linked constrained action with distress that could persist as residue and accumulate across events (Epstein &amp; Hamric, 2009; Rost et al., 2025; Webster &amp; Baylis, 2000). The findings suggest, but cannot establish causally, that normalisation may protect practitioners while reducing challenge.</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rPr>
        <w:t xml:space="preserve">4.2 Ethical suffering and invisible loyalties</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Theme 2 can likewise be read as ethical suffering: the suffering of taking part in, or witnessing without reacting to, what one disapproves of, when professional norms of good work conflict with the practical norms of a setting (Dejours, 1998; Dejours &amp; Deranty, 2010). Such suffering may lead to defences, including trivialisation, or to exhaustion, guilt and leaving the profession. The accounts also suggest loyalty conflicts (Boszormenyi-Nagy &amp; Spark, 1973). Participants were bound to the woman, to colleagues, to seniors, to the institution and to their own values, so that loyalty to one party could feel like betrayal of another, as in P16's sense of having 'failed her' while not challenging what was happening. These loyalties were largely invisible and exceeded a simple moral dilemma. Framed this way, moral residue is not only a personal burden but a trace of unresolved conflicts built into how care work is organised.</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Theme 3 then describes largely individual and small-group defensive strategies. Micro-acts of privacy, presence and re-explanation, and trusted peer support, preserved conscience and mattered to women, but they remained private and did not alter the collective norms described in Theme 1. They cannot substitute for organisational accountability, safe escalation and multilevel respectful-care interventions (Cantor et al., 2024; Kasaye et al., 2023; Lober et al., 2026).</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rPr>
        <w:t xml:space="preserve">4.3 Gendered work, hierarchy and the multinational team</w:t>
      </w:r>
    </w:p>
    <w:p w14:paraId="5FC2E73C" w14:textId="3103A81F"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 hierarchies participants described must be understood within the gendered organisation of Saudi care work. Maternity care in the setting was delivered by an all-female nursing and midwifery workforce, within medical and managerial structures in which status, profession and gender intersect (Alshehri et al., 2025; Miller-Rosser et al., 2006). Traces of these hierarchies appear in P9's anticipation of blame and P7's learning of 'who can speak and who cannot' (Theme 1c). Because interviews did not systematically identify the gender of senior decision-makers, we do not claim a gender-specific mechanism.</w:t>
      </w:r>
    </w:p>
    <w:p w14:paraId="1DF5545D" w14:textId="0C69CD72"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Participants also acknowledged their own accommodation or use of culture (P3, P11). Moral negotiation therefore includes accountability for compromise, although responsibility was not systematically probed. Expatriate participants described added vulnerability through cultural distance, employment dependency and perceived limits to protection. Reliance on expatriate staff is itself partly a consequence of gendered barriers to Saudi women's and men's entry into nursing (Banakhar et al., 2021; Miller-Rosser et al., 2006), and it produces multicultural teams in which differences of language, norms and contractual security can make working as a team difficult and leave coordination to hierarchy (Abou Hashish &amp; Alnajjar, 2025; Khaled Al Abdulqader et al., 2025; Salvador &amp; Almahmoud, 2025). The data do not support a formal subgroup comparison.</w:t>
      </w:r>
    </w:p>
    <w:p w14:paraId="39E957E2" w14:textId="2EF91B0E"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Culture was central to every theme: it could constrain participation or support modesty, family involvement and trust. The ethical concern is not culture itself, but its use to close down women's voice or professional questioning; respectful care must protect dignity, consent and informed choice while honouring women's values (World Health Organization, 2025).</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rPr>
        <w:t xml:space="preserve">4.4 Implications: from prescribed rules to collective deliberation</w:t>
      </w:r>
    </w:p>
    <w:p w14:paraId="3378F81C" w14:textId="13E53001" w:rsidR="00CA6A19" w:rsidRPr="00D13016" w:rsidRDefault="00000000" w:rsidP="00680AF8">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These readings change the implications. If silence and normalisation are produced collectively, preventing obstetric violence and promoting respectful maternity care cannot rest mainly on individual good practice, the dissemination of knowledge or prescribed work rules. They require team cohesion grounded in the possibility of openly debating what counts as good work, working in partnership, and solidarity around shared values (Dejours &amp; Deranty, 2010; Liaschenko &amp; Peter, 2016). Services could establish protected, regular spaces in which midwives, nurses and physicians discuss real cases and question routines without blame; develop language and reporting pathways for harm with staff rather than for them; and build solidarity across nationalities, for example through mentoring that pairs Saudi and expatriate staff and leadership that protects those whose contractual position constrains voice. In multicultural teams with many expatriates, this collective work is especially demanding and should be resourced as part of care rather than treated as an add-on. Ethics support and reflective debriefing remain important but should be designed as team resources, not only individual ones, and interventions should include women's participation.</w:t>
      </w:r>
    </w:p>
    <w:p w14:paraId="47DD3CB0" w14:textId="77777777" w:rsidR="00CA6A19" w:rsidRPr="00D13016" w:rsidRDefault="00000000">
      <w:pPr>
        <w:bidi w:val="0"/>
        <w:spacing w:before="160" w:after="0" w:line="240" w:lineRule="auto"/>
        <w:jc w:val="both"/>
        <w:rPr>
          <w:rFonts w:asciiTheme="majorBidi" w:hAnsiTheme="majorBidi" w:cstheme="majorBidi"/>
          <w:color w:val="000000" w:themeColor="text1"/>
        </w:rPr>
      </w:pPr>
      <w:r>
        <w:rPr>
          <w:b/>
          <w:rFonts w:asciiTheme="majorBidi" w:hAnsiTheme="majorBidi" w:cstheme="majorBidi"/>
          <w:color w:val="000000" w:themeColor="text1"/>
        </w:rPr>
        <w:t xml:space="preserve">4.5 Strengths and limitations</w:t>
      </w:r>
    </w:p>
    <w:p w14:paraId="4FF4BF92" w14:textId="263A76DE" w:rsidR="00CA6A19" w:rsidRPr="00D13016" w:rsidRDefault="00000000" w:rsidP="00B63D02">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Strengths include an underexamined provider perspective, practice-oriented interpretive description, bilingual interviews, maximum variation, and reflexive team-based challenge, member reflection and an audit trail. Several limitations apply. The moral distress lens is individual in orientation; although rival collective interpretations were tested and the Discussion draws on the psychodynamics of work and loyalty theory, these perspectives were applied after data collection, and individual interviews give only indirect access to group dynamics. Focus groups, observation or collective inquiry would examine shared defences more directly. Theory also shapes interpretation, so moral negotiation is offered as a provisional concept rather than a finding confirmed by the theories used to frame it. The single-site sample limits transferability and precludes formal comparison by experience or nationality. The sample was entirely female, reflecting maternity staffing in the setting. Prior respectful-care training, policy awareness, responsibility and the gender of senior decision-makers were not systematically elicited. The interviewers' shared gender may have eased disclosure, but their academic status and social desirability may still have shaped accounts. Information power supports adequacy for the focused aim but is not saturation. Only nurses and midwives were included; women, physicians, managers and policymakers may offer different accounts.</w:t>
      </w:r>
    </w:p>
    <w:p w14:paraId="7B661615" w14:textId="77777777" w:rsidR="00CA6A19" w:rsidRPr="00D13016" w:rsidRDefault="00000000">
      <w:pPr>
        <w:bidi w:val="0"/>
        <w:spacing w:before="240" w:after="0" w:line="240" w:lineRule="auto"/>
        <w:jc w:val="both"/>
        <w:rPr>
          <w:rFonts w:asciiTheme="majorBidi" w:hAnsiTheme="majorBidi" w:cstheme="majorBidi"/>
          <w:color w:val="000000" w:themeColor="text1"/>
        </w:rPr>
      </w:pPr>
      <w:r>
        <w:rPr>
          <w:rFonts w:asciiTheme="majorBidi" w:hAnsiTheme="majorBidi" w:cstheme="majorBidi"/>
          <w:b/>
          <w:color w:val="000000" w:themeColor="text1"/>
        </w:rPr>
        <w:t>5. Conclusion</w:t>
      </w:r>
    </w:p>
    <w:p w14:paraId="166A1FDD" w14:textId="77777777" w:rsidR="00CA6A19" w:rsidRPr="00D13016" w:rsidRDefault="00000000">
      <w:pPr>
        <w:bidi w:val="0"/>
        <w:spacing w:before="240" w:after="0" w:line="360" w:lineRule="auto"/>
        <w:ind w:firstLine="720"/>
        <w:jc w:val="both"/>
        <w:rPr>
          <w:rFonts w:asciiTheme="majorBidi" w:hAnsiTheme="majorBidi" w:cstheme="majorBidi"/>
          <w:color w:val="000000" w:themeColor="text1"/>
        </w:rPr>
      </w:pPr>
      <w:r>
        <w:rPr>
          <w:rFonts w:asciiTheme="majorBidi" w:hAnsiTheme="majorBidi" w:cstheme="majorBidi"/>
          <w:color w:val="000000" w:themeColor="text1"/>
        </w:rPr>
        <w:t xml:space="preserve">Nurses and midwives described moral negotiation through recognising harm within shared norms of silence, carrying unresolved burden and conflicting loyalties, using protective strategies and cautious alliances, and navigating cultural and organisational constraints while remaining implicated in care. Moral negotiation is offered as a provisional concept linking individual moral distress with the collective organisation of maternity work. Respectful maternity care therefore depends on cohesive, multicultural teams with protected spaces to debate ethical concerns, shared values and safe collective advocacy, supported by leadership that safeguards staff whose hierarchical or employment position constrains voice.</w:t>
      </w:r>
    </w:p>
    <w:p w14:paraId="00551B0F" w14:textId="77777777" w:rsidR="00CA6A19" w:rsidRPr="00D13016" w:rsidRDefault="00000000">
      <w:pPr>
        <w:bidi w:val="0"/>
        <w:spacing w:before="240" w:after="0" w:line="360" w:lineRule="auto"/>
        <w:ind w:firstLine="720"/>
        <w:jc w:val="both"/>
        <w:rPr>
          <w:rFonts w:asciiTheme="majorBidi" w:hAnsiTheme="majorBidi" w:cstheme="majorBidi"/>
          <w:b/>
          <w:bCs/>
          <w:color w:val="000000" w:themeColor="text1"/>
        </w:rPr>
      </w:pPr>
      <w:r>
        <w:rPr>
          <w:b/>
          <w:rFonts w:asciiTheme="majorBidi" w:hAnsiTheme="majorBidi" w:cstheme="majorBidi"/>
          <w:color w:val="000000" w:themeColor="text1"/>
        </w:rPr>
        <w:t xml:space="preserve">References</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Abou Hashish, E. A., &amp; Alnajjar, H. A. (2025). Brain drain and retention strategies: Lived experience of expatriate nurses in Saudi Arabia: Challenges and implications. </w:t>
      </w:r>
      <w:r>
        <w:rPr>
          <w:i/>
          <w:rFonts w:asciiTheme="majorBidi" w:hAnsiTheme="majorBidi" w:cstheme="majorBidi"/>
          <w:color w:val="000000" w:themeColor="text1"/>
        </w:rPr>
        <w:t xml:space="preserve">Journal of Nursing Management, 2025</w:t>
      </w:r>
      <w:r>
        <w:rPr>
          <w:rFonts w:asciiTheme="majorBidi" w:hAnsiTheme="majorBidi" w:cstheme="majorBidi"/>
          <w:color w:val="000000" w:themeColor="text1"/>
        </w:rPr>
        <w:t xml:space="preserve">, Article 9947313. https://doi.org/10.1155/jonm/9947313</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Adepoju, V. A., Odueniyi, C., Abdulrahim, A., &amp; Adnani, Q. E. S. (2026). Respectful maternity care and intersectional identities in low- and middle-income countries: A systematic review. </w:t>
      </w:r>
      <w:r>
        <w:rPr>
          <w:i/>
          <w:rFonts w:asciiTheme="majorBidi" w:hAnsiTheme="majorBidi" w:cstheme="majorBidi"/>
          <w:color w:val="000000" w:themeColor="text1"/>
        </w:rPr>
        <w:t xml:space="preserve">BMC Pregnancy and Childbirth, 26</w:t>
      </w:r>
      <w:r>
        <w:rPr>
          <w:rFonts w:asciiTheme="majorBidi" w:hAnsiTheme="majorBidi" w:cstheme="majorBidi"/>
          <w:color w:val="000000" w:themeColor="text1"/>
        </w:rPr>
        <w:t xml:space="preserve">, Article 42. https://doi.org/10.1186/s12884-025-08566-0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Ahmad, M., &amp; Wilkins, S. (2025). Purposive sampling in qualitative research: A framework for the entire journey. </w:t>
      </w:r>
      <w:r>
        <w:rPr>
          <w:i/>
          <w:rFonts w:asciiTheme="majorBidi" w:hAnsiTheme="majorBidi" w:cstheme="majorBidi"/>
          <w:color w:val="000000" w:themeColor="text1"/>
        </w:rPr>
        <w:t xml:space="preserve">Quality &amp; Quantity, 59</w:t>
      </w:r>
      <w:r>
        <w:rPr>
          <w:rFonts w:asciiTheme="majorBidi" w:hAnsiTheme="majorBidi" w:cstheme="majorBidi"/>
          <w:color w:val="000000" w:themeColor="text1"/>
        </w:rPr>
        <w:t xml:space="preserve">(2), 1461–1479. https://doi.org/10.1007/s11135-024-02022-5</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Ahmed, S. K. (2024). The pillars of trustworthiness in qualitative research. </w:t>
      </w:r>
      <w:r>
        <w:rPr>
          <w:i/>
          <w:rFonts w:asciiTheme="majorBidi" w:hAnsiTheme="majorBidi" w:cstheme="majorBidi"/>
          <w:color w:val="000000" w:themeColor="text1"/>
        </w:rPr>
        <w:t xml:space="preserve">Journal of Medicine, Surgery, and Public Health, 2</w:t>
      </w:r>
      <w:r>
        <w:rPr>
          <w:rFonts w:asciiTheme="majorBidi" w:hAnsiTheme="majorBidi" w:cstheme="majorBidi"/>
          <w:color w:val="000000" w:themeColor="text1"/>
        </w:rPr>
        <w:t xml:space="preserve">, Article 100051. https://doi.org/10.1016/j.glmedi.2024.100051</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 Ansari, A. N., Elshanbary, A. A., Zaazouee, M. S., &amp; Singh, K. (2026). Nursing workforce challenges in Gulf Cooperation Council countries: A systematic review of factors influencing shortage and retention. </w:t>
      </w:r>
      <w:r>
        <w:rPr>
          <w:i/>
          <w:rFonts w:asciiTheme="majorBidi" w:hAnsiTheme="majorBidi" w:cstheme="majorBidi"/>
          <w:color w:val="000000" w:themeColor="text1"/>
        </w:rPr>
        <w:t xml:space="preserve">International Journal of Nursing Studies Advances, 10</w:t>
      </w:r>
      <w:r>
        <w:rPr>
          <w:rFonts w:asciiTheme="majorBidi" w:hAnsiTheme="majorBidi" w:cstheme="majorBidi"/>
          <w:color w:val="000000" w:themeColor="text1"/>
        </w:rPr>
        <w:t xml:space="preserve">, Article 100501. https://doi.org/10.1016/j.ijnsa.2026.100501</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Alghamdi, R. S., [AUTHOR: add remaining co-authors] (2023). Perceived treatment of respectful maternity care among pregnant women at healthcare facilities in the Kingdom of Saudi Arabia: A cross-sectional study. </w:t>
      </w:r>
      <w:r>
        <w:rPr>
          <w:i/>
          <w:rFonts w:asciiTheme="majorBidi" w:hAnsiTheme="majorBidi" w:cstheme="majorBidi"/>
          <w:color w:val="000000" w:themeColor="text1"/>
        </w:rPr>
        <w:t xml:space="preserve">Midwifery, 123</w:t>
      </w:r>
      <w:r>
        <w:rPr>
          <w:rFonts w:asciiTheme="majorBidi" w:hAnsiTheme="majorBidi" w:cstheme="majorBidi"/>
          <w:color w:val="000000" w:themeColor="text1"/>
        </w:rPr>
        <w:t xml:space="preserve">, Article 103714. https://doi.org/10.1016/j.midw.2023.103714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Aljabery, M., Coetzee-Prinsloo, I., van der Wath, A., &amp; Al-Hmaimat, N. (2024). Characteristics of moral distress from nurses' perspectives: An integrative review. </w:t>
      </w:r>
      <w:r>
        <w:rPr>
          <w:i/>
          <w:rFonts w:asciiTheme="majorBidi" w:hAnsiTheme="majorBidi" w:cstheme="majorBidi"/>
          <w:color w:val="000000" w:themeColor="text1"/>
        </w:rPr>
        <w:t xml:space="preserve">International Journal of Nursing Sciences, 11</w:t>
      </w:r>
      <w:r>
        <w:rPr>
          <w:rFonts w:asciiTheme="majorBidi" w:hAnsiTheme="majorBidi" w:cstheme="majorBidi"/>
          <w:color w:val="000000" w:themeColor="text1"/>
        </w:rPr>
        <w:t xml:space="preserve">(5), 578–585. https://doi.org/10.1016/j.ijnss.2024.10.005</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Almansour, H., Aldossary, A., Holmes, S., &amp; Alderaan, T. (2023). Migration of nurses and doctors: Pull factors to work in Saudi Arabia. </w:t>
      </w:r>
      <w:r>
        <w:rPr>
          <w:i/>
          <w:rFonts w:asciiTheme="majorBidi" w:hAnsiTheme="majorBidi" w:cstheme="majorBidi"/>
          <w:color w:val="000000" w:themeColor="text1"/>
        </w:rPr>
        <w:t xml:space="preserve">Human Resources for Health, 21</w:t>
      </w:r>
      <w:r>
        <w:rPr>
          <w:rFonts w:asciiTheme="majorBidi" w:hAnsiTheme="majorBidi" w:cstheme="majorBidi"/>
          <w:color w:val="000000" w:themeColor="text1"/>
        </w:rPr>
        <w:t xml:space="preserve">(1), Article 25. https://doi.org/10.1186/s12960-023-00809-5</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Alodhialah, A. M., &amp; Alahmedi, S. H. (2025). Women's perceptions of cultural sensitivity of midwives during intrapartum care in Riyadh, Saudi Arabia. </w:t>
      </w:r>
      <w:r>
        <w:rPr>
          <w:i/>
          <w:rFonts w:asciiTheme="majorBidi" w:hAnsiTheme="majorBidi" w:cstheme="majorBidi"/>
          <w:color w:val="000000" w:themeColor="text1"/>
        </w:rPr>
        <w:t xml:space="preserve">Healthcare, 13</w:t>
      </w:r>
      <w:r>
        <w:rPr>
          <w:rFonts w:asciiTheme="majorBidi" w:hAnsiTheme="majorBidi" w:cstheme="majorBidi"/>
          <w:color w:val="000000" w:themeColor="text1"/>
        </w:rPr>
        <w:t xml:space="preserve">(17), Article 2172. https://doi.org/10.3390/healthcare13172172</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Alruwaili, T. A., Crawford, K., &amp; Fooladi, E. (2024). Shared decision-making in maternity care in Saudi Arabia: A cross-sectional study. </w:t>
      </w:r>
      <w:r>
        <w:rPr>
          <w:i/>
          <w:rFonts w:asciiTheme="majorBidi" w:hAnsiTheme="majorBidi" w:cstheme="majorBidi"/>
          <w:color w:val="000000" w:themeColor="text1"/>
        </w:rPr>
        <w:t xml:space="preserve">Midwifery, 138</w:t>
      </w:r>
      <w:r>
        <w:rPr>
          <w:rFonts w:asciiTheme="majorBidi" w:hAnsiTheme="majorBidi" w:cstheme="majorBidi"/>
          <w:color w:val="000000" w:themeColor="text1"/>
        </w:rPr>
        <w:t xml:space="preserve">, Article 104147. https://doi.org/10.1016/j.midw.2024.104147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Alshehri, W. M., [AUTHOR: add remaining co-authors] (2025). Navigating professional identity and cultural expectations: A phenomenological study of female Saudi nurses' experiences in mixed-gender healthcare settings. </w:t>
      </w:r>
      <w:r>
        <w:rPr>
          <w:i/>
          <w:rFonts w:asciiTheme="majorBidi" w:hAnsiTheme="majorBidi" w:cstheme="majorBidi"/>
          <w:color w:val="000000" w:themeColor="text1"/>
        </w:rPr>
        <w:t xml:space="preserve">Healthcare, 13</w:t>
      </w:r>
      <w:r>
        <w:rPr>
          <w:rFonts w:asciiTheme="majorBidi" w:hAnsiTheme="majorBidi" w:cstheme="majorBidi"/>
          <w:color w:val="000000" w:themeColor="text1"/>
        </w:rPr>
        <w:t xml:space="preserve">(23), Article 3042. https://doi.org/10.3390/healthcare13233042</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Banakhar, M., Bamohrez, M., Alhaddad, R., Youldash, R., Alyafee, R., Sabr, S., Sharif, L., Mahsoon, A., &amp; Alasmee, N. (2021). The journey of Saudi male nurses studying within the nursing profession: A qualitative study. </w:t>
      </w:r>
      <w:r>
        <w:rPr>
          <w:i/>
          <w:rFonts w:asciiTheme="majorBidi" w:hAnsiTheme="majorBidi" w:cstheme="majorBidi"/>
          <w:color w:val="000000" w:themeColor="text1"/>
        </w:rPr>
        <w:t xml:space="preserve">Nursing Reports, 11</w:t>
      </w:r>
      <w:r>
        <w:rPr>
          <w:rFonts w:asciiTheme="majorBidi" w:hAnsiTheme="majorBidi" w:cstheme="majorBidi"/>
          <w:color w:val="000000" w:themeColor="text1"/>
        </w:rPr>
        <w:t xml:space="preserve">(4), 832–846. https://doi.org/10.3390/nursrep11040078</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Bohren, M. A., Vogel, J. P., Hunter, E. C., Lutsiv, O., Makh, S. K., Souza, J. P., Aguiar, C., Saraiva Coneglian, F., Diniz, A. L. A., Tunçalp, Ö., Javadi, D., Oladapo, O. T., Khosla, R., Hindin, M. J., &amp; Gülmezoglu, A. M. (2015). The mistreatment of women during childbirth in health facilities globally: A mixed-methods systematic review. </w:t>
      </w:r>
      <w:r>
        <w:rPr>
          <w:i/>
          <w:rFonts w:asciiTheme="majorBidi" w:hAnsiTheme="majorBidi" w:cstheme="majorBidi"/>
          <w:color w:val="000000" w:themeColor="text1"/>
        </w:rPr>
        <w:t xml:space="preserve">PLOS Medicine, 12</w:t>
      </w:r>
      <w:r>
        <w:rPr>
          <w:rFonts w:asciiTheme="majorBidi" w:hAnsiTheme="majorBidi" w:cstheme="majorBidi"/>
          <w:color w:val="000000" w:themeColor="text1"/>
        </w:rPr>
        <w:t xml:space="preserve">(6), Article e1001847. https://doi.org/10.1371/journal.pmed.1001847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Boszormenyi-Nagy, I., &amp; Spark, G. M. (1973). </w:t>
      </w:r>
      <w:r>
        <w:rPr>
          <w:i/>
          <w:rFonts w:asciiTheme="majorBidi" w:hAnsiTheme="majorBidi" w:cstheme="majorBidi"/>
          <w:color w:val="000000" w:themeColor="text1"/>
        </w:rPr>
        <w:t xml:space="preserve">Invisible loyalties: Reciprocity in intergenerational family therapy</w:t>
      </w:r>
      <w:r>
        <w:rPr>
          <w:rFonts w:asciiTheme="majorBidi" w:hAnsiTheme="majorBidi" w:cstheme="majorBidi"/>
          <w:color w:val="000000" w:themeColor="text1"/>
        </w:rPr>
        <w:t xml:space="preserve">. Harper &amp; Row.</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Braun, V., &amp; Clarke, V. (2006). Using thematic analysis in psychology. </w:t>
      </w:r>
      <w:r>
        <w:rPr>
          <w:i/>
          <w:rFonts w:asciiTheme="majorBidi" w:hAnsiTheme="majorBidi" w:cstheme="majorBidi"/>
          <w:color w:val="000000" w:themeColor="text1"/>
        </w:rPr>
        <w:t xml:space="preserve">Qualitative Research in Psychology, 3</w:t>
      </w:r>
      <w:r>
        <w:rPr>
          <w:rFonts w:asciiTheme="majorBidi" w:hAnsiTheme="majorBidi" w:cstheme="majorBidi"/>
          <w:color w:val="000000" w:themeColor="text1"/>
        </w:rPr>
        <w:t xml:space="preserve">(2), 77–101. https://doi.org/10.1191/1478088706qp063oa</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Braun, V., &amp; Clarke, V. (2019). Reflecting on reflexive thematic analysis. </w:t>
      </w:r>
      <w:r>
        <w:rPr>
          <w:i/>
          <w:rFonts w:asciiTheme="majorBidi" w:hAnsiTheme="majorBidi" w:cstheme="majorBidi"/>
          <w:color w:val="000000" w:themeColor="text1"/>
        </w:rPr>
        <w:t xml:space="preserve">Qualitative Research in Sport, Exercise and Health, 11</w:t>
      </w:r>
      <w:r>
        <w:rPr>
          <w:rFonts w:asciiTheme="majorBidi" w:hAnsiTheme="majorBidi" w:cstheme="majorBidi"/>
          <w:color w:val="000000" w:themeColor="text1"/>
        </w:rPr>
        <w:t xml:space="preserve">(4), 589–597. https://doi.org/10.1080/2159676X.2019.1628806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Breman, R. B. (2025). Improving communication during perinatal care to eliminate preventable maternal morbidity and mortality: The issue of communication hierarchy. </w:t>
      </w:r>
      <w:r>
        <w:rPr>
          <w:i/>
          <w:rFonts w:asciiTheme="majorBidi" w:hAnsiTheme="majorBidi" w:cstheme="majorBidi"/>
          <w:color w:val="000000" w:themeColor="text1"/>
        </w:rPr>
        <w:t xml:space="preserve">MCN: The American Journal of Maternal/Child Nursing, 50</w:t>
      </w:r>
      <w:r>
        <w:rPr>
          <w:rFonts w:asciiTheme="majorBidi" w:hAnsiTheme="majorBidi" w:cstheme="majorBidi"/>
          <w:color w:val="000000" w:themeColor="text1"/>
        </w:rPr>
        <w:t xml:space="preserve">(5), 251–254. https://doi.org/10.1097/NMC.0000000000001119</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Cantor, A. G., Jungbauer, R. M., Skelly, A. C., Hart, E. L., Jorda, K., Davis-O'Reilly, C., Caughey, A. B., &amp; Tilden, E. L. (2024). Respectful maternity care: A systematic review. </w:t>
      </w:r>
      <w:r>
        <w:rPr>
          <w:i/>
          <w:rFonts w:asciiTheme="majorBidi" w:hAnsiTheme="majorBidi" w:cstheme="majorBidi"/>
          <w:color w:val="000000" w:themeColor="text1"/>
        </w:rPr>
        <w:t xml:space="preserve">Annals of Internal Medicine, 177</w:t>
      </w:r>
      <w:r>
        <w:rPr>
          <w:rFonts w:asciiTheme="majorBidi" w:hAnsiTheme="majorBidi" w:cstheme="majorBidi"/>
          <w:color w:val="000000" w:themeColor="text1"/>
        </w:rPr>
        <w:t xml:space="preserve">(1), 50–64. https://doi.org/10.7326/M23-2676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Collins, E. C., Burns, E. S., Keedle, H., &amp; Dahlen, H. G. (2026). Maternity care providers' perspectives and experiences of obstetric violence in low-, middle- and high-income countries: An integrative review. </w:t>
      </w:r>
      <w:r>
        <w:rPr>
          <w:i/>
          <w:rFonts w:asciiTheme="majorBidi" w:hAnsiTheme="majorBidi" w:cstheme="majorBidi"/>
          <w:color w:val="000000" w:themeColor="text1"/>
        </w:rPr>
        <w:t xml:space="preserve">Journal of Advanced Nursing, 82</w:t>
      </w:r>
      <w:r>
        <w:rPr>
          <w:rFonts w:asciiTheme="majorBidi" w:hAnsiTheme="majorBidi" w:cstheme="majorBidi"/>
          <w:color w:val="000000" w:themeColor="text1"/>
        </w:rPr>
        <w:t xml:space="preserve">(4), 2790–2809. https://doi.org/10.1111/jan.70055</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Czarnecki, D., Anspach, R. R., De Vries, R. G., Dunn, M. D., Hauschildt, K., &amp; Harris, L. H. (2019). Conscience reconsidered: The moral work of navigating participation in abortion care on labor and delivery. </w:t>
      </w:r>
      <w:r>
        <w:rPr>
          <w:i/>
          <w:rFonts w:asciiTheme="majorBidi" w:hAnsiTheme="majorBidi" w:cstheme="majorBidi"/>
          <w:color w:val="000000" w:themeColor="text1"/>
        </w:rPr>
        <w:t xml:space="preserve">Social Science &amp; Medicine, 232</w:t>
      </w:r>
      <w:r>
        <w:rPr>
          <w:rFonts w:asciiTheme="majorBidi" w:hAnsiTheme="majorBidi" w:cstheme="majorBidi"/>
          <w:color w:val="000000" w:themeColor="text1"/>
        </w:rPr>
        <w:t xml:space="preserve">, 181–189. https://doi.org/10.1016/j.socscimed.2019.03.034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Davies, J., &amp; Yarrow, E. (2025). A narrative review of nursing in Saudi Arabia: Prospects for improving social determinants of health for the female workforce. </w:t>
      </w:r>
      <w:r>
        <w:rPr>
          <w:i/>
          <w:rFonts w:asciiTheme="majorBidi" w:hAnsiTheme="majorBidi" w:cstheme="majorBidi"/>
          <w:color w:val="000000" w:themeColor="text1"/>
        </w:rPr>
        <w:t xml:space="preserve">Frontiers in Public Health, 13</w:t>
      </w:r>
      <w:r>
        <w:rPr>
          <w:rFonts w:asciiTheme="majorBidi" w:hAnsiTheme="majorBidi" w:cstheme="majorBidi"/>
          <w:color w:val="000000" w:themeColor="text1"/>
        </w:rPr>
        <w:t xml:space="preserve">, Article 1569440. https://doi.org/10.3389/fpubh.2025.1569440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Dejours, C. (1998). </w:t>
      </w:r>
      <w:r>
        <w:rPr>
          <w:i/>
          <w:rFonts w:asciiTheme="majorBidi" w:hAnsiTheme="majorBidi" w:cstheme="majorBidi"/>
          <w:color w:val="000000" w:themeColor="text1"/>
        </w:rPr>
        <w:t xml:space="preserve">Souffrance en France: La banalisation de l'injustice sociale</w:t>
      </w:r>
      <w:r>
        <w:rPr>
          <w:rFonts w:asciiTheme="majorBidi" w:hAnsiTheme="majorBidi" w:cstheme="majorBidi"/>
          <w:color w:val="000000" w:themeColor="text1"/>
        </w:rPr>
        <w:t xml:space="preserve"> [Suffering in France: The trivialisation of social injustice]. Seuil.</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Dejours, C., &amp; Deranty, J.-P. (2010). The centrality of work. </w:t>
      </w:r>
      <w:r>
        <w:rPr>
          <w:i/>
          <w:rFonts w:asciiTheme="majorBidi" w:hAnsiTheme="majorBidi" w:cstheme="majorBidi"/>
          <w:color w:val="000000" w:themeColor="text1"/>
        </w:rPr>
        <w:t xml:space="preserve">Critical Horizons, 11</w:t>
      </w:r>
      <w:r>
        <w:rPr>
          <w:rFonts w:asciiTheme="majorBidi" w:hAnsiTheme="majorBidi" w:cstheme="majorBidi"/>
          <w:color w:val="000000" w:themeColor="text1"/>
        </w:rPr>
        <w:t xml:space="preserve">(2), 167–180. https://doi.org/10.1558/crit.v11i2.167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Drisko, J. W. (2025). Transferability and generalization in qualitative research. </w:t>
      </w:r>
      <w:r>
        <w:rPr>
          <w:i/>
          <w:rFonts w:asciiTheme="majorBidi" w:hAnsiTheme="majorBidi" w:cstheme="majorBidi"/>
          <w:color w:val="000000" w:themeColor="text1"/>
        </w:rPr>
        <w:t xml:space="preserve">Research on Social Work Practice, 35</w:t>
      </w:r>
      <w:r>
        <w:rPr>
          <w:rFonts w:asciiTheme="majorBidi" w:hAnsiTheme="majorBidi" w:cstheme="majorBidi"/>
          <w:color w:val="000000" w:themeColor="text1"/>
        </w:rPr>
        <w:t xml:space="preserve">(1), 102–110. https://doi.org/10.1177/10497315241256560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Epstein, E. G., &amp; Hamric, A. B. (2009). Moral distress, moral residue, and the crescendo effect. </w:t>
      </w:r>
      <w:r>
        <w:rPr>
          <w:i/>
          <w:rFonts w:asciiTheme="majorBidi" w:hAnsiTheme="majorBidi" w:cstheme="majorBidi"/>
          <w:color w:val="000000" w:themeColor="text1"/>
        </w:rPr>
        <w:t xml:space="preserve">The Journal of Clinical Ethics, 20</w:t>
      </w:r>
      <w:r>
        <w:rPr>
          <w:rFonts w:asciiTheme="majorBidi" w:hAnsiTheme="majorBidi" w:cstheme="majorBidi"/>
          <w:color w:val="000000" w:themeColor="text1"/>
        </w:rPr>
        <w:t xml:space="preserve">(4), 330–342. https://doi.org/10.1086/JCE200920406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Ferrão, A. C. C., Sim-Sim, M., Almeida, V. S. R., Bilro, P. C. V., &amp; Zangão, M. O. B. (2025). Analysis of the concept of obstetric violence: A combination of scoping review and Rodgers conceptual analysis methodologies. </w:t>
      </w:r>
      <w:r>
        <w:rPr>
          <w:i/>
          <w:rFonts w:asciiTheme="majorBidi" w:hAnsiTheme="majorBidi" w:cstheme="majorBidi"/>
          <w:color w:val="000000" w:themeColor="text1"/>
        </w:rPr>
        <w:t xml:space="preserve">Sci, 7</w:t>
      </w:r>
      <w:r>
        <w:rPr>
          <w:rFonts w:asciiTheme="majorBidi" w:hAnsiTheme="majorBidi" w:cstheme="majorBidi"/>
          <w:color w:val="000000" w:themeColor="text1"/>
        </w:rPr>
        <w:t xml:space="preserve">(3), Article 97. https://doi.org/10.3390/sci7030097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Guzmán-Guevara, F. M., Manjarres-Posada, N. I., &amp; Vega-Fregoso, G. (2026). Obstetric violence from the perspective of healthcare personnel: A qualitative systematic review. </w:t>
      </w:r>
      <w:r>
        <w:rPr>
          <w:i/>
          <w:rFonts w:asciiTheme="majorBidi" w:hAnsiTheme="majorBidi" w:cstheme="majorBidi"/>
          <w:color w:val="000000" w:themeColor="text1"/>
        </w:rPr>
        <w:t xml:space="preserve">Frontiers in Global Women's Health, 7</w:t>
      </w:r>
      <w:r>
        <w:rPr>
          <w:rFonts w:asciiTheme="majorBidi" w:hAnsiTheme="majorBidi" w:cstheme="majorBidi"/>
          <w:color w:val="000000" w:themeColor="text1"/>
        </w:rPr>
        <w:t xml:space="preserve">, Article 1773729. https://doi.org/10.3389/fgwh.2026.1773729</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Jameton, A. (1993). Dilemmas of moral distress: Moral responsibility and nursing practice. </w:t>
      </w:r>
      <w:r>
        <w:rPr>
          <w:i/>
          <w:rFonts w:asciiTheme="majorBidi" w:hAnsiTheme="majorBidi" w:cstheme="majorBidi"/>
          <w:color w:val="000000" w:themeColor="text1"/>
        </w:rPr>
        <w:t xml:space="preserve">AWHONN's Clinical Issues in Perinatal and Women's Health Nursing, 4</w:t>
      </w:r>
      <w:r>
        <w:rPr>
          <w:rFonts w:asciiTheme="majorBidi" w:hAnsiTheme="majorBidi" w:cstheme="majorBidi"/>
          <w:color w:val="000000" w:themeColor="text1"/>
        </w:rPr>
        <w:t xml:space="preserve">(4), 542–551.</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Kasaye, H., Sheehy, A., Scarf, V., &amp; Baird, K. (2023). The roles of multi-component interventions in reducing mistreatment of women and enhancing respectful maternity care: A systematic review. </w:t>
      </w:r>
      <w:r>
        <w:rPr>
          <w:i/>
          <w:rFonts w:asciiTheme="majorBidi" w:hAnsiTheme="majorBidi" w:cstheme="majorBidi"/>
          <w:color w:val="000000" w:themeColor="text1"/>
        </w:rPr>
        <w:t xml:space="preserve">BMC Pregnancy and Childbirth, 23</w:t>
      </w:r>
      <w:r>
        <w:rPr>
          <w:rFonts w:asciiTheme="majorBidi" w:hAnsiTheme="majorBidi" w:cstheme="majorBidi"/>
          <w:color w:val="000000" w:themeColor="text1"/>
        </w:rPr>
        <w:t xml:space="preserve">(1), Article 305. https://doi.org/10.1186/s12884-023-05640-3</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Khaled Al Abdulqader, A., [AUTHOR: add remaining co-authors] (2025). Still just the nurse? A critical inquiry into nurses' struggles for autonomy in interprofessional hospital teams. </w:t>
      </w:r>
      <w:r>
        <w:rPr>
          <w:i/>
          <w:rFonts w:asciiTheme="majorBidi" w:hAnsiTheme="majorBidi" w:cstheme="majorBidi"/>
          <w:color w:val="000000" w:themeColor="text1"/>
        </w:rPr>
        <w:t xml:space="preserve">BMC Nursing, 24</w:t>
      </w:r>
      <w:r>
        <w:rPr>
          <w:rFonts w:asciiTheme="majorBidi" w:hAnsiTheme="majorBidi" w:cstheme="majorBidi"/>
          <w:color w:val="000000" w:themeColor="text1"/>
        </w:rPr>
        <w:t xml:space="preserve">(1), Article 1340. https://doi.org/10.1186/s12912-025-03967-0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Liaschenko, J., &amp; Peter, E. (2016). Fostering nurses' moral agency and moral identity: The importance of moral community. </w:t>
      </w:r>
      <w:r>
        <w:rPr>
          <w:i/>
          <w:rFonts w:asciiTheme="majorBidi" w:hAnsiTheme="majorBidi" w:cstheme="majorBidi"/>
          <w:color w:val="000000" w:themeColor="text1"/>
        </w:rPr>
        <w:t xml:space="preserve">Hastings Center Report, 46</w:t>
      </w:r>
      <w:r>
        <w:rPr>
          <w:rFonts w:asciiTheme="majorBidi" w:hAnsiTheme="majorBidi" w:cstheme="majorBidi"/>
          <w:color w:val="000000" w:themeColor="text1"/>
        </w:rPr>
        <w:t xml:space="preserve">(S1), S18–S21. https://doi.org/10.1002/hast.626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Lincoln, Y. S., &amp; Guba, E. G. (1985). </w:t>
      </w:r>
      <w:r>
        <w:rPr>
          <w:i/>
          <w:rFonts w:asciiTheme="majorBidi" w:hAnsiTheme="majorBidi" w:cstheme="majorBidi"/>
          <w:color w:val="000000" w:themeColor="text1"/>
        </w:rPr>
        <w:t xml:space="preserve">Naturalistic inquiry</w:t>
      </w:r>
      <w:r>
        <w:rPr>
          <w:rFonts w:asciiTheme="majorBidi" w:hAnsiTheme="majorBidi" w:cstheme="majorBidi"/>
          <w:color w:val="000000" w:themeColor="text1"/>
        </w:rPr>
        <w:t xml:space="preserve">. Sage.</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Lober, A., Eaton, C. M., Burnette, S., &amp; McGlothen-Bell, K. (2026). A capacity-building, multisite, quality improvement project aimed at respectful maternity care. </w:t>
      </w:r>
      <w:r>
        <w:rPr>
          <w:i/>
          <w:rFonts w:asciiTheme="majorBidi" w:hAnsiTheme="majorBidi" w:cstheme="majorBidi"/>
          <w:color w:val="000000" w:themeColor="text1"/>
        </w:rPr>
        <w:t xml:space="preserve">Nursing for Women's Health</w:t>
      </w:r>
      <w:r>
        <w:rPr>
          <w:rFonts w:asciiTheme="majorBidi" w:hAnsiTheme="majorBidi" w:cstheme="majorBidi"/>
          <w:color w:val="000000" w:themeColor="text1"/>
        </w:rPr>
        <w:t xml:space="preserve">. Advance online publication. https://doi.org/10.1016/j.nwh.2026.02.007</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Lunda, P., Minnie, C. S., &amp; Lubbe, W. (2024). Factors influencing respectful perinatal care among healthcare professionals in low- and middle-resource countries: A systematic review. </w:t>
      </w:r>
      <w:r>
        <w:rPr>
          <w:i/>
          <w:rFonts w:asciiTheme="majorBidi" w:hAnsiTheme="majorBidi" w:cstheme="majorBidi"/>
          <w:color w:val="000000" w:themeColor="text1"/>
        </w:rPr>
        <w:t xml:space="preserve">BMC Pregnancy and Childbirth, 24</w:t>
      </w:r>
      <w:r>
        <w:rPr>
          <w:rFonts w:asciiTheme="majorBidi" w:hAnsiTheme="majorBidi" w:cstheme="majorBidi"/>
          <w:color w:val="000000" w:themeColor="text1"/>
        </w:rPr>
        <w:t xml:space="preserve">(1), Article 442. https://doi.org/10.1186/s12884-024-06625-6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Malterud, K., Siersma, V. D., &amp; Guassora, A. D. (2016). Sample size in qualitative interview studies: Guided by information power. </w:t>
      </w:r>
      <w:r>
        <w:rPr>
          <w:i/>
          <w:rFonts w:asciiTheme="majorBidi" w:hAnsiTheme="majorBidi" w:cstheme="majorBidi"/>
          <w:color w:val="000000" w:themeColor="text1"/>
        </w:rPr>
        <w:t xml:space="preserve">Qualitative Health Research, 26</w:t>
      </w:r>
      <w:r>
        <w:rPr>
          <w:rFonts w:asciiTheme="majorBidi" w:hAnsiTheme="majorBidi" w:cstheme="majorBidi"/>
          <w:color w:val="000000" w:themeColor="text1"/>
        </w:rPr>
        <w:t xml:space="preserve">(13), 1753–1760. https://doi.org/10.1177/1049732315617444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McCarthy, J., &amp; Deady, R. (2008). Moral distress reconsidered. </w:t>
      </w:r>
      <w:r>
        <w:rPr>
          <w:i/>
          <w:rFonts w:asciiTheme="majorBidi" w:hAnsiTheme="majorBidi" w:cstheme="majorBidi"/>
          <w:color w:val="000000" w:themeColor="text1"/>
        </w:rPr>
        <w:t xml:space="preserve">Nursing Ethics, 15</w:t>
      </w:r>
      <w:r>
        <w:rPr>
          <w:rFonts w:asciiTheme="majorBidi" w:hAnsiTheme="majorBidi" w:cstheme="majorBidi"/>
          <w:color w:val="000000" w:themeColor="text1"/>
        </w:rPr>
        <w:t xml:space="preserve">(2), 254–262. https://doi.org/10.1177/0969733007086023</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Miller-Rosser, K., Chapman, Y., &amp; Francis, K. (2006). Historical, cultural, and contemporary influences on the status of women in nursing in Saudi Arabia. </w:t>
      </w:r>
      <w:r>
        <w:rPr>
          <w:i/>
          <w:rFonts w:asciiTheme="majorBidi" w:hAnsiTheme="majorBidi" w:cstheme="majorBidi"/>
          <w:color w:val="000000" w:themeColor="text1"/>
        </w:rPr>
        <w:t xml:space="preserve">Online Journal of Issues in Nursing, 11</w:t>
      </w:r>
      <w:r>
        <w:rPr>
          <w:rFonts w:asciiTheme="majorBidi" w:hAnsiTheme="majorBidi" w:cstheme="majorBidi"/>
          <w:color w:val="000000" w:themeColor="text1"/>
        </w:rPr>
        <w:t xml:space="preserve">(3), Article 8. https://doi.org/10.3912/OJIN.Vol11No03Man08</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Ministry of Health, Kingdom of Saudi Arabia. (2023). </w:t>
      </w:r>
      <w:r>
        <w:rPr>
          <w:i/>
          <w:rFonts w:asciiTheme="majorBidi" w:hAnsiTheme="majorBidi" w:cstheme="majorBidi"/>
          <w:color w:val="000000" w:themeColor="text1"/>
        </w:rPr>
        <w:t xml:space="preserve">Saudi Childbirth Initiative (SCI) Mother Baby-Family Friendly Maternity Care Facility (MBFMF) initiative guidebook</w:t>
      </w:r>
      <w:r>
        <w:rPr>
          <w:rFonts w:asciiTheme="majorBidi" w:hAnsiTheme="majorBidi" w:cstheme="majorBidi"/>
          <w:color w:val="000000" w:themeColor="text1"/>
        </w:rPr>
        <w:t xml:space="preserve">. https://www.moh.gov.sa/en/Ministry/MediaCenter/Publications/Pages/Saudi-Childbirth-Initiative-Guidebook.pdf</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Mira-Catalá, P., Hernández-Aguado, I., &amp; Chilet-Rosell, E. (2024). Respectful maternity care interventions to address women mistreatment in childbirth: What has been done? </w:t>
      </w:r>
      <w:r>
        <w:rPr>
          <w:i/>
          <w:rFonts w:asciiTheme="majorBidi" w:hAnsiTheme="majorBidi" w:cstheme="majorBidi"/>
          <w:color w:val="000000" w:themeColor="text1"/>
        </w:rPr>
        <w:t xml:space="preserve">BMC Pregnancy and Childbirth, 24</w:t>
      </w:r>
      <w:r>
        <w:rPr>
          <w:rFonts w:asciiTheme="majorBidi" w:hAnsiTheme="majorBidi" w:cstheme="majorBidi"/>
          <w:color w:val="000000" w:themeColor="text1"/>
        </w:rPr>
        <w:t xml:space="preserve">(1), Article 322. https://doi.org/10.1186/s12884-024-06524-w</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Mirzania, M., [AUTHOR: add remaining co-authors] (2025). Prevalence of mistreatment and disrespect of women during childbirth in the world: A systematic review and meta-analysis. </w:t>
      </w:r>
      <w:r>
        <w:rPr>
          <w:i/>
          <w:rFonts w:asciiTheme="majorBidi" w:hAnsiTheme="majorBidi" w:cstheme="majorBidi"/>
          <w:color w:val="000000" w:themeColor="text1"/>
        </w:rPr>
        <w:t xml:space="preserve">Reproductive Health, 22</w:t>
      </w:r>
      <w:r>
        <w:rPr>
          <w:rFonts w:asciiTheme="majorBidi" w:hAnsiTheme="majorBidi" w:cstheme="majorBidi"/>
          <w:color w:val="000000" w:themeColor="text1"/>
        </w:rPr>
        <w:t xml:space="preserve">(1), Article 193. https://doi.org/10.1186/s12978-025-02119-6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Morley, G., Ives, J., Bradbury-Jones, C., &amp; Irvine, F. (2019). What is 'moral distress'? A narrative synthesis of the literature. </w:t>
      </w:r>
      <w:r>
        <w:rPr>
          <w:i/>
          <w:rFonts w:asciiTheme="majorBidi" w:hAnsiTheme="majorBidi" w:cstheme="majorBidi"/>
          <w:color w:val="000000" w:themeColor="text1"/>
        </w:rPr>
        <w:t xml:space="preserve">Nursing Ethics, 26</w:t>
      </w:r>
      <w:r>
        <w:rPr>
          <w:rFonts w:asciiTheme="majorBidi" w:hAnsiTheme="majorBidi" w:cstheme="majorBidi"/>
          <w:color w:val="000000" w:themeColor="text1"/>
        </w:rPr>
        <w:t xml:space="preserve">(3), 646–662. https://doi.org/10.1177/0969733017724354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Naughton, S., Baldwin, A., Harvey, C., &amp; Capper, T. (2025). The midwifery capabilities theory: How midwives enact woman-centered care to address systemic inequity. </w:t>
      </w:r>
      <w:r>
        <w:rPr>
          <w:i/>
          <w:rFonts w:asciiTheme="majorBidi" w:hAnsiTheme="majorBidi" w:cstheme="majorBidi"/>
          <w:color w:val="000000" w:themeColor="text1"/>
        </w:rPr>
        <w:t xml:space="preserve">Birth, 52</w:t>
      </w:r>
      <w:r>
        <w:rPr>
          <w:rFonts w:asciiTheme="majorBidi" w:hAnsiTheme="majorBidi" w:cstheme="majorBidi"/>
          <w:color w:val="000000" w:themeColor="text1"/>
        </w:rPr>
        <w:t xml:space="preserve">(3), 472–481. https://doi.org/10.1111/birt.12866</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Puthussery, S., Bayih, W. A., Brown, H., &amp; Aborigo, R. A. (2023). Promoting a global culture of respectful maternity care. </w:t>
      </w:r>
      <w:r>
        <w:rPr>
          <w:i/>
          <w:rFonts w:asciiTheme="majorBidi" w:hAnsiTheme="majorBidi" w:cstheme="majorBidi"/>
          <w:color w:val="000000" w:themeColor="text1"/>
        </w:rPr>
        <w:t xml:space="preserve">BMC Pregnancy and Childbirth, 23</w:t>
      </w:r>
      <w:r>
        <w:rPr>
          <w:rFonts w:asciiTheme="majorBidi" w:hAnsiTheme="majorBidi" w:cstheme="majorBidi"/>
          <w:color w:val="000000" w:themeColor="text1"/>
        </w:rPr>
        <w:t xml:space="preserve">(1), Article 798. https://doi.org/10.1186/s12884-023-06118-y</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Rost, M., Montagnoli, C., &amp; Eichinger, J. (2025). Causes of moral distress among midwives: A scoping review. </w:t>
      </w:r>
      <w:r>
        <w:rPr>
          <w:i/>
          <w:rFonts w:asciiTheme="majorBidi" w:hAnsiTheme="majorBidi" w:cstheme="majorBidi"/>
          <w:color w:val="000000" w:themeColor="text1"/>
        </w:rPr>
        <w:t xml:space="preserve">Nursing Ethics, 32</w:t>
      </w:r>
      <w:r>
        <w:rPr>
          <w:rFonts w:asciiTheme="majorBidi" w:hAnsiTheme="majorBidi" w:cstheme="majorBidi"/>
          <w:color w:val="000000" w:themeColor="text1"/>
        </w:rPr>
        <w:t xml:space="preserve">(5), 1382–1405. https://doi.org/10.1177/09697330241281498</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Salvador, J. T., &amp; Almahmoud, S. A. (2025). Insights from expatriate nurses regarding the actualization of Saudi Vision 2030: A qualitative descriptive study. </w:t>
      </w:r>
      <w:r>
        <w:rPr>
          <w:i/>
          <w:rFonts w:asciiTheme="majorBidi" w:hAnsiTheme="majorBidi" w:cstheme="majorBidi"/>
          <w:color w:val="000000" w:themeColor="text1"/>
        </w:rPr>
        <w:t xml:space="preserve">Nursing Forum, 2025</w:t>
      </w:r>
      <w:r>
        <w:rPr>
          <w:rFonts w:asciiTheme="majorBidi" w:hAnsiTheme="majorBidi" w:cstheme="majorBidi"/>
          <w:color w:val="000000" w:themeColor="text1"/>
        </w:rPr>
        <w:t xml:space="preserve">, Article 3373664. https://doi.org/10.1155/nuf/3373664</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Thompson Burdine, J., Thorne, S., &amp; Sandhu, G. (2021). Interpretive description: A flexible qualitative methodology for medical education research. </w:t>
      </w:r>
      <w:r>
        <w:rPr>
          <w:i/>
          <w:rFonts w:asciiTheme="majorBidi" w:hAnsiTheme="majorBidi" w:cstheme="majorBidi"/>
          <w:color w:val="000000" w:themeColor="text1"/>
        </w:rPr>
        <w:t xml:space="preserve">Medical Education, 55</w:t>
      </w:r>
      <w:r>
        <w:rPr>
          <w:rFonts w:asciiTheme="majorBidi" w:hAnsiTheme="majorBidi" w:cstheme="majorBidi"/>
          <w:color w:val="000000" w:themeColor="text1"/>
        </w:rPr>
        <w:t xml:space="preserve">(3), 336–343. https://doi.org/10.1111/medu.14380</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Thorne, S. (2025). </w:t>
      </w:r>
      <w:r>
        <w:rPr>
          <w:i/>
          <w:rFonts w:asciiTheme="majorBidi" w:hAnsiTheme="majorBidi" w:cstheme="majorBidi"/>
          <w:color w:val="000000" w:themeColor="text1"/>
        </w:rPr>
        <w:t xml:space="preserve">Interpretive description: Qualitative research for applied practice</w:t>
      </w:r>
      <w:r>
        <w:rPr>
          <w:rFonts w:asciiTheme="majorBidi" w:hAnsiTheme="majorBidi" w:cstheme="majorBidi"/>
          <w:color w:val="000000" w:themeColor="text1"/>
        </w:rPr>
        <w:t xml:space="preserve"> (3rd ed.). Routledge. https://doi.org/10.4324/9781003503538</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Tong, A., Sainsbury, P., &amp; Craig, J. (2007). Consolidated criteria for reporting qualitative research (COREQ): A 32-item checklist for interviews and focus groups. </w:t>
      </w:r>
      <w:r>
        <w:rPr>
          <w:i/>
          <w:rFonts w:asciiTheme="majorBidi" w:hAnsiTheme="majorBidi" w:cstheme="majorBidi"/>
          <w:color w:val="000000" w:themeColor="text1"/>
        </w:rPr>
        <w:t xml:space="preserve">International Journal for Quality in Health Care, 19</w:t>
      </w:r>
      <w:r>
        <w:rPr>
          <w:rFonts w:asciiTheme="majorBidi" w:hAnsiTheme="majorBidi" w:cstheme="majorBidi"/>
          <w:color w:val="000000" w:themeColor="text1"/>
        </w:rPr>
        <w:t xml:space="preserve">(6), 349–357. https://doi.org/10.1093/intqhc/mzm042</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Varcoe, C., Pauly, B., Webster, G., &amp; Storch, J. (2012). Moral distress: Tensions as springboards for action. </w:t>
      </w:r>
      <w:r>
        <w:rPr>
          <w:i/>
          <w:rFonts w:asciiTheme="majorBidi" w:hAnsiTheme="majorBidi" w:cstheme="majorBidi"/>
          <w:color w:val="000000" w:themeColor="text1"/>
        </w:rPr>
        <w:t xml:space="preserve">HEC Forum, 24</w:t>
      </w:r>
      <w:r>
        <w:rPr>
          <w:rFonts w:asciiTheme="majorBidi" w:hAnsiTheme="majorBidi" w:cstheme="majorBidi"/>
          <w:color w:val="000000" w:themeColor="text1"/>
        </w:rPr>
        <w:t xml:space="preserve">(1), 51–62. https://doi.org/10.1007/s10730-012-9180-2</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Vella, J. (2024). In pursuit of credibility: Evaluating the divergence between member-checking and hermeneutic phenomenology. </w:t>
      </w:r>
      <w:r>
        <w:rPr>
          <w:i/>
          <w:rFonts w:asciiTheme="majorBidi" w:hAnsiTheme="majorBidi" w:cstheme="majorBidi"/>
          <w:color w:val="000000" w:themeColor="text1"/>
        </w:rPr>
        <w:t xml:space="preserve">Research in Social and Administrative Pharmacy, 20</w:t>
      </w:r>
      <w:r>
        <w:rPr>
          <w:rFonts w:asciiTheme="majorBidi" w:hAnsiTheme="majorBidi" w:cstheme="majorBidi"/>
          <w:color w:val="000000" w:themeColor="text1"/>
        </w:rPr>
        <w:t xml:space="preserve">(7), 665–669. https://doi.org/10.1016/j.sapharm.2024.04.001</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Webster, G. C., &amp; Baylis, F. E. (2000). Moral residue. In S. B. Rubin &amp; L. Zoloth (Eds.), </w:t>
      </w:r>
      <w:r>
        <w:rPr>
          <w:i/>
          <w:rFonts w:asciiTheme="majorBidi" w:hAnsiTheme="majorBidi" w:cstheme="majorBidi"/>
          <w:color w:val="000000" w:themeColor="text1"/>
        </w:rPr>
        <w:t xml:space="preserve">Margin of error: The ethics of mistakes in the practice of medicine</w:t>
      </w:r>
      <w:r>
        <w:rPr>
          <w:rFonts w:asciiTheme="majorBidi" w:hAnsiTheme="majorBidi" w:cstheme="majorBidi"/>
          <w:color w:val="000000" w:themeColor="text1"/>
        </w:rPr>
        <w:t xml:space="preserve"> (pp. 217–230). University Publishing Group.</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Wilson, J. (2025). Interpretive description and reflexive thematic analysis: Exploring conceptual coherence and methodological integrity. </w:t>
      </w:r>
      <w:r>
        <w:rPr>
          <w:i/>
          <w:rFonts w:asciiTheme="majorBidi" w:hAnsiTheme="majorBidi" w:cstheme="majorBidi"/>
          <w:color w:val="000000" w:themeColor="text1"/>
        </w:rPr>
        <w:t xml:space="preserve">Qualitative Health Research</w:t>
      </w:r>
      <w:r>
        <w:rPr>
          <w:rFonts w:asciiTheme="majorBidi" w:hAnsiTheme="majorBidi" w:cstheme="majorBidi"/>
          <w:color w:val="000000" w:themeColor="text1"/>
        </w:rPr>
        <w:t xml:space="preserve">. Advance online publication. https://doi.org/10.1177/10497323251378303</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World Health Organization. (2025). </w:t>
      </w:r>
      <w:r>
        <w:rPr>
          <w:i/>
          <w:rFonts w:asciiTheme="majorBidi" w:hAnsiTheme="majorBidi" w:cstheme="majorBidi"/>
          <w:color w:val="000000" w:themeColor="text1"/>
        </w:rPr>
        <w:t xml:space="preserve">Compendium on respectful maternal and newborn care</w:t>
      </w:r>
      <w:r>
        <w:rPr>
          <w:rFonts w:asciiTheme="majorBidi" w:hAnsiTheme="majorBidi" w:cstheme="majorBidi"/>
          <w:color w:val="000000" w:themeColor="text1"/>
        </w:rPr>
        <w:t xml:space="preserve">. https://www.who.int/publications/i/item/9789240110939</w:t>
      </w:r>
    </w:p>
    <w:p w14:paraId="5BFBC3A6" w14:textId="77777777" w:rsidR="00CA6A19" w:rsidRPr="00D13016" w:rsidRDefault="00000000">
      <w:pPr>
        <w:widowControl w:val="0"/>
        <w:autoSpaceDE w:val="0"/>
        <w:autoSpaceDN w:val="0"/>
        <w:bidi w:val="0"/>
        <w:adjustRightInd w:val="0"/>
        <w:spacing w:before="240" w:after="0" w:line="360" w:lineRule="auto"/>
        <w:rPr>
          <w:rFonts w:asciiTheme="majorBidi" w:hAnsiTheme="majorBidi" w:cstheme="majorBidi"/>
          <w:noProof/>
          <w:color w:val="000000" w:themeColor="text1"/>
          <w:kern w:val="0"/>
        </w:rPr>
      </w:pPr>
      <w:r>
        <w:rPr>
          <w:rFonts w:asciiTheme="majorBidi" w:hAnsiTheme="majorBidi" w:cstheme="majorBidi"/>
          <w:color w:val="000000" w:themeColor="text1"/>
        </w:rPr>
        <w:t xml:space="preserve">Yalley, A. A., Jarašiūnaitė-Fedosejeva, G., Kömürcü-Akik, B., &amp; de Abreu, L. (2024). Addressing obstetric violence: A scoping review of interventions in healthcare and their impact on maternal care quality. </w:t>
      </w:r>
      <w:r>
        <w:rPr>
          <w:i/>
          <w:rFonts w:asciiTheme="majorBidi" w:hAnsiTheme="majorBidi" w:cstheme="majorBidi"/>
          <w:color w:val="000000" w:themeColor="text1"/>
        </w:rPr>
        <w:t xml:space="preserve">Frontiers in Public Health, 12</w:t>
      </w:r>
      <w:r>
        <w:rPr>
          <w:rFonts w:asciiTheme="majorBidi" w:hAnsiTheme="majorBidi" w:cstheme="majorBidi"/>
          <w:color w:val="000000" w:themeColor="text1"/>
        </w:rPr>
        <w:t xml:space="preserve">, Article 1388858. https://doi.org/10.3389/fpubh.2024.1388858</w:t>
      </w:r>
    </w:p>
    <w:p w14:paraId="0DA20A31" w14:textId="77777777" w:rsidR="00CA6A19" w:rsidRPr="009E5E4B" w:rsidRDefault="00CA6A19">
      <w:pPr>
        <w:bidi w:val="0"/>
        <w:spacing w:before="240" w:after="0" w:line="360" w:lineRule="auto"/>
        <w:jc w:val="both"/>
        <w:rPr>
          <w:rFonts w:asciiTheme="majorBidi" w:hAnsiTheme="majorBidi" w:cstheme="majorBidi"/>
          <w:color w:val="000000" w:themeColor="text1"/>
        </w:rPr>
      </w:pPr>
    </w:p>
    <w:p>
      <w:r>
        <w:br w:type="page"/>
      </w:r>
    </w:p>
    <w:p w14:paraId="221A6EFE" w14:textId="77777777" w:rsidR="00CA6A19" w:rsidRPr="00D13016" w:rsidRDefault="00000000" w:rsidP="000A7601">
      <w:pPr>
        <w:bidi w:val="0"/>
        <w:spacing w:before="120" w:after="0" w:line="360" w:lineRule="auto"/>
        <w:rPr>
          <w:rFonts w:asciiTheme="majorBidi" w:hAnsiTheme="majorBidi" w:cstheme="majorBidi"/>
          <w:i/>
          <w:iCs/>
          <w:color w:val="000000" w:themeColor="text1"/>
        </w:rPr>
      </w:pPr>
      <w:r>
        <w:rPr>
          <w:rFonts w:asciiTheme="majorBidi" w:hAnsiTheme="majorBidi" w:cstheme="majorBidi"/>
          <w:b/>
          <w:i/>
          <w:iCs/>
          <w:color w:val="000000" w:themeColor="text1"/>
        </w:rPr>
        <w:t xml:space="preserve">TABLE 1. </w:t>
      </w:r>
      <w:r>
        <w:rPr>
          <w:rFonts w:asciiTheme="majorBidi" w:hAnsiTheme="majorBidi" w:cstheme="majorBidi"/>
          <w:i/>
          <w:iCs/>
          <w:color w:val="000000" w:themeColor="text1"/>
        </w:rPr>
        <w:t xml:space="preserve">Participant demographic and professional characteristics (n = 18).</w:t>
      </w:r>
    </w:p>
    <w:tbl>
      <w:tblPr>
        <w:tblStyle w:val="TableGrid"/>
        <w:tblW w:w="5000" w:type="pct"/>
        <w:jc w:val="center"/>
        <w:tblLook w:val="04A0" w:firstRow="1" w:lastRow="0" w:firstColumn="1" w:lastColumn="0" w:noHBand="0" w:noVBand="1"/>
      </w:tblPr>
      <w:tblGrid>
        <w:gridCol w:w="4765"/>
        <w:gridCol w:w="4765"/>
      </w:tblGrid>
      <w:tr w:rsidR="00CA6A19" w:rsidRPr="00D13016" w14:paraId="4BB548AB" w14:textId="77777777" w:rsidTr="00065EF3">
        <w:trPr>
          <w:cantSplit/>
          <w:tblHeader/>
          <w:jc w:val="center"/>
        </w:trPr>
        <w:tc>
          <w:tcPr>
            <w:tcW w:w="2500" w:type="pct"/>
            <w:shd w:val="clear" w:color="auto" w:fill="F2F2F2" w:themeFill="background1" w:themeFillShade="F2"/>
          </w:tcPr>
          <w:p w14:paraId="6B20D94B"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Characteristic</w:t>
            </w:r>
          </w:p>
        </w:tc>
        <w:tc>
          <w:tcPr>
            <w:tcW w:w="2500" w:type="pct"/>
            <w:shd w:val="clear" w:color="auto" w:fill="F2F2F2" w:themeFill="background1" w:themeFillShade="F2"/>
          </w:tcPr>
          <w:p w14:paraId="663CF5F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b/>
                <w:color w:val="000000" w:themeColor="text1"/>
              </w:rPr>
              <w:t>n (%) or mean ± SD</w:t>
            </w:r>
          </w:p>
        </w:tc>
      </w:tr>
      <w:tr w:rsidR="00CA6A19" w:rsidRPr="00D13016" w14:paraId="27094392" w14:textId="77777777">
        <w:trPr>
          <w:cantSplit/>
          <w:jc w:val="center"/>
        </w:trPr>
        <w:tc>
          <w:tcPr>
            <w:tcW w:w="2500" w:type="pct"/>
          </w:tcPr>
          <w:p w14:paraId="04B1A197"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Age, years</w:t>
            </w:r>
          </w:p>
        </w:tc>
        <w:tc>
          <w:tcPr>
            <w:tcW w:w="2500" w:type="pct"/>
          </w:tcPr>
          <w:p w14:paraId="2D90CCB0"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37.2 ± 6.8</w:t>
            </w:r>
          </w:p>
        </w:tc>
      </w:tr>
      <w:tr w:rsidR="00CA6A19" w:rsidRPr="00D13016" w14:paraId="49F43F37" w14:textId="77777777">
        <w:trPr>
          <w:cantSplit/>
          <w:jc w:val="center"/>
        </w:trPr>
        <w:tc>
          <w:tcPr>
            <w:tcW w:w="2500" w:type="pct"/>
          </w:tcPr>
          <w:p w14:paraId="29720465"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lastRenderedPageBreak/>
              <w:t xml:space="preserve">  Age range, years</w:t>
            </w:r>
          </w:p>
        </w:tc>
        <w:tc>
          <w:tcPr>
            <w:tcW w:w="2500" w:type="pct"/>
          </w:tcPr>
          <w:p w14:paraId="161F4DB1"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26–51</w:t>
            </w:r>
          </w:p>
        </w:tc>
      </w:tr>
      <w:tr w:rsidR="00CA6A19" w:rsidRPr="00D13016" w14:paraId="611EB325" w14:textId="77777777">
        <w:trPr>
          <w:cantSplit/>
          <w:jc w:val="center"/>
        </w:trPr>
        <w:tc>
          <w:tcPr>
            <w:tcW w:w="2500" w:type="pct"/>
          </w:tcPr>
          <w:p w14:paraId="3A29F87F"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Years of maternity-care experience</w:t>
            </w:r>
          </w:p>
        </w:tc>
        <w:tc>
          <w:tcPr>
            <w:tcW w:w="2500" w:type="pct"/>
          </w:tcPr>
          <w:p w14:paraId="772EFFF8"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9.6 ± 5.4</w:t>
            </w:r>
          </w:p>
        </w:tc>
      </w:tr>
      <w:tr w:rsidR="00CA6A19" w:rsidRPr="00D13016" w14:paraId="6F521B3F" w14:textId="77777777">
        <w:trPr>
          <w:cantSplit/>
          <w:jc w:val="center"/>
        </w:trPr>
        <w:tc>
          <w:tcPr>
            <w:tcW w:w="2500" w:type="pct"/>
          </w:tcPr>
          <w:p w14:paraId="71CB7B90"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Experience range, years</w:t>
            </w:r>
          </w:p>
        </w:tc>
        <w:tc>
          <w:tcPr>
            <w:tcW w:w="2500" w:type="pct"/>
          </w:tcPr>
          <w:p w14:paraId="26503D73"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1–24</w:t>
            </w:r>
          </w:p>
        </w:tc>
      </w:tr>
      <w:tr w:rsidR="00CA6A19" w:rsidRPr="00D13016" w14:paraId="333FC4B9" w14:textId="77777777">
        <w:trPr>
          <w:cantSplit/>
          <w:jc w:val="center"/>
        </w:trPr>
        <w:tc>
          <w:tcPr>
            <w:tcW w:w="2500" w:type="pct"/>
          </w:tcPr>
          <w:p w14:paraId="3BEC421D"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Gender</w:t>
            </w:r>
          </w:p>
        </w:tc>
        <w:tc>
          <w:tcPr>
            <w:tcW w:w="2500" w:type="pct"/>
          </w:tcPr>
          <w:p w14:paraId="71B120AF"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495DBF4A" w14:textId="77777777">
        <w:trPr>
          <w:cantSplit/>
          <w:jc w:val="center"/>
        </w:trPr>
        <w:tc>
          <w:tcPr>
            <w:tcW w:w="2500" w:type="pct"/>
          </w:tcPr>
          <w:p w14:paraId="306ABD75"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Female</w:t>
            </w:r>
          </w:p>
        </w:tc>
        <w:tc>
          <w:tcPr>
            <w:tcW w:w="2500" w:type="pct"/>
          </w:tcPr>
          <w:p w14:paraId="09F2F997"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 xml:space="preserve">18 (100.0)</w:t>
            </w:r>
          </w:p>
        </w:tc>
      </w:tr>
      <w:tr w:rsidR="00CA6A19" w:rsidRPr="00D13016" w14:paraId="71DD2CD9" w14:textId="77777777">
        <w:trPr>
          <w:cantSplit/>
          <w:jc w:val="center"/>
        </w:trPr>
        <w:tc>
          <w:tcPr>
            <w:tcW w:w="2500" w:type="pct"/>
          </w:tcPr>
          <w:p w14:paraId="16D624A6"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Professional role</w:t>
            </w:r>
          </w:p>
        </w:tc>
        <w:tc>
          <w:tcPr>
            <w:tcW w:w="2500" w:type="pct"/>
          </w:tcPr>
          <w:p w14:paraId="3048BF3C"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7ED3D336" w14:textId="77777777">
        <w:trPr>
          <w:cantSplit/>
          <w:jc w:val="center"/>
        </w:trPr>
        <w:tc>
          <w:tcPr>
            <w:tcW w:w="2500" w:type="pct"/>
          </w:tcPr>
          <w:p w14:paraId="4D0E68AF"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Registered nurse</w:t>
            </w:r>
          </w:p>
        </w:tc>
        <w:tc>
          <w:tcPr>
            <w:tcW w:w="2500" w:type="pct"/>
          </w:tcPr>
          <w:p w14:paraId="3CD2D21F"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12 (66.7)</w:t>
            </w:r>
          </w:p>
        </w:tc>
      </w:tr>
      <w:tr w:rsidR="00CA6A19" w:rsidRPr="00D13016" w14:paraId="7B1BA459" w14:textId="77777777">
        <w:trPr>
          <w:cantSplit/>
          <w:jc w:val="center"/>
        </w:trPr>
        <w:tc>
          <w:tcPr>
            <w:tcW w:w="2500" w:type="pct"/>
          </w:tcPr>
          <w:p w14:paraId="1F5ACAA9"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Midwife</w:t>
            </w:r>
          </w:p>
        </w:tc>
        <w:tc>
          <w:tcPr>
            <w:tcW w:w="2500" w:type="pct"/>
          </w:tcPr>
          <w:p w14:paraId="791D7B9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6 (33.3)</w:t>
            </w:r>
          </w:p>
        </w:tc>
      </w:tr>
      <w:tr w:rsidR="00CA6A19" w:rsidRPr="00D13016" w14:paraId="42FDD7F3" w14:textId="77777777">
        <w:trPr>
          <w:cantSplit/>
          <w:jc w:val="center"/>
        </w:trPr>
        <w:tc>
          <w:tcPr>
            <w:tcW w:w="2500" w:type="pct"/>
          </w:tcPr>
          <w:p w14:paraId="6E7CEFA1"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Primary area of practice</w:t>
            </w:r>
          </w:p>
        </w:tc>
        <w:tc>
          <w:tcPr>
            <w:tcW w:w="2500" w:type="pct"/>
          </w:tcPr>
          <w:p w14:paraId="4A01D2B9"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5A729F0C" w14:textId="77777777">
        <w:trPr>
          <w:cantSplit/>
          <w:jc w:val="center"/>
        </w:trPr>
        <w:tc>
          <w:tcPr>
            <w:tcW w:w="2500" w:type="pct"/>
          </w:tcPr>
          <w:p w14:paraId="1F526FD4"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Labour and birth unit</w:t>
            </w:r>
          </w:p>
        </w:tc>
        <w:tc>
          <w:tcPr>
            <w:tcW w:w="2500" w:type="pct"/>
          </w:tcPr>
          <w:p w14:paraId="3898D6BB"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9 (50.0)</w:t>
            </w:r>
          </w:p>
        </w:tc>
      </w:tr>
      <w:tr w:rsidR="00CA6A19" w:rsidRPr="00D13016" w14:paraId="2FF05411" w14:textId="77777777">
        <w:trPr>
          <w:cantSplit/>
          <w:jc w:val="center"/>
        </w:trPr>
        <w:tc>
          <w:tcPr>
            <w:tcW w:w="2500" w:type="pct"/>
          </w:tcPr>
          <w:p w14:paraId="7A4C6466"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Maternity inpatient ward</w:t>
            </w:r>
          </w:p>
        </w:tc>
        <w:tc>
          <w:tcPr>
            <w:tcW w:w="2500" w:type="pct"/>
          </w:tcPr>
          <w:p w14:paraId="5FB4A37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5 (27.8)</w:t>
            </w:r>
          </w:p>
        </w:tc>
      </w:tr>
      <w:tr w:rsidR="00CA6A19" w:rsidRPr="00D13016" w14:paraId="140CB39E" w14:textId="77777777">
        <w:trPr>
          <w:cantSplit/>
          <w:jc w:val="center"/>
        </w:trPr>
        <w:tc>
          <w:tcPr>
            <w:tcW w:w="2500" w:type="pct"/>
          </w:tcPr>
          <w:p w14:paraId="31D5D45D"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Antenatal/postnatal outpatient services</w:t>
            </w:r>
          </w:p>
        </w:tc>
        <w:tc>
          <w:tcPr>
            <w:tcW w:w="2500" w:type="pct"/>
          </w:tcPr>
          <w:p w14:paraId="7340B27F"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4 (22.2)</w:t>
            </w:r>
          </w:p>
        </w:tc>
      </w:tr>
      <w:tr w:rsidR="00CA6A19" w:rsidRPr="00D13016" w14:paraId="6F8702BE" w14:textId="77777777">
        <w:trPr>
          <w:cantSplit/>
          <w:jc w:val="center"/>
        </w:trPr>
        <w:tc>
          <w:tcPr>
            <w:tcW w:w="2500" w:type="pct"/>
          </w:tcPr>
          <w:p w14:paraId="46536314"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Highest qualification</w:t>
            </w:r>
          </w:p>
        </w:tc>
        <w:tc>
          <w:tcPr>
            <w:tcW w:w="2500" w:type="pct"/>
          </w:tcPr>
          <w:p w14:paraId="080CD654"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198AE55F" w14:textId="77777777">
        <w:trPr>
          <w:cantSplit/>
          <w:jc w:val="center"/>
        </w:trPr>
        <w:tc>
          <w:tcPr>
            <w:tcW w:w="2500" w:type="pct"/>
          </w:tcPr>
          <w:p w14:paraId="29813600"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Bachelor’s degree in nursing or midwifery</w:t>
            </w:r>
          </w:p>
        </w:tc>
        <w:tc>
          <w:tcPr>
            <w:tcW w:w="2500" w:type="pct"/>
          </w:tcPr>
          <w:p w14:paraId="5D0164F5"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14 (77.8)</w:t>
            </w:r>
          </w:p>
        </w:tc>
      </w:tr>
      <w:tr w:rsidR="00CA6A19" w:rsidRPr="00D13016" w14:paraId="2DCAA53E" w14:textId="77777777">
        <w:trPr>
          <w:cantSplit/>
          <w:jc w:val="center"/>
        </w:trPr>
        <w:tc>
          <w:tcPr>
            <w:tcW w:w="2500" w:type="pct"/>
          </w:tcPr>
          <w:p w14:paraId="008E233D"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Postgraduate qualification</w:t>
            </w:r>
          </w:p>
        </w:tc>
        <w:tc>
          <w:tcPr>
            <w:tcW w:w="2500" w:type="pct"/>
          </w:tcPr>
          <w:p w14:paraId="67EA97B3"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4 (22.2)</w:t>
            </w:r>
          </w:p>
        </w:tc>
      </w:tr>
      <w:tr w:rsidR="00CA6A19" w:rsidRPr="00D13016" w14:paraId="4E316BB1" w14:textId="77777777">
        <w:trPr>
          <w:cantSplit/>
          <w:jc w:val="center"/>
        </w:trPr>
        <w:tc>
          <w:tcPr>
            <w:tcW w:w="2500" w:type="pct"/>
          </w:tcPr>
          <w:p w14:paraId="5231FA16"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Interview language</w:t>
            </w:r>
          </w:p>
        </w:tc>
        <w:tc>
          <w:tcPr>
            <w:tcW w:w="2500" w:type="pct"/>
          </w:tcPr>
          <w:p w14:paraId="62541188"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6E38E628" w14:textId="77777777">
        <w:trPr>
          <w:cantSplit/>
          <w:jc w:val="center"/>
        </w:trPr>
        <w:tc>
          <w:tcPr>
            <w:tcW w:w="2500" w:type="pct"/>
          </w:tcPr>
          <w:p w14:paraId="58FD449C"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English</w:t>
            </w:r>
          </w:p>
        </w:tc>
        <w:tc>
          <w:tcPr>
            <w:tcW w:w="2500" w:type="pct"/>
          </w:tcPr>
          <w:p w14:paraId="073DF050"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12 (66.7)</w:t>
            </w:r>
          </w:p>
        </w:tc>
      </w:tr>
      <w:tr w:rsidR="00CA6A19" w:rsidRPr="00D13016" w14:paraId="6DD1CD5F" w14:textId="77777777">
        <w:trPr>
          <w:cantSplit/>
          <w:jc w:val="center"/>
        </w:trPr>
        <w:tc>
          <w:tcPr>
            <w:tcW w:w="2500" w:type="pct"/>
          </w:tcPr>
          <w:p w14:paraId="17E2761C"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Arabic</w:t>
            </w:r>
          </w:p>
        </w:tc>
        <w:tc>
          <w:tcPr>
            <w:tcW w:w="2500" w:type="pct"/>
          </w:tcPr>
          <w:p w14:paraId="65D9C11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6 (33.3)</w:t>
            </w:r>
          </w:p>
        </w:tc>
      </w:tr>
      <w:tr w:rsidR="00CA6A19" w:rsidRPr="00D13016" w14:paraId="5B3B188B" w14:textId="77777777">
        <w:trPr>
          <w:cantSplit/>
          <w:jc w:val="center"/>
        </w:trPr>
        <w:tc>
          <w:tcPr>
            <w:tcW w:w="2500" w:type="pct"/>
          </w:tcPr>
          <w:p w14:paraId="24C0A7EE"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b/>
                <w:color w:val="000000" w:themeColor="text1"/>
              </w:rPr>
              <w:t>Workforce background</w:t>
            </w:r>
          </w:p>
        </w:tc>
        <w:tc>
          <w:tcPr>
            <w:tcW w:w="2500" w:type="pct"/>
          </w:tcPr>
          <w:p w14:paraId="0DF71707" w14:textId="77777777" w:rsidR="00CA6A19" w:rsidRPr="00D13016" w:rsidRDefault="00CA6A19" w:rsidP="000A7601">
            <w:pPr>
              <w:bidi w:val="0"/>
              <w:spacing w:before="40" w:after="40" w:line="276" w:lineRule="auto"/>
              <w:jc w:val="center"/>
              <w:rPr>
                <w:rFonts w:asciiTheme="majorBidi" w:hAnsiTheme="majorBidi" w:cstheme="majorBidi"/>
                <w:color w:val="000000" w:themeColor="text1"/>
              </w:rPr>
            </w:pPr>
          </w:p>
        </w:tc>
      </w:tr>
      <w:tr w:rsidR="00CA6A19" w:rsidRPr="00D13016" w14:paraId="5FB95401" w14:textId="77777777">
        <w:trPr>
          <w:cantSplit/>
          <w:jc w:val="center"/>
        </w:trPr>
        <w:tc>
          <w:tcPr>
            <w:tcW w:w="2500" w:type="pct"/>
          </w:tcPr>
          <w:p w14:paraId="052984C3"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Saudi</w:t>
            </w:r>
          </w:p>
        </w:tc>
        <w:tc>
          <w:tcPr>
            <w:tcW w:w="2500" w:type="pct"/>
          </w:tcPr>
          <w:p w14:paraId="24D6CE69"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3 (16.7)</w:t>
            </w:r>
          </w:p>
        </w:tc>
      </w:tr>
      <w:tr w:rsidR="00CA6A19" w:rsidRPr="00D13016" w14:paraId="4278F6A3" w14:textId="77777777">
        <w:trPr>
          <w:cantSplit/>
          <w:jc w:val="center"/>
        </w:trPr>
        <w:tc>
          <w:tcPr>
            <w:tcW w:w="2500" w:type="pct"/>
          </w:tcPr>
          <w:p w14:paraId="63D89D9A" w14:textId="77777777" w:rsidR="00CA6A19" w:rsidRPr="00D13016" w:rsidRDefault="00000000" w:rsidP="000A7601">
            <w:pPr>
              <w:bidi w:val="0"/>
              <w:spacing w:before="40" w:after="40" w:line="276" w:lineRule="auto"/>
              <w:rPr>
                <w:rFonts w:asciiTheme="majorBidi" w:hAnsiTheme="majorBidi" w:cstheme="majorBidi"/>
                <w:color w:val="000000" w:themeColor="text1"/>
              </w:rPr>
            </w:pPr>
            <w:r>
              <w:rPr>
                <w:rFonts w:asciiTheme="majorBidi" w:hAnsiTheme="majorBidi" w:cstheme="majorBidi"/>
                <w:color w:val="000000" w:themeColor="text1"/>
              </w:rPr>
              <w:t xml:space="preserve">  Non-Saudi</w:t>
            </w:r>
          </w:p>
        </w:tc>
        <w:tc>
          <w:tcPr>
            <w:tcW w:w="2500" w:type="pct"/>
          </w:tcPr>
          <w:p w14:paraId="082304BA" w14:textId="77777777" w:rsidR="00CA6A19" w:rsidRPr="00D13016" w:rsidRDefault="00000000" w:rsidP="000A7601">
            <w:pPr>
              <w:bidi w:val="0"/>
              <w:spacing w:before="40" w:after="40" w:line="276" w:lineRule="auto"/>
              <w:jc w:val="center"/>
              <w:rPr>
                <w:rFonts w:asciiTheme="majorBidi" w:hAnsiTheme="majorBidi" w:cstheme="majorBidi"/>
                <w:color w:val="000000" w:themeColor="text1"/>
              </w:rPr>
            </w:pPr>
            <w:r>
              <w:rPr>
                <w:rFonts w:asciiTheme="majorBidi" w:hAnsiTheme="majorBidi" w:cstheme="majorBidi"/>
                <w:color w:val="000000" w:themeColor="text1"/>
              </w:rPr>
              <w:t>15 (83.3)</w:t>
            </w:r>
          </w:p>
        </w:tc>
      </w:tr>
    </w:tbl>
    <w:p w14:paraId="359AA55B" w14:textId="00293087" w:rsidR="00CA6A19" w:rsidRPr="00D13016" w:rsidRDefault="00000000" w:rsidP="000A7601">
      <w:pPr>
        <w:bidi w:val="0"/>
        <w:spacing w:before="60" w:after="0"/>
        <w:jc w:val="both"/>
        <w:rPr>
          <w:rFonts w:asciiTheme="majorBidi" w:hAnsiTheme="majorBidi" w:cstheme="majorBidi"/>
          <w:color w:val="000000" w:themeColor="text1"/>
          <w:sz w:val="20"/>
          <w:szCs w:val="20"/>
        </w:rPr>
      </w:pPr>
      <w:r>
        <w:rPr>
          <w:rFonts w:asciiTheme="majorBidi" w:hAnsiTheme="majorBidi" w:cstheme="majorBidi"/>
          <w:b/>
          <w:bCs/>
          <w:i/>
          <w:color w:val="000000" w:themeColor="text1"/>
          <w:sz w:val="20"/>
          <w:szCs w:val="20"/>
        </w:rPr>
        <w:t xml:space="preserve">Note.</w:t>
      </w:r>
      <w:r>
        <w:rPr>
          <w:rFonts w:asciiTheme="majorBidi" w:hAnsiTheme="majorBidi" w:cstheme="majorBidi"/>
          <w:i/>
          <w:color w:val="000000" w:themeColor="text1"/>
          <w:sz w:val="20"/>
          <w:szCs w:val="20"/>
        </w:rPr>
        <w:t xml:space="preserve"> Percentages may not total 100 due to rounding. </w:t>
      </w:r>
      <w:r>
        <w:rPr>
          <w:i/>
          <w:rFonts w:asciiTheme="majorBidi" w:hAnsiTheme="majorBidi" w:cstheme="majorBidi"/>
          <w:color w:val="000000" w:themeColor="text1"/>
          <w:sz w:val="20"/>
          <w:szCs w:val="20"/>
        </w:rPr>
        <w:t xml:space="preserve">All participants were women, reflecting the female staffing of maternity care in the setting; other characteristics are reported in aggregate to protect anonymity in this single-site study.</w:t>
      </w:r>
      <w:r>
        <w:rPr>
          <w:rFonts w:asciiTheme="majorBidi" w:hAnsiTheme="majorBidi" w:cstheme="majorBidi"/>
          <w:i/>
          <w:color w:val="000000" w:themeColor="text1"/>
          <w:sz w:val="20"/>
          <w:szCs w:val="20"/>
        </w:rPr>
        <w:t xml:space="preserve"> Standardised data on participants’ prior training in respectful maternity care or in obstetric violence, and their awareness of applicable institutional policies, were not systematically collected (see Limitations).</w:t>
      </w:r>
    </w:p>
    <w:p>
      <w:r>
        <w:br w:type="page"/>
      </w:r>
    </w:p>
    <w:p w14:paraId="72E0A5AF" w14:textId="77777777" w:rsidR="00CA6A19" w:rsidRPr="00D13016" w:rsidRDefault="00000000">
      <w:pPr>
        <w:bidi w:val="0"/>
        <w:spacing w:before="200" w:after="80"/>
        <w:rPr>
          <w:rFonts w:asciiTheme="majorBidi" w:hAnsiTheme="majorBidi" w:cstheme="majorBidi"/>
          <w:color w:val="000000" w:themeColor="text1"/>
        </w:rPr>
      </w:pPr>
      <w:r>
        <w:rPr>
          <w:rFonts w:asciiTheme="majorBidi" w:hAnsiTheme="majorBidi" w:cstheme="majorBidi"/>
          <w:b/>
          <w:i/>
          <w:iCs/>
          <w:color w:val="000000" w:themeColor="text1"/>
        </w:rPr>
        <w:t>TABLE 2.</w:t>
      </w:r>
      <w:r>
        <w:rPr>
          <w:rFonts w:asciiTheme="majorBidi" w:hAnsiTheme="majorBidi" w:cstheme="majorBidi"/>
          <w:b/>
          <w:color w:val="000000" w:themeColor="text1"/>
        </w:rPr>
        <w:t xml:space="preserve"> </w:t>
      </w:r>
      <w:r>
        <w:rPr>
          <w:rFonts w:asciiTheme="majorBidi" w:hAnsiTheme="majorBidi" w:cstheme="majorBidi"/>
          <w:bCs/>
          <w:i/>
          <w:iCs/>
          <w:color w:val="000000" w:themeColor="text1"/>
        </w:rPr>
        <w:t>Interpretive themes and subthemes with illustrative data excerpts</w:t>
      </w:r>
    </w:p>
    <w:tbl>
      <w:tblPr>
        <w:tblStyle w:val="TableGrid"/>
        <w:tblW w:w="0" w:type="auto"/>
        <w:jc w:val="center"/>
        <w:tblLook w:val="04A0" w:firstRow="1" w:lastRow="0" w:firstColumn="1" w:lastColumn="0" w:noHBand="0" w:noVBand="1"/>
      </w:tblPr>
      <w:tblGrid>
        <w:gridCol w:w="2248"/>
        <w:gridCol w:w="1867"/>
        <w:gridCol w:w="2781"/>
        <w:gridCol w:w="2634"/>
      </w:tblGrid>
      <w:tr w:rsidR="00CA6A19" w:rsidRPr="00D13016" w14:paraId="1834095E" w14:textId="77777777" w:rsidTr="00065EF3">
        <w:trPr>
          <w:cantSplit/>
          <w:tblHeader/>
          <w:jc w:val="center"/>
        </w:trPr>
        <w:tc>
          <w:tcPr>
            <w:tcW w:w="0" w:type="auto"/>
            <w:shd w:val="clear" w:color="auto" w:fill="F2F2F2" w:themeFill="background1" w:themeFillShade="F2"/>
          </w:tcPr>
          <w:p w14:paraId="2F410E9B" w14:textId="77777777" w:rsidR="00CA6A19" w:rsidRPr="00D13016" w:rsidRDefault="00000000" w:rsidP="00065EF3">
            <w:pPr>
              <w:bidi w:val="0"/>
              <w:jc w:val="center"/>
              <w:rPr>
                <w:rFonts w:asciiTheme="majorBidi" w:hAnsiTheme="majorBidi" w:cstheme="majorBidi"/>
                <w:color w:val="000000" w:themeColor="text1"/>
              </w:rPr>
            </w:pPr>
            <w:r>
              <w:rPr>
                <w:rFonts w:asciiTheme="majorBidi" w:hAnsiTheme="majorBidi" w:cstheme="majorBidi"/>
                <w:b/>
                <w:color w:val="000000" w:themeColor="text1"/>
              </w:rPr>
              <w:t>Theme</w:t>
            </w:r>
          </w:p>
        </w:tc>
        <w:tc>
          <w:tcPr>
            <w:tcW w:w="0" w:type="auto"/>
            <w:shd w:val="clear" w:color="auto" w:fill="F2F2F2" w:themeFill="background1" w:themeFillShade="F2"/>
          </w:tcPr>
          <w:p w14:paraId="6DDA16AA" w14:textId="77777777" w:rsidR="00CA6A19" w:rsidRPr="00D13016" w:rsidRDefault="00000000" w:rsidP="00065EF3">
            <w:pPr>
              <w:bidi w:val="0"/>
              <w:jc w:val="center"/>
              <w:rPr>
                <w:rFonts w:asciiTheme="majorBidi" w:hAnsiTheme="majorBidi" w:cstheme="majorBidi"/>
                <w:color w:val="000000" w:themeColor="text1"/>
              </w:rPr>
            </w:pPr>
            <w:r>
              <w:rPr>
                <w:rFonts w:asciiTheme="majorBidi" w:hAnsiTheme="majorBidi" w:cstheme="majorBidi"/>
                <w:b/>
                <w:color w:val="000000" w:themeColor="text1"/>
              </w:rPr>
              <w:t>Subtheme</w:t>
            </w:r>
          </w:p>
        </w:tc>
        <w:tc>
          <w:tcPr>
            <w:tcW w:w="0" w:type="auto"/>
            <w:shd w:val="clear" w:color="auto" w:fill="F2F2F2" w:themeFill="background1" w:themeFillShade="F2"/>
          </w:tcPr>
          <w:p w14:paraId="62A46719" w14:textId="77777777" w:rsidR="00CA6A19" w:rsidRPr="00D13016" w:rsidRDefault="00000000" w:rsidP="00065EF3">
            <w:pPr>
              <w:bidi w:val="0"/>
              <w:jc w:val="center"/>
              <w:rPr>
                <w:rFonts w:asciiTheme="majorBidi" w:hAnsiTheme="majorBidi" w:cstheme="majorBidi"/>
                <w:color w:val="000000" w:themeColor="text1"/>
              </w:rPr>
            </w:pPr>
            <w:r>
              <w:rPr>
                <w:rFonts w:asciiTheme="majorBidi" w:hAnsiTheme="majorBidi" w:cstheme="majorBidi"/>
                <w:b/>
                <w:color w:val="000000" w:themeColor="text1"/>
              </w:rPr>
              <w:t>Analytic focus</w:t>
            </w:r>
          </w:p>
        </w:tc>
        <w:tc>
          <w:tcPr>
            <w:tcW w:w="0" w:type="auto"/>
            <w:shd w:val="clear" w:color="auto" w:fill="F2F2F2" w:themeFill="background1" w:themeFillShade="F2"/>
          </w:tcPr>
          <w:p w14:paraId="58142749" w14:textId="77777777" w:rsidR="00CA6A19" w:rsidRPr="00D13016" w:rsidRDefault="00000000" w:rsidP="00065EF3">
            <w:pPr>
              <w:bidi w:val="0"/>
              <w:jc w:val="center"/>
              <w:rPr>
                <w:rFonts w:asciiTheme="majorBidi" w:hAnsiTheme="majorBidi" w:cstheme="majorBidi"/>
                <w:color w:val="000000" w:themeColor="text1"/>
              </w:rPr>
            </w:pPr>
            <w:r>
              <w:rPr>
                <w:rFonts w:asciiTheme="majorBidi" w:hAnsiTheme="majorBidi" w:cstheme="majorBidi"/>
                <w:b/>
                <w:color w:val="000000" w:themeColor="text1"/>
              </w:rPr>
              <w:t>Illustrative data excerpt</w:t>
            </w:r>
          </w:p>
        </w:tc>
      </w:tr>
      <w:tr w:rsidR="00955CAE" w:rsidRPr="00D13016" w14:paraId="10D57333" w14:textId="77777777" w:rsidTr="00955CAE">
        <w:trPr>
          <w:cantSplit/>
          <w:jc w:val="center"/>
        </w:trPr>
        <w:tc>
          <w:tcPr>
            <w:tcW w:w="0" w:type="auto"/>
            <w:vMerge w:val="restart"/>
          </w:tcPr>
          <w:p w14:paraId="1F581991"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1. Naming what could not be named: recognising obstetric violence </w:t>
            </w:r>
            <w:r>
              <w:rPr>
                <w:rFonts w:asciiTheme="majorBidi" w:hAnsiTheme="majorBidi" w:cstheme="majorBidi"/>
                <w:color w:val="000000" w:themeColor="text1"/>
              </w:rPr>
              <w:t xml:space="preserve">without a shared institutional language</w:t>
            </w:r>
          </w:p>
        </w:tc>
        <w:tc>
          <w:tcPr>
            <w:tcW w:w="0" w:type="auto"/>
          </w:tcPr>
          <w:p w14:paraId="11D98EEB"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1a. Seeing without language</w:t>
            </w:r>
          </w:p>
        </w:tc>
        <w:tc>
          <w:tcPr>
            <w:tcW w:w="0" w:type="auto"/>
          </w:tcPr>
          <w:p w14:paraId="624C8C89"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Participants recognised disrespectful or harmful practices but lacked the institutional language to name them as obstetric violence.</w:t>
            </w:r>
          </w:p>
        </w:tc>
        <w:tc>
          <w:tcPr>
            <w:tcW w:w="0" w:type="auto"/>
          </w:tcPr>
          <w:p w14:paraId="2DB84255"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“You feel it before you know what to call it … There is no place to write this.” (P1)</w:t>
            </w:r>
          </w:p>
        </w:tc>
      </w:tr>
      <w:tr w:rsidR="00955CAE" w:rsidRPr="00D13016" w14:paraId="71071635" w14:textId="77777777" w:rsidTr="00955CAE">
        <w:trPr>
          <w:cantSplit/>
          <w:jc w:val="center"/>
        </w:trPr>
        <w:tc>
          <w:tcPr>
            <w:tcW w:w="0" w:type="auto"/>
            <w:vMerge/>
          </w:tcPr>
          <w:p w14:paraId="67B12778" w14:textId="77777777" w:rsidR="00955CAE" w:rsidRPr="00D13016" w:rsidRDefault="00955CAE" w:rsidP="00955CAE">
            <w:pPr>
              <w:bidi w:val="0"/>
              <w:spacing w:line="360" w:lineRule="auto"/>
              <w:rPr>
                <w:rFonts w:asciiTheme="majorBidi" w:hAnsiTheme="majorBidi" w:cstheme="majorBidi"/>
                <w:color w:val="000000" w:themeColor="text1"/>
              </w:rPr>
            </w:pPr>
          </w:p>
        </w:tc>
        <w:tc>
          <w:tcPr>
            <w:tcW w:w="0" w:type="auto"/>
          </w:tcPr>
          <w:p w14:paraId="12440C6D"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1b. Normalisation as protection</w:t>
            </w:r>
          </w:p>
        </w:tc>
        <w:tc>
          <w:tcPr>
            <w:tcW w:w="0" w:type="auto"/>
          </w:tcPr>
          <w:p w14:paraId="579D5F4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Practices that initially caused discomfort were </w:t>
            </w:r>
            <w:r>
              <w:rPr>
                <w:rFonts w:asciiTheme="majorBidi" w:hAnsiTheme="majorBidi" w:cstheme="majorBidi"/>
                <w:color w:val="000000" w:themeColor="text1"/>
              </w:rPr>
              <w:t xml:space="preserve">gradually reframed, through shared team norms, as routine</w:t>
            </w:r>
            <w:r>
              <w:rPr>
                <w:rFonts w:asciiTheme="majorBidi" w:hAnsiTheme="majorBidi" w:cstheme="majorBidi"/>
                <w:color w:val="000000" w:themeColor="text1"/>
              </w:rPr>
              <w:t xml:space="preserve">, necessary, or culturally expected.</w:t>
            </w:r>
          </w:p>
        </w:tc>
        <w:tc>
          <w:tcPr>
            <w:tcW w:w="0" w:type="auto"/>
          </w:tcPr>
          <w:p w14:paraId="4B5E0588"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“After some time, you stop reacting to everything … It becomes easier to continue.” (P18)</w:t>
            </w:r>
          </w:p>
        </w:tc>
      </w:tr>
      <w:tr w:rsidR="00955CAE" w:rsidRPr="00D13016" w14:paraId="202561D5" w14:textId="77777777" w:rsidTr="00955CAE">
        <w:trPr>
          <w:cantSplit/>
          <w:jc w:val="center"/>
        </w:trPr>
        <w:tc>
          <w:tcPr>
            <w:tcW w:w="0" w:type="auto"/>
            <w:vMerge/>
          </w:tcPr>
          <w:p w14:paraId="37EBED5C" w14:textId="77777777" w:rsidR="00955CAE" w:rsidRPr="00D13016" w:rsidRDefault="00955CAE" w:rsidP="00955CAE">
            <w:pPr>
              <w:bidi w:val="0"/>
              <w:spacing w:line="360" w:lineRule="auto"/>
              <w:rPr>
                <w:rFonts w:asciiTheme="majorBidi" w:hAnsiTheme="majorBidi" w:cstheme="majorBidi"/>
                <w:color w:val="000000" w:themeColor="text1"/>
              </w:rPr>
            </w:pPr>
          </w:p>
        </w:tc>
        <w:tc>
          <w:tcPr>
            <w:tcW w:w="0" w:type="auto"/>
          </w:tcPr>
          <w:p w14:paraId="70FDB0D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1c. The hierarchy of who may speak</w:t>
            </w:r>
          </w:p>
        </w:tc>
        <w:tc>
          <w:tcPr>
            <w:tcW w:w="0" w:type="auto"/>
          </w:tcPr>
          <w:p w14:paraId="4F773BAB"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Recognition of harm did not always translate into disclosure because speaking was shaped by seniority, role, </w:t>
            </w:r>
            <w:r>
              <w:rPr>
                <w:rFonts w:asciiTheme="majorBidi" w:hAnsiTheme="majorBidi" w:cstheme="majorBidi"/>
                <w:color w:val="000000" w:themeColor="text1"/>
              </w:rPr>
              <w:t xml:space="preserve">nationality, and employment security, and was learned by observing colleagues.</w:t>
            </w:r>
          </w:p>
        </w:tc>
        <w:tc>
          <w:tcPr>
            <w:tcW w:w="0" w:type="auto"/>
          </w:tcPr>
          <w:p w14:paraId="2C38F540"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 xml:space="preserve">“If I speak and someone complains, I may be the one blamed. So I stay quiet, even when I know it is not right.” (P9)</w:t>
            </w:r>
          </w:p>
        </w:tc>
      </w:tr>
      <w:tr w:rsidR="00955CAE" w:rsidRPr="00D13016" w14:paraId="23C2C19A" w14:textId="77777777" w:rsidTr="00955CAE">
        <w:trPr>
          <w:cantSplit/>
          <w:jc w:val="center"/>
        </w:trPr>
        <w:tc>
          <w:tcPr>
            <w:tcW w:w="0" w:type="auto"/>
            <w:vMerge w:val="restart"/>
          </w:tcPr>
          <w:p w14:paraId="5526EA1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2. The moral weight of constrained participation: distress and accumulated ethical burden</w:t>
            </w:r>
          </w:p>
        </w:tc>
        <w:tc>
          <w:tcPr>
            <w:tcW w:w="0" w:type="auto"/>
          </w:tcPr>
          <w:p w14:paraId="50EF59A8"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2a. Knowing and not acting</w:t>
            </w:r>
          </w:p>
        </w:tc>
        <w:tc>
          <w:tcPr>
            <w:tcW w:w="0" w:type="auto"/>
          </w:tcPr>
          <w:p w14:paraId="094F720D"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Participants described the distress of recognising what respectful care required while </w:t>
            </w:r>
            <w:r>
              <w:rPr>
                <w:rFonts w:asciiTheme="majorBidi" w:hAnsiTheme="majorBidi" w:cstheme="majorBidi"/>
                <w:color w:val="000000" w:themeColor="text1"/>
              </w:rPr>
              <w:t xml:space="preserve">feeling unable to intervene without breaking loyalty to colleagues or seniors.</w:t>
            </w:r>
          </w:p>
        </w:tc>
        <w:tc>
          <w:tcPr>
            <w:tcW w:w="0" w:type="auto"/>
          </w:tcPr>
          <w:p w14:paraId="47D7256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was beside her, holding her hand, but I could not challenge what was happening … I felt I had failed her.” (P16)</w:t>
            </w:r>
          </w:p>
        </w:tc>
      </w:tr>
      <w:tr w:rsidR="00955CAE" w:rsidRPr="00D13016" w14:paraId="0D25B517" w14:textId="77777777" w:rsidTr="00955CAE">
        <w:trPr>
          <w:cantSplit/>
          <w:jc w:val="center"/>
        </w:trPr>
        <w:tc>
          <w:tcPr>
            <w:tcW w:w="0" w:type="auto"/>
            <w:vMerge/>
          </w:tcPr>
          <w:p w14:paraId="0189FAFB" w14:textId="77777777" w:rsidR="00955CAE" w:rsidRPr="00D13016" w:rsidRDefault="00955CAE" w:rsidP="00955CAE">
            <w:pPr>
              <w:bidi w:val="0"/>
              <w:spacing w:line="360" w:lineRule="auto"/>
              <w:jc w:val="both"/>
              <w:rPr>
                <w:rFonts w:asciiTheme="majorBidi" w:hAnsiTheme="majorBidi" w:cstheme="majorBidi"/>
                <w:color w:val="000000" w:themeColor="text1"/>
              </w:rPr>
            </w:pPr>
          </w:p>
        </w:tc>
        <w:tc>
          <w:tcPr>
            <w:tcW w:w="0" w:type="auto"/>
          </w:tcPr>
          <w:p w14:paraId="256E0DFB"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2b. Carrying what could not be put down</w:t>
            </w:r>
          </w:p>
        </w:tc>
        <w:tc>
          <w:tcPr>
            <w:tcW w:w="0" w:type="auto"/>
          </w:tcPr>
          <w:p w14:paraId="0A1B22C4"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Unresolved moral distress accumulated beyond individual clinical encounters.</w:t>
            </w:r>
          </w:p>
        </w:tc>
        <w:tc>
          <w:tcPr>
            <w:tcW w:w="0" w:type="auto"/>
          </w:tcPr>
          <w:p w14:paraId="4E116A3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go home, and I am still thinking about what happened … Sometimes there is no answer that makes it feel better.” (P5)</w:t>
            </w:r>
          </w:p>
        </w:tc>
      </w:tr>
      <w:tr w:rsidR="00955CAE" w:rsidRPr="00D13016" w14:paraId="5D0D9E6C" w14:textId="77777777" w:rsidTr="00955CAE">
        <w:trPr>
          <w:cantSplit/>
          <w:jc w:val="center"/>
        </w:trPr>
        <w:tc>
          <w:tcPr>
            <w:tcW w:w="0" w:type="auto"/>
            <w:vMerge/>
          </w:tcPr>
          <w:p w14:paraId="7AA0E601" w14:textId="77777777" w:rsidR="00955CAE" w:rsidRPr="00D13016" w:rsidRDefault="00955CAE" w:rsidP="00955CAE">
            <w:pPr>
              <w:bidi w:val="0"/>
              <w:spacing w:line="360" w:lineRule="auto"/>
              <w:jc w:val="both"/>
              <w:rPr>
                <w:rFonts w:asciiTheme="majorBidi" w:hAnsiTheme="majorBidi" w:cstheme="majorBidi"/>
                <w:color w:val="000000" w:themeColor="text1"/>
              </w:rPr>
            </w:pPr>
          </w:p>
        </w:tc>
        <w:tc>
          <w:tcPr>
            <w:tcW w:w="0" w:type="auto"/>
          </w:tcPr>
          <w:p w14:paraId="09A4AC7A"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2c. The quiet erosion of professional identity</w:t>
            </w:r>
          </w:p>
        </w:tc>
        <w:tc>
          <w:tcPr>
            <w:tcW w:w="0" w:type="auto"/>
          </w:tcPr>
          <w:p w14:paraId="0D797E65"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Repeated moral compromise gradually affected participants’ sense of themselves as ethical maternity-care practitioners.</w:t>
            </w:r>
          </w:p>
        </w:tc>
        <w:tc>
          <w:tcPr>
            <w:tcW w:w="0" w:type="auto"/>
          </w:tcPr>
          <w:p w14:paraId="08F2936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“Sometimes I feel I spend more energy protecting myself. That is difficult to accept.” (P2)</w:t>
            </w:r>
          </w:p>
        </w:tc>
      </w:tr>
      <w:tr w:rsidR="00955CAE" w:rsidRPr="00D13016" w14:paraId="3E88D044" w14:textId="77777777" w:rsidTr="00955CAE">
        <w:trPr>
          <w:cantSplit/>
          <w:jc w:val="center"/>
        </w:trPr>
        <w:tc>
          <w:tcPr>
            <w:tcW w:w="0" w:type="auto"/>
            <w:vMerge w:val="restart"/>
          </w:tcPr>
          <w:p w14:paraId="6E83846D"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3. Negotiating in the margins: strategies of conscience within constrained systems</w:t>
            </w:r>
          </w:p>
        </w:tc>
        <w:tc>
          <w:tcPr>
            <w:tcW w:w="0" w:type="auto"/>
          </w:tcPr>
          <w:p w14:paraId="467C38B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3a. Micro-acts of protection</w:t>
            </w:r>
          </w:p>
        </w:tc>
        <w:tc>
          <w:tcPr>
            <w:tcW w:w="0" w:type="auto"/>
          </w:tcPr>
          <w:p w14:paraId="2698ACB5"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Participants used small, often invisible actions to preserve women’s dignity within institutional limits.</w:t>
            </w:r>
          </w:p>
        </w:tc>
        <w:tc>
          <w:tcPr>
            <w:tcW w:w="0" w:type="auto"/>
          </w:tcPr>
          <w:p w14:paraId="4A2668A1"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cannot always change the decision, but I can close the curtain, explain gently, or stay beside her.” (P6)</w:t>
            </w:r>
          </w:p>
        </w:tc>
      </w:tr>
      <w:tr w:rsidR="00955CAE" w:rsidRPr="00D13016" w14:paraId="3412295F" w14:textId="77777777" w:rsidTr="00955CAE">
        <w:trPr>
          <w:cantSplit/>
          <w:jc w:val="center"/>
        </w:trPr>
        <w:tc>
          <w:tcPr>
            <w:tcW w:w="0" w:type="auto"/>
            <w:vMerge/>
          </w:tcPr>
          <w:p w14:paraId="21AA8A23" w14:textId="77777777" w:rsidR="00955CAE" w:rsidRPr="00D13016" w:rsidRDefault="00955CAE" w:rsidP="00955CAE">
            <w:pPr>
              <w:bidi w:val="0"/>
              <w:spacing w:line="360" w:lineRule="auto"/>
              <w:jc w:val="both"/>
              <w:rPr>
                <w:rFonts w:asciiTheme="majorBidi" w:hAnsiTheme="majorBidi" w:cstheme="majorBidi"/>
                <w:color w:val="000000" w:themeColor="text1"/>
              </w:rPr>
            </w:pPr>
          </w:p>
        </w:tc>
        <w:tc>
          <w:tcPr>
            <w:tcW w:w="0" w:type="auto"/>
          </w:tcPr>
          <w:p w14:paraId="2682147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3b. Strategic resistance and cautious alliance</w:t>
            </w:r>
          </w:p>
        </w:tc>
        <w:tc>
          <w:tcPr>
            <w:tcW w:w="0" w:type="auto"/>
          </w:tcPr>
          <w:p w14:paraId="6758ECF4"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Participants used low-risk, indirect responses through private action and </w:t>
            </w:r>
            <w:r>
              <w:rPr>
                <w:rFonts w:asciiTheme="majorBidi" w:hAnsiTheme="majorBidi" w:cstheme="majorBidi"/>
                <w:color w:val="000000" w:themeColor="text1"/>
              </w:rPr>
              <w:t xml:space="preserve">trusted peer support that stayed outside open team discussion.</w:t>
            </w:r>
          </w:p>
        </w:tc>
        <w:tc>
          <w:tcPr>
            <w:tcW w:w="0" w:type="auto"/>
          </w:tcPr>
          <w:p w14:paraId="59873BE8"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“Later, you return to the woman, explain again …” (P10) “There are a few colleagues I can talk to honestly …” (P17)</w:t>
            </w:r>
          </w:p>
        </w:tc>
      </w:tr>
      <w:tr w:rsidR="00955CAE" w:rsidRPr="00D13016" w14:paraId="3C5F666F" w14:textId="77777777" w:rsidTr="00955CAE">
        <w:trPr>
          <w:cantSplit/>
          <w:jc w:val="center"/>
        </w:trPr>
        <w:tc>
          <w:tcPr>
            <w:tcW w:w="0" w:type="auto"/>
            <w:vMerge w:val="restart"/>
          </w:tcPr>
          <w:p w14:paraId="37C9DF2E" w14:textId="77777777" w:rsidR="00955CAE" w:rsidRPr="00D13016" w:rsidRDefault="00955CAE" w:rsidP="00955CAE">
            <w:pPr>
              <w:bidi w:val="0"/>
              <w:spacing w:line="360" w:lineRule="auto"/>
              <w:rPr>
                <w:rFonts w:asciiTheme="majorBidi" w:hAnsiTheme="majorBidi" w:cstheme="majorBidi"/>
                <w:color w:val="000000" w:themeColor="text1"/>
              </w:rPr>
            </w:pPr>
            <w:r>
              <w:rPr>
                <w:rFonts w:asciiTheme="majorBidi" w:hAnsiTheme="majorBidi" w:cstheme="majorBidi"/>
                <w:color w:val="000000" w:themeColor="text1"/>
              </w:rPr>
              <w:t>4. Culture as both shield and cage: navigating sociocultural expectations in maternity care</w:t>
            </w:r>
          </w:p>
        </w:tc>
        <w:tc>
          <w:tcPr>
            <w:tcW w:w="0" w:type="auto"/>
          </w:tcPr>
          <w:p w14:paraId="5683ADF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4a. Cultural explanations as moral cover</w:t>
            </w:r>
          </w:p>
        </w:tc>
        <w:tc>
          <w:tcPr>
            <w:tcW w:w="0" w:type="auto"/>
          </w:tcPr>
          <w:p w14:paraId="14B6D1A7"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Cultural explanations were sometimes used to justify or soften practices participants privately viewed as disrespectful — at times by participants themselves.</w:t>
            </w:r>
          </w:p>
        </w:tc>
        <w:tc>
          <w:tcPr>
            <w:tcW w:w="0" w:type="auto"/>
          </w:tcPr>
          <w:p w14:paraId="4495A81E"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also used to say it is cultural, maybe to make myself feel less responsible.” (P3)</w:t>
            </w:r>
          </w:p>
        </w:tc>
      </w:tr>
      <w:tr w:rsidR="00955CAE" w:rsidRPr="00D13016" w14:paraId="08852CDF" w14:textId="77777777" w:rsidTr="00955CAE">
        <w:trPr>
          <w:cantSplit/>
          <w:jc w:val="center"/>
        </w:trPr>
        <w:tc>
          <w:tcPr>
            <w:tcW w:w="0" w:type="auto"/>
            <w:vMerge/>
          </w:tcPr>
          <w:p w14:paraId="32E97A81" w14:textId="77777777" w:rsidR="00955CAE" w:rsidRPr="00D13016" w:rsidRDefault="00955CAE" w:rsidP="00955CAE">
            <w:pPr>
              <w:bidi w:val="0"/>
              <w:spacing w:line="360" w:lineRule="auto"/>
              <w:rPr>
                <w:rFonts w:asciiTheme="majorBidi" w:hAnsiTheme="majorBidi" w:cstheme="majorBidi"/>
                <w:color w:val="000000" w:themeColor="text1"/>
              </w:rPr>
            </w:pPr>
          </w:p>
        </w:tc>
        <w:tc>
          <w:tcPr>
            <w:tcW w:w="0" w:type="auto"/>
          </w:tcPr>
          <w:p w14:paraId="420D79F5"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4b. The expatriate moral position</w:t>
            </w:r>
          </w:p>
        </w:tc>
        <w:tc>
          <w:tcPr>
            <w:tcW w:w="0" w:type="auto"/>
          </w:tcPr>
          <w:p w14:paraId="1A0C96B4"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Expatriate participants described distinctive moral vulnerability linked to cultural distance and employment precarity.</w:t>
            </w:r>
          </w:p>
        </w:tc>
        <w:tc>
          <w:tcPr>
            <w:tcW w:w="0" w:type="auto"/>
          </w:tcPr>
          <w:p w14:paraId="6FFE440A"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“I need to think about my job, my contract … even when I am uncomfortable, I have to be careful.” (P1)</w:t>
            </w:r>
          </w:p>
        </w:tc>
      </w:tr>
      <w:tr w:rsidR="00955CAE" w:rsidRPr="00D13016" w14:paraId="40DA4E7E" w14:textId="77777777" w:rsidTr="00955CAE">
        <w:trPr>
          <w:cantSplit/>
          <w:jc w:val="center"/>
        </w:trPr>
        <w:tc>
          <w:tcPr>
            <w:tcW w:w="0" w:type="auto"/>
            <w:vMerge/>
          </w:tcPr>
          <w:p w14:paraId="78171697" w14:textId="77777777" w:rsidR="00955CAE" w:rsidRPr="00D13016" w:rsidRDefault="00955CAE" w:rsidP="00955CAE">
            <w:pPr>
              <w:bidi w:val="0"/>
              <w:spacing w:line="360" w:lineRule="auto"/>
              <w:rPr>
                <w:rFonts w:asciiTheme="majorBidi" w:hAnsiTheme="majorBidi" w:cstheme="majorBidi"/>
                <w:color w:val="000000" w:themeColor="text1"/>
              </w:rPr>
            </w:pPr>
          </w:p>
        </w:tc>
        <w:tc>
          <w:tcPr>
            <w:tcW w:w="0" w:type="auto"/>
          </w:tcPr>
          <w:p w14:paraId="28CA85CF"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4c. When conscience and culture converge</w:t>
            </w:r>
          </w:p>
        </w:tc>
        <w:tc>
          <w:tcPr>
            <w:tcW w:w="0" w:type="auto"/>
          </w:tcPr>
          <w:p w14:paraId="7C7C1FDA"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color w:val="000000" w:themeColor="text1"/>
              </w:rPr>
              <w:t>Participants described moments when professional, cultural, and institutional values aligned to support respectful care.</w:t>
            </w:r>
          </w:p>
        </w:tc>
        <w:tc>
          <w:tcPr>
            <w:tcW w:w="0" w:type="auto"/>
          </w:tcPr>
          <w:p w14:paraId="40DEDD3D" w14:textId="77777777" w:rsidR="00955CAE" w:rsidRPr="00D13016" w:rsidRDefault="00955CAE" w:rsidP="00955CAE">
            <w:pPr>
              <w:bidi w:val="0"/>
              <w:spacing w:line="360" w:lineRule="auto"/>
              <w:jc w:val="both"/>
              <w:rPr>
                <w:rFonts w:asciiTheme="majorBidi" w:hAnsiTheme="majorBidi" w:cstheme="majorBidi"/>
                <w:color w:val="000000" w:themeColor="text1"/>
              </w:rPr>
            </w:pPr>
            <w:r>
              <w:rPr>
                <w:rFonts w:asciiTheme="majorBidi" w:hAnsiTheme="majorBidi" w:cstheme="majorBidi"/>
                <w:i/>
                <w:color w:val="000000" w:themeColor="text1"/>
              </w:rPr>
              <w:t>“When the woman is supported, the team is respectful … it reminds you that it is possible.” (P16)</w:t>
            </w:r>
          </w:p>
        </w:tc>
      </w:tr>
    </w:tbl>
    <w:p w14:paraId="12020FBE" w14:textId="77777777" w:rsidR="00CA6A19" w:rsidRPr="00D13016" w:rsidRDefault="00000000">
      <w:pPr>
        <w:bidi w:val="0"/>
        <w:spacing w:before="60" w:after="0" w:line="240" w:lineRule="auto"/>
        <w:rPr>
          <w:rFonts w:asciiTheme="majorBidi" w:hAnsiTheme="majorBidi" w:cstheme="majorBidi"/>
          <w:i/>
          <w:color w:val="000000" w:themeColor="text1"/>
        </w:rPr>
      </w:pPr>
      <w:r>
        <w:rPr>
          <w:rFonts w:asciiTheme="majorBidi" w:hAnsiTheme="majorBidi" w:cstheme="majorBidi"/>
          <w:b/>
          <w:bCs/>
          <w:i/>
          <w:color w:val="000000" w:themeColor="text1"/>
          <w:sz w:val="20"/>
          <w:szCs w:val="20"/>
        </w:rPr>
        <w:t>Note.</w:t>
      </w:r>
      <w:r>
        <w:rPr>
          <w:rFonts w:asciiTheme="majorBidi" w:hAnsiTheme="majorBidi" w:cstheme="majorBidi"/>
          <w:i/>
          <w:color w:val="000000" w:themeColor="text1"/>
          <w:sz w:val="20"/>
          <w:szCs w:val="20"/>
        </w:rPr>
        <w:t xml:space="preserve"> Excerpts are illustrative anchors, not the analytic basis or an exhaustive account of supporting data. They are reproduced from the Findings to enable rapid traceability between each interpretive claim and its narrative evidence</w:t>
      </w:r>
      <w:r>
        <w:rPr>
          <w:rFonts w:asciiTheme="majorBidi" w:hAnsiTheme="majorBidi" w:cstheme="majorBidi"/>
          <w:i/>
          <w:color w:val="000000" w:themeColor="text1"/>
        </w:rPr>
        <w:t>.</w:t>
      </w:r>
    </w:p>
    <w:p>
      <w:r>
        <w:br w:type="page"/>
      </w:r>
    </w:p>
    <w:p w14:paraId="26CD5FF2" w14:textId="77777777" w:rsidR="00CA6A19" w:rsidRPr="00D13016" w:rsidRDefault="00000000">
      <w:pPr>
        <w:bidi w:val="0"/>
        <w:spacing w:before="240" w:after="0" w:line="360" w:lineRule="auto"/>
        <w:ind w:firstLine="90"/>
        <w:jc w:val="both"/>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20B809EB" wp14:editId="7834B31D">
            <wp:extent cx="6242957" cy="4161971"/>
            <wp:effectExtent l="0" t="0" r="5715" b="0"/>
            <wp:docPr id="1232344320" name="Picture 1" descr="Conceptual framework positioning moral negotiation between professional conscience, respectful maternity care, domains of mistreatment, institutional and sociocultural constraints, and the moral distress–moral residue–crescendo pathway." title="Sensitising conceptual framework for moral negot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44320" name="Picture 1" descr="The diagram illustrates a complex network of professional and ethical considerations, including dignity, mistreatment, and moral distress, emphasizing the importance of respectful maternity care and the various constraints affecting nursing and midwifer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52434" cy="4168289"/>
                    </a:xfrm>
                    <a:prstGeom prst="rect">
                      <a:avLst/>
                    </a:prstGeom>
                    <a:noFill/>
                    <a:ln>
                      <a:noFill/>
                    </a:ln>
                  </pic:spPr>
                </pic:pic>
              </a:graphicData>
            </a:graphic>
          </wp:inline>
        </w:drawing>
      </w:r>
    </w:p>
    <w:p w14:paraId="33039613" w14:textId="77777777" w:rsidR="002436C8" w:rsidRPr="00D13016" w:rsidRDefault="00000000" w:rsidP="002436C8">
      <w:pPr>
        <w:bidi w:val="0"/>
        <w:spacing w:before="240" w:line="240" w:lineRule="auto"/>
        <w:ind w:firstLine="720"/>
        <w:jc w:val="center"/>
        <w:rPr>
          <w:rFonts w:asciiTheme="majorBidi" w:hAnsiTheme="majorBidi" w:cstheme="majorBidi"/>
          <w:i/>
          <w:color w:val="000000" w:themeColor="text1"/>
          <w:sz w:val="20"/>
          <w:szCs w:val="20"/>
        </w:rPr>
      </w:pPr>
      <w:r>
        <w:rPr>
          <w:rFonts w:asciiTheme="majorBidi" w:hAnsiTheme="majorBidi" w:cstheme="majorBidi"/>
          <w:b/>
          <w:i/>
          <w:color w:val="000000" w:themeColor="text1"/>
          <w:sz w:val="20"/>
          <w:szCs w:val="20"/>
        </w:rPr>
        <w:t xml:space="preserve">FIGURE 1. </w:t>
      </w:r>
      <w:r>
        <w:rPr>
          <w:rFonts w:asciiTheme="majorBidi" w:hAnsiTheme="majorBidi" w:cstheme="majorBidi"/>
          <w:i/>
          <w:color w:val="000000" w:themeColor="text1"/>
          <w:sz w:val="20"/>
          <w:szCs w:val="20"/>
        </w:rPr>
        <w:t xml:space="preserve">Sensitising Conceptual Framework for Moral Negotiation in Obstetric Violence and Respectful Maternity Care. </w:t>
      </w:r>
    </w:p>
    <w:p w14:paraId="2FE68781" w14:textId="0400EFFE" w:rsidR="00CA6A19" w:rsidRPr="00D13016" w:rsidRDefault="00000000" w:rsidP="002436C8">
      <w:pPr>
        <w:bidi w:val="0"/>
        <w:spacing w:after="0" w:line="240" w:lineRule="auto"/>
        <w:rPr>
          <w:rFonts w:asciiTheme="majorBidi" w:hAnsiTheme="majorBidi" w:cstheme="majorBidi"/>
          <w:i/>
          <w:iCs/>
          <w:color w:val="000000" w:themeColor="text1"/>
        </w:rPr>
      </w:pPr>
      <w:r>
        <w:rPr>
          <w:rFonts w:asciiTheme="majorBidi" w:hAnsiTheme="majorBidi" w:cstheme="majorBidi"/>
          <w:b/>
          <w:bCs/>
          <w:i/>
          <w:color w:val="000000" w:themeColor="text1"/>
        </w:rPr>
        <w:t>Note.</w:t>
      </w:r>
      <w:r>
        <w:rPr>
          <w:rFonts w:asciiTheme="majorBidi" w:hAnsiTheme="majorBidi" w:cstheme="majorBidi"/>
          <w:i/>
          <w:color w:val="000000" w:themeColor="text1"/>
        </w:rPr>
        <w:t xml:space="preserve"> The six constraint categories were synthesised a priori from prior literature and the Saudi policy context; the figure does not depict study-generated findings.</w:t>
      </w:r>
      <w:r>
        <w:rPr>
          <w:rFonts w:asciiTheme="majorBidi" w:hAnsiTheme="majorBidi" w:cstheme="majorBidi"/>
          <w:color w:val="000000" w:themeColor="text1"/>
        </w:rPr>
        <w:t xml:space="preserve"> The collective perspectives applied at the interpretive stage are discussed in the text and are not depicted.</w:t>
      </w:r>
    </w:p>
    <w:sectPr w:rsidR="00CA6A19" w:rsidRPr="009E5E4B">
      <w:footerReference w:type="default" r:id="rId8"/>
      <w:pgSz w:w="11906" w:h="16838"/>
      <w:pgMar w:top="1440" w:right="1196" w:bottom="1440" w:left="1170"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781FD" w14:textId="77777777" w:rsidR="00C90D10" w:rsidRDefault="00C90D10">
      <w:pPr>
        <w:spacing w:after="0" w:line="240" w:lineRule="auto"/>
      </w:pPr>
      <w:r>
        <w:separator/>
      </w:r>
    </w:p>
  </w:endnote>
  <w:endnote w:type="continuationSeparator" w:id="0">
    <w:p w14:paraId="703AE1F3" w14:textId="77777777" w:rsidR="00C90D10" w:rsidRDefault="00C90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dalus">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2075" w14:textId="77777777" w:rsidR="00CA6A19" w:rsidRDefault="00000000">
    <w:pPr>
      <w:pStyle w:val="Footer"/>
      <w:jc w:val="center"/>
    </w:pPr>
    <w:r>
      <w:fldChar w:fldCharType="begin"/>
    </w:r>
    <w:r>
      <w:instrText>PAGE</w:instrText>
    </w:r>
    <w:r>
      <w:fldChar w:fldCharType="separate"/>
    </w:r>
    <w:r w:rsidR="009E5E4B">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FE666" w14:textId="77777777" w:rsidR="00C90D10" w:rsidRDefault="00C90D10">
      <w:pPr>
        <w:spacing w:after="0" w:line="240" w:lineRule="auto"/>
      </w:pPr>
      <w:r>
        <w:separator/>
      </w:r>
    </w:p>
  </w:footnote>
  <w:footnote w:type="continuationSeparator" w:id="0">
    <w:p w14:paraId="0B82F7F8" w14:textId="77777777" w:rsidR="00C90D10" w:rsidRDefault="00C90D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BD5"/>
    <w:multiLevelType w:val="hybridMultilevel"/>
    <w:tmpl w:val="8842E4B2"/>
    <w:lvl w:ilvl="0" w:tplc="DFE63D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964F0"/>
    <w:multiLevelType w:val="hybridMultilevel"/>
    <w:tmpl w:val="519AE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01"/>
    <w:multiLevelType w:val="hybridMultilevel"/>
    <w:tmpl w:val="335EFE8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58155F"/>
    <w:multiLevelType w:val="hybridMultilevel"/>
    <w:tmpl w:val="02CC8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27D77"/>
    <w:multiLevelType w:val="hybridMultilevel"/>
    <w:tmpl w:val="D5A81272"/>
    <w:lvl w:ilvl="0" w:tplc="AA46A97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D77AB"/>
    <w:multiLevelType w:val="hybridMultilevel"/>
    <w:tmpl w:val="87F692B2"/>
    <w:lvl w:ilvl="0" w:tplc="0BFC3A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C723D"/>
    <w:multiLevelType w:val="hybridMultilevel"/>
    <w:tmpl w:val="61D8F2C2"/>
    <w:lvl w:ilvl="0" w:tplc="6824C6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0A7AA5"/>
    <w:multiLevelType w:val="hybridMultilevel"/>
    <w:tmpl w:val="B2447760"/>
    <w:lvl w:ilvl="0" w:tplc="77706FA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861B99"/>
    <w:multiLevelType w:val="hybridMultilevel"/>
    <w:tmpl w:val="2508E932"/>
    <w:lvl w:ilvl="0" w:tplc="1B92272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950398"/>
    <w:multiLevelType w:val="hybridMultilevel"/>
    <w:tmpl w:val="FEF8F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C415CD"/>
    <w:multiLevelType w:val="multilevel"/>
    <w:tmpl w:val="FCD4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9D2F1E"/>
    <w:multiLevelType w:val="hybridMultilevel"/>
    <w:tmpl w:val="AF34F3A2"/>
    <w:lvl w:ilvl="0" w:tplc="BF34D9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B777C"/>
    <w:multiLevelType w:val="hybridMultilevel"/>
    <w:tmpl w:val="4A12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3D5480"/>
    <w:multiLevelType w:val="hybridMultilevel"/>
    <w:tmpl w:val="FED60EC6"/>
    <w:lvl w:ilvl="0" w:tplc="D41CBF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3804E3"/>
    <w:multiLevelType w:val="hybridMultilevel"/>
    <w:tmpl w:val="6FE4EEE4"/>
    <w:lvl w:ilvl="0" w:tplc="A418DB6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5A2647"/>
    <w:multiLevelType w:val="hybridMultilevel"/>
    <w:tmpl w:val="30DCD3C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E15FEE"/>
    <w:multiLevelType w:val="hybridMultilevel"/>
    <w:tmpl w:val="C592F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8E199E"/>
    <w:multiLevelType w:val="hybridMultilevel"/>
    <w:tmpl w:val="BC4E7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532160">
    <w:abstractNumId w:val="3"/>
  </w:num>
  <w:num w:numId="2" w16cid:durableId="853494424">
    <w:abstractNumId w:val="17"/>
  </w:num>
  <w:num w:numId="3" w16cid:durableId="1046374126">
    <w:abstractNumId w:val="15"/>
  </w:num>
  <w:num w:numId="4" w16cid:durableId="665982246">
    <w:abstractNumId w:val="10"/>
  </w:num>
  <w:num w:numId="5" w16cid:durableId="1427000700">
    <w:abstractNumId w:val="12"/>
  </w:num>
  <w:num w:numId="6" w16cid:durableId="169561262">
    <w:abstractNumId w:val="1"/>
  </w:num>
  <w:num w:numId="7" w16cid:durableId="1747536011">
    <w:abstractNumId w:val="6"/>
  </w:num>
  <w:num w:numId="8" w16cid:durableId="676736984">
    <w:abstractNumId w:val="7"/>
  </w:num>
  <w:num w:numId="9" w16cid:durableId="1081828353">
    <w:abstractNumId w:val="4"/>
  </w:num>
  <w:num w:numId="10" w16cid:durableId="1585336490">
    <w:abstractNumId w:val="11"/>
  </w:num>
  <w:num w:numId="11" w16cid:durableId="1037390278">
    <w:abstractNumId w:val="0"/>
  </w:num>
  <w:num w:numId="12" w16cid:durableId="1620526803">
    <w:abstractNumId w:val="14"/>
  </w:num>
  <w:num w:numId="13" w16cid:durableId="916325154">
    <w:abstractNumId w:val="13"/>
  </w:num>
  <w:num w:numId="14" w16cid:durableId="288978111">
    <w:abstractNumId w:val="8"/>
  </w:num>
  <w:num w:numId="15" w16cid:durableId="675420424">
    <w:abstractNumId w:val="16"/>
  </w:num>
  <w:num w:numId="16" w16cid:durableId="1470056376">
    <w:abstractNumId w:val="2"/>
  </w:num>
  <w:num w:numId="17" w16cid:durableId="1854033416">
    <w:abstractNumId w:val="9"/>
  </w:num>
  <w:num w:numId="18" w16cid:durableId="2123844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8A"/>
    <w:rsid w:val="00003978"/>
    <w:rsid w:val="00005B09"/>
    <w:rsid w:val="0000643F"/>
    <w:rsid w:val="00022B75"/>
    <w:rsid w:val="0002726B"/>
    <w:rsid w:val="00037518"/>
    <w:rsid w:val="00040D26"/>
    <w:rsid w:val="00043A2D"/>
    <w:rsid w:val="00045381"/>
    <w:rsid w:val="00045879"/>
    <w:rsid w:val="000474E1"/>
    <w:rsid w:val="000502DE"/>
    <w:rsid w:val="00051D44"/>
    <w:rsid w:val="00053994"/>
    <w:rsid w:val="00053D26"/>
    <w:rsid w:val="00065EF3"/>
    <w:rsid w:val="00074302"/>
    <w:rsid w:val="0007678F"/>
    <w:rsid w:val="000815B8"/>
    <w:rsid w:val="00081826"/>
    <w:rsid w:val="00083312"/>
    <w:rsid w:val="00086D8F"/>
    <w:rsid w:val="00096379"/>
    <w:rsid w:val="000A483F"/>
    <w:rsid w:val="000A7601"/>
    <w:rsid w:val="000A7877"/>
    <w:rsid w:val="000C2126"/>
    <w:rsid w:val="000F1D28"/>
    <w:rsid w:val="000F5C05"/>
    <w:rsid w:val="000F6D66"/>
    <w:rsid w:val="0010289A"/>
    <w:rsid w:val="00104A3B"/>
    <w:rsid w:val="00106AFD"/>
    <w:rsid w:val="00112500"/>
    <w:rsid w:val="00114C36"/>
    <w:rsid w:val="0012579F"/>
    <w:rsid w:val="0013189E"/>
    <w:rsid w:val="00132E63"/>
    <w:rsid w:val="00134D32"/>
    <w:rsid w:val="00136031"/>
    <w:rsid w:val="0013763A"/>
    <w:rsid w:val="00140A1A"/>
    <w:rsid w:val="00141141"/>
    <w:rsid w:val="001566EA"/>
    <w:rsid w:val="0016425E"/>
    <w:rsid w:val="00165B3F"/>
    <w:rsid w:val="0016610C"/>
    <w:rsid w:val="00166B44"/>
    <w:rsid w:val="001753EF"/>
    <w:rsid w:val="0018234F"/>
    <w:rsid w:val="001824E6"/>
    <w:rsid w:val="0018759E"/>
    <w:rsid w:val="00193627"/>
    <w:rsid w:val="001A7494"/>
    <w:rsid w:val="001B0098"/>
    <w:rsid w:val="001B201B"/>
    <w:rsid w:val="001B6229"/>
    <w:rsid w:val="001B7176"/>
    <w:rsid w:val="001D75F5"/>
    <w:rsid w:val="001F5C20"/>
    <w:rsid w:val="001F6586"/>
    <w:rsid w:val="00216122"/>
    <w:rsid w:val="00221865"/>
    <w:rsid w:val="00240DC8"/>
    <w:rsid w:val="002436C8"/>
    <w:rsid w:val="00243FF2"/>
    <w:rsid w:val="00244911"/>
    <w:rsid w:val="00245E2E"/>
    <w:rsid w:val="00251565"/>
    <w:rsid w:val="00251C7F"/>
    <w:rsid w:val="0025490B"/>
    <w:rsid w:val="002748A2"/>
    <w:rsid w:val="002941A5"/>
    <w:rsid w:val="0029625E"/>
    <w:rsid w:val="002C38DA"/>
    <w:rsid w:val="002C46D9"/>
    <w:rsid w:val="002C4A61"/>
    <w:rsid w:val="002D26E6"/>
    <w:rsid w:val="002D6E41"/>
    <w:rsid w:val="002E18F5"/>
    <w:rsid w:val="002E4455"/>
    <w:rsid w:val="002E5431"/>
    <w:rsid w:val="002F0408"/>
    <w:rsid w:val="00307F34"/>
    <w:rsid w:val="00313BE7"/>
    <w:rsid w:val="00315E71"/>
    <w:rsid w:val="00330875"/>
    <w:rsid w:val="0033263D"/>
    <w:rsid w:val="0033309C"/>
    <w:rsid w:val="003368C9"/>
    <w:rsid w:val="00345FED"/>
    <w:rsid w:val="00360FB6"/>
    <w:rsid w:val="00365EE9"/>
    <w:rsid w:val="0039563B"/>
    <w:rsid w:val="003A3649"/>
    <w:rsid w:val="003B02DF"/>
    <w:rsid w:val="003B28C9"/>
    <w:rsid w:val="003C020F"/>
    <w:rsid w:val="003C3C2B"/>
    <w:rsid w:val="003C41D5"/>
    <w:rsid w:val="003C625D"/>
    <w:rsid w:val="003D4132"/>
    <w:rsid w:val="003F0967"/>
    <w:rsid w:val="003F37A1"/>
    <w:rsid w:val="00401DF0"/>
    <w:rsid w:val="00404683"/>
    <w:rsid w:val="00410ECA"/>
    <w:rsid w:val="0041273D"/>
    <w:rsid w:val="00413E17"/>
    <w:rsid w:val="00422741"/>
    <w:rsid w:val="0043025C"/>
    <w:rsid w:val="004331D1"/>
    <w:rsid w:val="0044035F"/>
    <w:rsid w:val="0044373C"/>
    <w:rsid w:val="0045170C"/>
    <w:rsid w:val="004518EC"/>
    <w:rsid w:val="00452775"/>
    <w:rsid w:val="00452B13"/>
    <w:rsid w:val="00461050"/>
    <w:rsid w:val="00472A63"/>
    <w:rsid w:val="0047432D"/>
    <w:rsid w:val="004839FA"/>
    <w:rsid w:val="00485666"/>
    <w:rsid w:val="0049231E"/>
    <w:rsid w:val="0049415E"/>
    <w:rsid w:val="00496356"/>
    <w:rsid w:val="00497D9C"/>
    <w:rsid w:val="004A0397"/>
    <w:rsid w:val="004B301E"/>
    <w:rsid w:val="004C0036"/>
    <w:rsid w:val="004C2B16"/>
    <w:rsid w:val="004D34AB"/>
    <w:rsid w:val="004D3C8A"/>
    <w:rsid w:val="004D4A94"/>
    <w:rsid w:val="004D67EC"/>
    <w:rsid w:val="004E1F13"/>
    <w:rsid w:val="004E2A60"/>
    <w:rsid w:val="004E4064"/>
    <w:rsid w:val="004E7A32"/>
    <w:rsid w:val="0050268A"/>
    <w:rsid w:val="00505B97"/>
    <w:rsid w:val="005131AA"/>
    <w:rsid w:val="00517CE0"/>
    <w:rsid w:val="0052120B"/>
    <w:rsid w:val="00530C17"/>
    <w:rsid w:val="00540C95"/>
    <w:rsid w:val="00544BEF"/>
    <w:rsid w:val="005451F1"/>
    <w:rsid w:val="0054718E"/>
    <w:rsid w:val="005520F0"/>
    <w:rsid w:val="00555322"/>
    <w:rsid w:val="00562B44"/>
    <w:rsid w:val="00564F63"/>
    <w:rsid w:val="00575B37"/>
    <w:rsid w:val="00581960"/>
    <w:rsid w:val="00592CFF"/>
    <w:rsid w:val="0059464C"/>
    <w:rsid w:val="00595946"/>
    <w:rsid w:val="005A3ACC"/>
    <w:rsid w:val="005A66F4"/>
    <w:rsid w:val="005B08AA"/>
    <w:rsid w:val="005B367E"/>
    <w:rsid w:val="005B5880"/>
    <w:rsid w:val="005B7E61"/>
    <w:rsid w:val="005C47B5"/>
    <w:rsid w:val="005D14D5"/>
    <w:rsid w:val="005D2BCD"/>
    <w:rsid w:val="005D3B71"/>
    <w:rsid w:val="005D4AFB"/>
    <w:rsid w:val="005E3A73"/>
    <w:rsid w:val="005E5AF1"/>
    <w:rsid w:val="005F0D99"/>
    <w:rsid w:val="005F0EBD"/>
    <w:rsid w:val="00601F13"/>
    <w:rsid w:val="00614444"/>
    <w:rsid w:val="00617AFB"/>
    <w:rsid w:val="00621DEF"/>
    <w:rsid w:val="00623F0E"/>
    <w:rsid w:val="006333BC"/>
    <w:rsid w:val="00633C47"/>
    <w:rsid w:val="006378C9"/>
    <w:rsid w:val="00646AAA"/>
    <w:rsid w:val="0064747A"/>
    <w:rsid w:val="00653E65"/>
    <w:rsid w:val="0065442C"/>
    <w:rsid w:val="00670237"/>
    <w:rsid w:val="00672BA5"/>
    <w:rsid w:val="00680AF8"/>
    <w:rsid w:val="00682709"/>
    <w:rsid w:val="00683AB2"/>
    <w:rsid w:val="0068512E"/>
    <w:rsid w:val="00687604"/>
    <w:rsid w:val="0069653C"/>
    <w:rsid w:val="006A7078"/>
    <w:rsid w:val="006B0E60"/>
    <w:rsid w:val="006B231F"/>
    <w:rsid w:val="006B6BF9"/>
    <w:rsid w:val="006C038A"/>
    <w:rsid w:val="006C5E83"/>
    <w:rsid w:val="006D2FC9"/>
    <w:rsid w:val="006D6853"/>
    <w:rsid w:val="006E47DC"/>
    <w:rsid w:val="00703ECF"/>
    <w:rsid w:val="00707408"/>
    <w:rsid w:val="00707481"/>
    <w:rsid w:val="0071056F"/>
    <w:rsid w:val="0071366B"/>
    <w:rsid w:val="00721503"/>
    <w:rsid w:val="007221B4"/>
    <w:rsid w:val="00724FC5"/>
    <w:rsid w:val="00730992"/>
    <w:rsid w:val="007437C0"/>
    <w:rsid w:val="00752E2D"/>
    <w:rsid w:val="007576E2"/>
    <w:rsid w:val="0076109C"/>
    <w:rsid w:val="00764022"/>
    <w:rsid w:val="00774A26"/>
    <w:rsid w:val="007819D9"/>
    <w:rsid w:val="00790816"/>
    <w:rsid w:val="007B31E2"/>
    <w:rsid w:val="007B5893"/>
    <w:rsid w:val="007B5A42"/>
    <w:rsid w:val="007C175F"/>
    <w:rsid w:val="007C684F"/>
    <w:rsid w:val="007D3B6D"/>
    <w:rsid w:val="00814059"/>
    <w:rsid w:val="00815055"/>
    <w:rsid w:val="0081781E"/>
    <w:rsid w:val="00817DEB"/>
    <w:rsid w:val="00821444"/>
    <w:rsid w:val="0082479C"/>
    <w:rsid w:val="00826951"/>
    <w:rsid w:val="00846E95"/>
    <w:rsid w:val="00851387"/>
    <w:rsid w:val="008541EC"/>
    <w:rsid w:val="00855647"/>
    <w:rsid w:val="0086327D"/>
    <w:rsid w:val="008651A1"/>
    <w:rsid w:val="00867E28"/>
    <w:rsid w:val="00873A3C"/>
    <w:rsid w:val="00874C0B"/>
    <w:rsid w:val="0088105E"/>
    <w:rsid w:val="00884D9B"/>
    <w:rsid w:val="008A2E38"/>
    <w:rsid w:val="008A4EFD"/>
    <w:rsid w:val="008A6D97"/>
    <w:rsid w:val="008B3B13"/>
    <w:rsid w:val="008D04AA"/>
    <w:rsid w:val="008D47B2"/>
    <w:rsid w:val="008D6388"/>
    <w:rsid w:val="008F1627"/>
    <w:rsid w:val="009004C9"/>
    <w:rsid w:val="00900B92"/>
    <w:rsid w:val="00902B62"/>
    <w:rsid w:val="009163C8"/>
    <w:rsid w:val="009332E7"/>
    <w:rsid w:val="00933B95"/>
    <w:rsid w:val="009433F6"/>
    <w:rsid w:val="009462CD"/>
    <w:rsid w:val="00952013"/>
    <w:rsid w:val="0095201F"/>
    <w:rsid w:val="0095291D"/>
    <w:rsid w:val="0095579F"/>
    <w:rsid w:val="00955CAE"/>
    <w:rsid w:val="0096569D"/>
    <w:rsid w:val="009667B3"/>
    <w:rsid w:val="00966DF2"/>
    <w:rsid w:val="00976EEC"/>
    <w:rsid w:val="009826E0"/>
    <w:rsid w:val="009835AA"/>
    <w:rsid w:val="009877DE"/>
    <w:rsid w:val="00990C8B"/>
    <w:rsid w:val="009A6C1C"/>
    <w:rsid w:val="009A7A00"/>
    <w:rsid w:val="009B0131"/>
    <w:rsid w:val="009B1051"/>
    <w:rsid w:val="009B4785"/>
    <w:rsid w:val="009E027C"/>
    <w:rsid w:val="009E5B5D"/>
    <w:rsid w:val="009E5E4B"/>
    <w:rsid w:val="009F39EF"/>
    <w:rsid w:val="00A012EF"/>
    <w:rsid w:val="00A32E8E"/>
    <w:rsid w:val="00A34BF6"/>
    <w:rsid w:val="00A529B4"/>
    <w:rsid w:val="00A53C4A"/>
    <w:rsid w:val="00A607B4"/>
    <w:rsid w:val="00A86D73"/>
    <w:rsid w:val="00A966FF"/>
    <w:rsid w:val="00A96EDF"/>
    <w:rsid w:val="00A978E5"/>
    <w:rsid w:val="00AA1CEC"/>
    <w:rsid w:val="00AA573E"/>
    <w:rsid w:val="00AA623B"/>
    <w:rsid w:val="00AA732E"/>
    <w:rsid w:val="00AB1733"/>
    <w:rsid w:val="00AB4E71"/>
    <w:rsid w:val="00AC5647"/>
    <w:rsid w:val="00AD0C3C"/>
    <w:rsid w:val="00AD1F3F"/>
    <w:rsid w:val="00AD412D"/>
    <w:rsid w:val="00AD479A"/>
    <w:rsid w:val="00AE6F88"/>
    <w:rsid w:val="00AF2A34"/>
    <w:rsid w:val="00AF6F40"/>
    <w:rsid w:val="00AF7E25"/>
    <w:rsid w:val="00B0048C"/>
    <w:rsid w:val="00B015E1"/>
    <w:rsid w:val="00B04B6A"/>
    <w:rsid w:val="00B0583E"/>
    <w:rsid w:val="00B07F03"/>
    <w:rsid w:val="00B205BC"/>
    <w:rsid w:val="00B22881"/>
    <w:rsid w:val="00B30336"/>
    <w:rsid w:val="00B319EF"/>
    <w:rsid w:val="00B403BD"/>
    <w:rsid w:val="00B50D87"/>
    <w:rsid w:val="00B51F19"/>
    <w:rsid w:val="00B54994"/>
    <w:rsid w:val="00B562E2"/>
    <w:rsid w:val="00B61944"/>
    <w:rsid w:val="00B63D02"/>
    <w:rsid w:val="00B63FFD"/>
    <w:rsid w:val="00B71295"/>
    <w:rsid w:val="00B74009"/>
    <w:rsid w:val="00B776EC"/>
    <w:rsid w:val="00B827C7"/>
    <w:rsid w:val="00B82DF6"/>
    <w:rsid w:val="00B83406"/>
    <w:rsid w:val="00B8359E"/>
    <w:rsid w:val="00B941F2"/>
    <w:rsid w:val="00BB1822"/>
    <w:rsid w:val="00BC31E7"/>
    <w:rsid w:val="00BC3C2B"/>
    <w:rsid w:val="00BC552E"/>
    <w:rsid w:val="00BD1BEE"/>
    <w:rsid w:val="00BD4318"/>
    <w:rsid w:val="00BD44E4"/>
    <w:rsid w:val="00BE2BCC"/>
    <w:rsid w:val="00BF0352"/>
    <w:rsid w:val="00BF3B6A"/>
    <w:rsid w:val="00BF3D31"/>
    <w:rsid w:val="00BF4CD1"/>
    <w:rsid w:val="00C00422"/>
    <w:rsid w:val="00C03D53"/>
    <w:rsid w:val="00C13A58"/>
    <w:rsid w:val="00C13E82"/>
    <w:rsid w:val="00C16853"/>
    <w:rsid w:val="00C16892"/>
    <w:rsid w:val="00C242A9"/>
    <w:rsid w:val="00C3628A"/>
    <w:rsid w:val="00C3783B"/>
    <w:rsid w:val="00C41CF8"/>
    <w:rsid w:val="00C46062"/>
    <w:rsid w:val="00C4621F"/>
    <w:rsid w:val="00C47079"/>
    <w:rsid w:val="00C57887"/>
    <w:rsid w:val="00C57B2D"/>
    <w:rsid w:val="00C618DD"/>
    <w:rsid w:val="00C63B86"/>
    <w:rsid w:val="00C64829"/>
    <w:rsid w:val="00C73060"/>
    <w:rsid w:val="00C77E23"/>
    <w:rsid w:val="00C81524"/>
    <w:rsid w:val="00C83137"/>
    <w:rsid w:val="00C85281"/>
    <w:rsid w:val="00C90D10"/>
    <w:rsid w:val="00C96B4D"/>
    <w:rsid w:val="00CA28C6"/>
    <w:rsid w:val="00CA6A19"/>
    <w:rsid w:val="00CB6D89"/>
    <w:rsid w:val="00CC0FF6"/>
    <w:rsid w:val="00CC5BB8"/>
    <w:rsid w:val="00CD1A22"/>
    <w:rsid w:val="00CD7422"/>
    <w:rsid w:val="00CE1B41"/>
    <w:rsid w:val="00CF143C"/>
    <w:rsid w:val="00CF4589"/>
    <w:rsid w:val="00D0330D"/>
    <w:rsid w:val="00D060C3"/>
    <w:rsid w:val="00D13016"/>
    <w:rsid w:val="00D131EB"/>
    <w:rsid w:val="00D13EAC"/>
    <w:rsid w:val="00D14532"/>
    <w:rsid w:val="00D148CA"/>
    <w:rsid w:val="00D2009D"/>
    <w:rsid w:val="00D259D1"/>
    <w:rsid w:val="00D31521"/>
    <w:rsid w:val="00D33556"/>
    <w:rsid w:val="00D43F7A"/>
    <w:rsid w:val="00D46906"/>
    <w:rsid w:val="00D46E6F"/>
    <w:rsid w:val="00D5035D"/>
    <w:rsid w:val="00D521F1"/>
    <w:rsid w:val="00D546A5"/>
    <w:rsid w:val="00D601C8"/>
    <w:rsid w:val="00D611B7"/>
    <w:rsid w:val="00D74422"/>
    <w:rsid w:val="00D770F1"/>
    <w:rsid w:val="00D77ECC"/>
    <w:rsid w:val="00D864E7"/>
    <w:rsid w:val="00D95685"/>
    <w:rsid w:val="00D96D36"/>
    <w:rsid w:val="00DA6A1C"/>
    <w:rsid w:val="00DB2B1E"/>
    <w:rsid w:val="00DB58EE"/>
    <w:rsid w:val="00DC080A"/>
    <w:rsid w:val="00DC4632"/>
    <w:rsid w:val="00DE1294"/>
    <w:rsid w:val="00DE33B2"/>
    <w:rsid w:val="00DE350F"/>
    <w:rsid w:val="00DE4B31"/>
    <w:rsid w:val="00DF22E2"/>
    <w:rsid w:val="00E01F77"/>
    <w:rsid w:val="00E07F9C"/>
    <w:rsid w:val="00E112D1"/>
    <w:rsid w:val="00E17856"/>
    <w:rsid w:val="00E25498"/>
    <w:rsid w:val="00E329DE"/>
    <w:rsid w:val="00E37AA5"/>
    <w:rsid w:val="00E477EE"/>
    <w:rsid w:val="00E53D8B"/>
    <w:rsid w:val="00E571AD"/>
    <w:rsid w:val="00E6476F"/>
    <w:rsid w:val="00E6754D"/>
    <w:rsid w:val="00E706A0"/>
    <w:rsid w:val="00E74C18"/>
    <w:rsid w:val="00E8441B"/>
    <w:rsid w:val="00E8508A"/>
    <w:rsid w:val="00E86C02"/>
    <w:rsid w:val="00E87627"/>
    <w:rsid w:val="00E94F5A"/>
    <w:rsid w:val="00E966F4"/>
    <w:rsid w:val="00EB1569"/>
    <w:rsid w:val="00EC2E25"/>
    <w:rsid w:val="00EC66B3"/>
    <w:rsid w:val="00ED1749"/>
    <w:rsid w:val="00ED3EA7"/>
    <w:rsid w:val="00ED4820"/>
    <w:rsid w:val="00ED6AEC"/>
    <w:rsid w:val="00EE236B"/>
    <w:rsid w:val="00EE72FC"/>
    <w:rsid w:val="00EF4905"/>
    <w:rsid w:val="00EF7A97"/>
    <w:rsid w:val="00F00A7A"/>
    <w:rsid w:val="00F02A0F"/>
    <w:rsid w:val="00F14DD3"/>
    <w:rsid w:val="00F246D8"/>
    <w:rsid w:val="00F26C7A"/>
    <w:rsid w:val="00F572A5"/>
    <w:rsid w:val="00F63388"/>
    <w:rsid w:val="00F644BF"/>
    <w:rsid w:val="00F7031A"/>
    <w:rsid w:val="00F74920"/>
    <w:rsid w:val="00F8405D"/>
    <w:rsid w:val="00F90170"/>
    <w:rsid w:val="00F93DD0"/>
    <w:rsid w:val="00F949FB"/>
    <w:rsid w:val="00F9683A"/>
    <w:rsid w:val="00F970AA"/>
    <w:rsid w:val="00FA494E"/>
    <w:rsid w:val="00FA5F91"/>
    <w:rsid w:val="00FB0060"/>
    <w:rsid w:val="00FB3863"/>
    <w:rsid w:val="00FD2A42"/>
    <w:rsid w:val="00FE4128"/>
    <w:rsid w:val="00FF44AB"/>
    <w:rsid w:val="00FF47CE"/>
    <w:rsid w:val="00FF7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B5E54"/>
  <w15:chartTrackingRefBased/>
  <w15:docId w15:val="{3F20B880-4198-4E65-BA92-0705AD06A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36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6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uiPriority w:val="99"/>
    <w:unhideWhenUsed/>
    <w:qFormat/>
    <w:rsid w:val="00614444"/>
    <w:rPr>
      <w:rFonts w:cs="Andalus"/>
      <w:bCs w:val="0"/>
      <w:iCs w:val="0"/>
      <w:w w:val="100"/>
      <w:kern w:val="16"/>
      <w:sz w:val="16"/>
      <w:szCs w:val="24"/>
    </w:rPr>
  </w:style>
  <w:style w:type="character" w:customStyle="1" w:styleId="Heading1Char">
    <w:name w:val="Heading 1 Char"/>
    <w:basedOn w:val="DefaultParagraphFont"/>
    <w:link w:val="Heading1"/>
    <w:uiPriority w:val="9"/>
    <w:rsid w:val="00C36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6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6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28A"/>
    <w:rPr>
      <w:rFonts w:eastAsiaTheme="majorEastAsia" w:cstheme="majorBidi"/>
      <w:color w:val="272727" w:themeColor="text1" w:themeTint="D8"/>
    </w:rPr>
  </w:style>
  <w:style w:type="paragraph" w:styleId="Title">
    <w:name w:val="Title"/>
    <w:basedOn w:val="Normal"/>
    <w:next w:val="Normal"/>
    <w:link w:val="TitleChar"/>
    <w:uiPriority w:val="10"/>
    <w:qFormat/>
    <w:rsid w:val="00C36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28A"/>
    <w:pPr>
      <w:spacing w:before="160"/>
      <w:jc w:val="center"/>
    </w:pPr>
    <w:rPr>
      <w:i/>
      <w:iCs/>
      <w:color w:val="404040" w:themeColor="text1" w:themeTint="BF"/>
    </w:rPr>
  </w:style>
  <w:style w:type="character" w:customStyle="1" w:styleId="QuoteChar">
    <w:name w:val="Quote Char"/>
    <w:basedOn w:val="DefaultParagraphFont"/>
    <w:link w:val="Quote"/>
    <w:uiPriority w:val="29"/>
    <w:rsid w:val="00C3628A"/>
    <w:rPr>
      <w:i/>
      <w:iCs/>
      <w:color w:val="404040" w:themeColor="text1" w:themeTint="BF"/>
    </w:rPr>
  </w:style>
  <w:style w:type="paragraph" w:styleId="ListParagraph">
    <w:name w:val="List Paragraph"/>
    <w:basedOn w:val="Normal"/>
    <w:uiPriority w:val="34"/>
    <w:qFormat/>
    <w:rsid w:val="00C3628A"/>
    <w:pPr>
      <w:ind w:left="720"/>
      <w:contextualSpacing/>
    </w:pPr>
  </w:style>
  <w:style w:type="character" w:styleId="IntenseEmphasis">
    <w:name w:val="Intense Emphasis"/>
    <w:basedOn w:val="DefaultParagraphFont"/>
    <w:uiPriority w:val="21"/>
    <w:qFormat/>
    <w:rsid w:val="00C3628A"/>
    <w:rPr>
      <w:i/>
      <w:iCs/>
      <w:color w:val="0F4761" w:themeColor="accent1" w:themeShade="BF"/>
    </w:rPr>
  </w:style>
  <w:style w:type="paragraph" w:styleId="IntenseQuote">
    <w:name w:val="Intense Quote"/>
    <w:basedOn w:val="Normal"/>
    <w:next w:val="Normal"/>
    <w:link w:val="IntenseQuoteChar"/>
    <w:uiPriority w:val="30"/>
    <w:qFormat/>
    <w:rsid w:val="00C36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28A"/>
    <w:rPr>
      <w:i/>
      <w:iCs/>
      <w:color w:val="0F4761" w:themeColor="accent1" w:themeShade="BF"/>
    </w:rPr>
  </w:style>
  <w:style w:type="character" w:styleId="IntenseReference">
    <w:name w:val="Intense Reference"/>
    <w:basedOn w:val="DefaultParagraphFont"/>
    <w:uiPriority w:val="32"/>
    <w:qFormat/>
    <w:rsid w:val="00C3628A"/>
    <w:rPr>
      <w:b/>
      <w:bCs/>
      <w:smallCaps/>
      <w:color w:val="0F4761" w:themeColor="accent1" w:themeShade="BF"/>
      <w:spacing w:val="5"/>
    </w:rPr>
  </w:style>
  <w:style w:type="table" w:styleId="TableGrid">
    <w:name w:val="Table Grid"/>
    <w:basedOn w:val="TableNormal"/>
    <w:uiPriority w:val="39"/>
    <w:rsid w:val="00E87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4905"/>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4905"/>
    <w:rPr>
      <w:b/>
      <w:bCs/>
    </w:rPr>
  </w:style>
  <w:style w:type="character" w:styleId="Emphasis">
    <w:name w:val="Emphasis"/>
    <w:basedOn w:val="DefaultParagraphFont"/>
    <w:uiPriority w:val="20"/>
    <w:qFormat/>
    <w:rsid w:val="00EF4905"/>
    <w:rPr>
      <w:i/>
      <w:iCs/>
    </w:rPr>
  </w:style>
  <w:style w:type="paragraph" w:styleId="Header">
    <w:name w:val="header"/>
    <w:basedOn w:val="Normal"/>
    <w:link w:val="HeaderChar"/>
    <w:uiPriority w:val="99"/>
    <w:unhideWhenUsed/>
    <w:rsid w:val="00BC552E"/>
    <w:pPr>
      <w:tabs>
        <w:tab w:val="center" w:pos="4153"/>
        <w:tab w:val="right" w:pos="8306"/>
      </w:tabs>
      <w:spacing w:after="0" w:line="240" w:lineRule="auto"/>
    </w:pPr>
  </w:style>
  <w:style w:type="character" w:customStyle="1" w:styleId="HeaderChar">
    <w:name w:val="Header Char"/>
    <w:basedOn w:val="DefaultParagraphFont"/>
    <w:link w:val="Header"/>
    <w:uiPriority w:val="99"/>
    <w:rsid w:val="00BC552E"/>
  </w:style>
  <w:style w:type="paragraph" w:styleId="Footer">
    <w:name w:val="footer"/>
    <w:basedOn w:val="Normal"/>
    <w:link w:val="FooterChar"/>
    <w:uiPriority w:val="99"/>
    <w:unhideWhenUsed/>
    <w:rsid w:val="00BC552E"/>
    <w:pPr>
      <w:tabs>
        <w:tab w:val="center" w:pos="4153"/>
        <w:tab w:val="right" w:pos="8306"/>
      </w:tabs>
      <w:spacing w:after="0" w:line="240" w:lineRule="auto"/>
    </w:pPr>
  </w:style>
  <w:style w:type="character" w:customStyle="1" w:styleId="FooterChar">
    <w:name w:val="Footer Char"/>
    <w:basedOn w:val="DefaultParagraphFont"/>
    <w:link w:val="Footer"/>
    <w:uiPriority w:val="99"/>
    <w:rsid w:val="00BC55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7146</Words>
  <Characters>40737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Caught Between Conscience and Culture</vt:lpstr>
    </vt:vector>
  </TitlesOfParts>
  <Company/>
  <LinksUpToDate>false</LinksUpToDate>
  <CharactersWithSpaces>47788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Caught Between Conscience and Culture</dc:title>
  <dc:subject>Revised manuscript</dc:subject>
  <dc:creator/>
  <cp:keywords>Midwifery; Moral Distress; Obstetric Violence; Respectful Maternity Care; Maternity Nursing</cp:keywords>
  <dc:description/>
  <cp:lastModifiedBy>اسامة محمد السيد</cp:lastModifiedBy>
  <cp:revision>3</cp:revision>
  <dcterms:created xsi:type="dcterms:W3CDTF">2026-06-27T20:51:00Z</dcterms:created>
  <dcterms:modified xsi:type="dcterms:W3CDTF">2026-10-07T12:01:00Z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2daf0161-dd0a-4be3-abf0-70c496043fb9</vt:lpwstr>
  </property>
</Properties>
</file>